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C774AB" w14:textId="77777777" w:rsidR="0015777F" w:rsidRPr="0015777F" w:rsidRDefault="0015777F" w:rsidP="0015777F">
      <w:pPr>
        <w:shd w:val="clear" w:color="auto" w:fill="FFFFFF"/>
        <w:spacing w:after="0" w:line="240" w:lineRule="auto"/>
        <w:rPr>
          <w:rFonts w:ascii="Roboto" w:eastAsia="Times New Roman" w:hAnsi="Roboto" w:cs="Times New Roman"/>
          <w:kern w:val="0"/>
          <w:sz w:val="21"/>
          <w:szCs w:val="21"/>
          <w:lang w:eastAsia="es-MX"/>
          <w14:ligatures w14:val="none"/>
        </w:rPr>
      </w:pPr>
    </w:p>
    <w:p w14:paraId="70D39364" w14:textId="77777777" w:rsidR="00C77A6D" w:rsidRPr="00C77A6D" w:rsidRDefault="00C77A6D" w:rsidP="001B796A">
      <w:pPr>
        <w:pStyle w:val="Prrafodelista"/>
        <w:numPr>
          <w:ilvl w:val="0"/>
          <w:numId w:val="3"/>
        </w:numPr>
        <w:rPr>
          <w:b/>
          <w:bCs/>
        </w:rPr>
      </w:pPr>
      <w:r>
        <w:rPr>
          <w:b/>
          <w:bCs/>
        </w:rPr>
        <w:t>Las ventas de cargadores de iPhone tienen mayores índices de venta a comparación de cuando se venia incluido en la compra del teléfono.</w:t>
      </w:r>
    </w:p>
    <w:p w14:paraId="7FCA6A45" w14:textId="77777777" w:rsidR="001B796A" w:rsidRDefault="001B796A" w:rsidP="001B796A">
      <w:r>
        <w:rPr>
          <w:noProof/>
        </w:rPr>
        <w:drawing>
          <wp:inline distT="0" distB="0" distL="0" distR="0" wp14:anchorId="63552AE8" wp14:editId="555BE511">
            <wp:extent cx="5612130" cy="3156585"/>
            <wp:effectExtent l="0" t="0" r="7620" b="5715"/>
            <wp:docPr id="1496289936" name="Imagen 1"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289936" name="Imagen 1" descr="Gráfico, Gráfico de barras&#10;&#10;Descripción generada automáticamente"/>
                    <pic:cNvPicPr/>
                  </pic:nvPicPr>
                  <pic:blipFill>
                    <a:blip r:embed="rId5" cstate="print">
                      <a:extLst>
                        <a:ext uri="{28A0092B-C50C-407E-A947-70E740481C1C}">
                          <a14:useLocalDpi xmlns:a14="http://schemas.microsoft.com/office/drawing/2010/main" val="0"/>
                        </a:ext>
                      </a:extLst>
                    </a:blip>
                    <a:stretch>
                      <a:fillRect/>
                    </a:stretch>
                  </pic:blipFill>
                  <pic:spPr>
                    <a:xfrm>
                      <a:off x="0" y="0"/>
                      <a:ext cx="5612130" cy="3156585"/>
                    </a:xfrm>
                    <a:prstGeom prst="rect">
                      <a:avLst/>
                    </a:prstGeom>
                  </pic:spPr>
                </pic:pic>
              </a:graphicData>
            </a:graphic>
          </wp:inline>
        </w:drawing>
      </w:r>
    </w:p>
    <w:p w14:paraId="135BDE84" w14:textId="77777777" w:rsidR="00B85B13" w:rsidRDefault="001B796A" w:rsidP="001B796A">
      <w:r>
        <w:t xml:space="preserve">Para comprobar esta hipótesis, podemos realizar la visualización de cuanto producto se vendieron en todo 2020. Podemos visualizar que en el caso de el Lightning Charger, </w:t>
      </w:r>
      <w:r w:rsidR="00B85B13">
        <w:t>vendió</w:t>
      </w:r>
      <w:r>
        <w:t xml:space="preserve"> un total de 21,653 productos en todo el 2020. Ahora, queremos verificar si nuestra hipótesis se cumple. Podemos ver que anualmente, el IPhone únicamente venido alrededor de 6,840 celulares en todo el año. En este caso, nuestra hipótesis es correcta, y podemos confirmar que la estrategia de Apple no funciono, ya que la gente no se dedico a usar cargadores que tenían anteriormente, al contrario, aumento su venta </w:t>
      </w:r>
      <w:r w:rsidR="00B85B13">
        <w:t>más</w:t>
      </w:r>
      <w:r>
        <w:t xml:space="preserve"> del 50%. </w:t>
      </w:r>
    </w:p>
    <w:p w14:paraId="467434C3" w14:textId="77777777" w:rsidR="00147AB5" w:rsidRDefault="00147AB5" w:rsidP="001B796A"/>
    <w:p w14:paraId="7318E944" w14:textId="77777777" w:rsidR="00147AB5" w:rsidRDefault="00147AB5" w:rsidP="001B796A"/>
    <w:p w14:paraId="1DB9BA09" w14:textId="77777777" w:rsidR="00147AB5" w:rsidRDefault="00147AB5" w:rsidP="001B796A"/>
    <w:p w14:paraId="7922A722" w14:textId="77777777" w:rsidR="00147AB5" w:rsidRDefault="00147AB5" w:rsidP="001B796A"/>
    <w:p w14:paraId="4172C893" w14:textId="77777777" w:rsidR="00147AB5" w:rsidRDefault="00147AB5" w:rsidP="001B796A"/>
    <w:p w14:paraId="6B8587BE" w14:textId="77777777" w:rsidR="00147AB5" w:rsidRDefault="00147AB5" w:rsidP="001B796A"/>
    <w:p w14:paraId="7CB563C7" w14:textId="77777777" w:rsidR="00147AB5" w:rsidRDefault="00147AB5" w:rsidP="001B796A"/>
    <w:p w14:paraId="35A8EADF" w14:textId="77777777" w:rsidR="005A2A30" w:rsidRDefault="005A2A30" w:rsidP="001B796A"/>
    <w:p w14:paraId="150406FC" w14:textId="77777777" w:rsidR="005A2A30" w:rsidRDefault="005A2A30" w:rsidP="001B796A"/>
    <w:p w14:paraId="55C1CEE4" w14:textId="77777777" w:rsidR="00147AB5" w:rsidRDefault="00147AB5" w:rsidP="001B796A"/>
    <w:p w14:paraId="072AD593" w14:textId="77777777" w:rsidR="001B796A" w:rsidRDefault="00B85B13" w:rsidP="001B796A">
      <w:pPr>
        <w:pStyle w:val="Prrafodelista"/>
        <w:numPr>
          <w:ilvl w:val="0"/>
          <w:numId w:val="3"/>
        </w:numPr>
        <w:rPr>
          <w:b/>
          <w:bCs/>
        </w:rPr>
      </w:pPr>
      <w:r>
        <w:rPr>
          <w:b/>
          <w:bCs/>
        </w:rPr>
        <w:lastRenderedPageBreak/>
        <w:t xml:space="preserve">La cantidad de venta de cargadores para IPhone aumento conforme paso el </w:t>
      </w:r>
      <w:r>
        <w:t>año</w:t>
      </w:r>
      <w:r>
        <w:rPr>
          <w:b/>
          <w:bCs/>
        </w:rPr>
        <w:t xml:space="preserve">. </w:t>
      </w:r>
    </w:p>
    <w:p w14:paraId="11502C97" w14:textId="77777777" w:rsidR="00B85B13" w:rsidRPr="00B85B13" w:rsidRDefault="00B85B13" w:rsidP="00B85B13">
      <w:pPr>
        <w:rPr>
          <w:b/>
          <w:bCs/>
        </w:rPr>
      </w:pPr>
      <w:r>
        <w:rPr>
          <w:b/>
          <w:bCs/>
          <w:noProof/>
        </w:rPr>
        <w:drawing>
          <wp:inline distT="0" distB="0" distL="0" distR="0" wp14:anchorId="416F8E66" wp14:editId="6FB6B4FF">
            <wp:extent cx="5612130" cy="3156585"/>
            <wp:effectExtent l="0" t="0" r="7620" b="5715"/>
            <wp:docPr id="430819153" name="Imagen 2"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819153" name="Imagen 2" descr="Interfaz de usuario gráfica, Aplicación&#10;&#10;Descripción generada automáticament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612130" cy="3156585"/>
                    </a:xfrm>
                    <a:prstGeom prst="rect">
                      <a:avLst/>
                    </a:prstGeom>
                  </pic:spPr>
                </pic:pic>
              </a:graphicData>
            </a:graphic>
          </wp:inline>
        </w:drawing>
      </w:r>
    </w:p>
    <w:p w14:paraId="4BCB5B92" w14:textId="77777777" w:rsidR="001B796A" w:rsidRDefault="00B85B13" w:rsidP="001B796A">
      <w:r>
        <w:t xml:space="preserve">Para esta hipótesis y comprobar si estamos correctos, hay que verificar si realmente aumento su venta o si no hubo gran impacto, ya que previamente únicamente veíamos la venta anual, sin embargo, no observamos que tenia aumento o si era algo que se mantuvo siempre estable. En este caso, con ayuda de esta grafica podemos visualizar que si fue aumentando conforme paso el 2020. Teniendo así dos escalas mas altas o resaltadas que otras, una por el mes de </w:t>
      </w:r>
      <w:r w:rsidR="00263B3D">
        <w:t>abril</w:t>
      </w:r>
      <w:r>
        <w:t>, con 2</w:t>
      </w:r>
      <w:r w:rsidR="00263B3D">
        <w:t>,</w:t>
      </w:r>
      <w:r>
        <w:t xml:space="preserve">373 ventas, y otra en el mes de </w:t>
      </w:r>
      <w:r w:rsidR="00263B3D">
        <w:t>diciembre</w:t>
      </w:r>
      <w:r>
        <w:t>, con alrededor de 3,087 ventas.</w:t>
      </w:r>
    </w:p>
    <w:p w14:paraId="5384CB27" w14:textId="77777777" w:rsidR="00147AB5" w:rsidRDefault="00147AB5" w:rsidP="001B796A"/>
    <w:p w14:paraId="28726C37" w14:textId="77777777" w:rsidR="00147AB5" w:rsidRDefault="00147AB5" w:rsidP="001B796A"/>
    <w:p w14:paraId="48AE33AD" w14:textId="77777777" w:rsidR="00147AB5" w:rsidRDefault="00147AB5" w:rsidP="001B796A"/>
    <w:p w14:paraId="5E014871" w14:textId="77777777" w:rsidR="00147AB5" w:rsidRDefault="00147AB5" w:rsidP="001B796A"/>
    <w:p w14:paraId="7244F3A9" w14:textId="77777777" w:rsidR="00147AB5" w:rsidRDefault="00147AB5" w:rsidP="001B796A"/>
    <w:p w14:paraId="5A4487B7" w14:textId="77777777" w:rsidR="00147AB5" w:rsidRDefault="00147AB5" w:rsidP="001B796A"/>
    <w:p w14:paraId="121751EC" w14:textId="77777777" w:rsidR="00147AB5" w:rsidRDefault="00147AB5" w:rsidP="001B796A"/>
    <w:p w14:paraId="23AE876E" w14:textId="77777777" w:rsidR="00147AB5" w:rsidRDefault="00147AB5" w:rsidP="001B796A"/>
    <w:p w14:paraId="798E3F61" w14:textId="77777777" w:rsidR="00147AB5" w:rsidRDefault="00147AB5" w:rsidP="001B796A"/>
    <w:p w14:paraId="612263D2" w14:textId="77777777" w:rsidR="00147AB5" w:rsidRDefault="00147AB5" w:rsidP="001B796A"/>
    <w:p w14:paraId="7F5C6B97" w14:textId="77777777" w:rsidR="00147AB5" w:rsidRPr="00B85B13" w:rsidRDefault="00147AB5" w:rsidP="001B796A"/>
    <w:p w14:paraId="17988D2C" w14:textId="77777777" w:rsidR="00C77A6D" w:rsidRDefault="00C77A6D" w:rsidP="001B796A">
      <w:pPr>
        <w:pStyle w:val="Prrafodelista"/>
        <w:numPr>
          <w:ilvl w:val="0"/>
          <w:numId w:val="3"/>
        </w:numPr>
        <w:rPr>
          <w:b/>
          <w:bCs/>
        </w:rPr>
      </w:pPr>
      <w:r>
        <w:rPr>
          <w:b/>
          <w:bCs/>
        </w:rPr>
        <w:lastRenderedPageBreak/>
        <w:t>Las ventas de audífonos tipo inalámbricos tuvo mayores índices que las ventas de audífonos alámbricos.</w:t>
      </w:r>
    </w:p>
    <w:p w14:paraId="526C9AA3" w14:textId="77777777" w:rsidR="00263B3D" w:rsidRDefault="00263B3D" w:rsidP="00263B3D">
      <w:r>
        <w:t xml:space="preserve">Ahora, otro factor que considero </w:t>
      </w:r>
      <w:r w:rsidR="00CD63EE">
        <w:t>importante</w:t>
      </w:r>
      <w:r>
        <w:t xml:space="preserve"> fue que en alrededor de 2016 se eliminaron </w:t>
      </w:r>
      <w:r w:rsidR="00147AB5">
        <w:t>la entrada</w:t>
      </w:r>
      <w:r>
        <w:t xml:space="preserve"> de los iPhone para sus audífonos, así que considero que siguiendo esta lógica quizás la venta de Airpods o audífonos inalámbricos pudo haber aumentado o logrado más ventas que los audífonos comunes, los alámbricos. Para este caso, podemos retomar la primera grafica que visualizamos, ya que como el cambio de esta entrada fue hace mas de 4 años antes de este cambio, no creo que haya mucha influencia en el mismo.</w:t>
      </w:r>
    </w:p>
    <w:p w14:paraId="2B754E43" w14:textId="77777777" w:rsidR="00263B3D" w:rsidRDefault="00263B3D" w:rsidP="00263B3D">
      <w:r>
        <w:rPr>
          <w:noProof/>
        </w:rPr>
        <w:drawing>
          <wp:inline distT="0" distB="0" distL="0" distR="0" wp14:anchorId="4F4A8196" wp14:editId="785A4782">
            <wp:extent cx="5612130" cy="3156585"/>
            <wp:effectExtent l="0" t="0" r="7620" b="5715"/>
            <wp:docPr id="1619504827" name="Imagen 4"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9504827" name="Imagen 4" descr="Gráfico, Gráfico de barras&#10;&#10;Descripción generada automáticament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612130" cy="3156585"/>
                    </a:xfrm>
                    <a:prstGeom prst="rect">
                      <a:avLst/>
                    </a:prstGeom>
                  </pic:spPr>
                </pic:pic>
              </a:graphicData>
            </a:graphic>
          </wp:inline>
        </w:drawing>
      </w:r>
    </w:p>
    <w:p w14:paraId="4E481B28" w14:textId="77777777" w:rsidR="00263B3D" w:rsidRDefault="00263B3D" w:rsidP="00263B3D">
      <w:r>
        <w:t xml:space="preserve">Podemos visualizar </w:t>
      </w:r>
      <w:r w:rsidR="00147AB5">
        <w:t>que,</w:t>
      </w:r>
      <w:r>
        <w:t xml:space="preserve"> en este caso, mi hipótesis fue errónea, y fue algo que me sorprendió. La venta de audífonos </w:t>
      </w:r>
      <w:r w:rsidR="00147AB5">
        <w:t>alámbricos</w:t>
      </w:r>
      <w:r>
        <w:t xml:space="preserve"> fue mayor que la venta de los </w:t>
      </w:r>
      <w:proofErr w:type="spellStart"/>
      <w:r>
        <w:t>AirPods</w:t>
      </w:r>
      <w:proofErr w:type="spellEnd"/>
      <w:r>
        <w:t xml:space="preserve"> o los Bose, los cuales ambos son inalámbricos.  Mientras que los audífonos alámbricos cuentan con 18,882 ventas, los </w:t>
      </w:r>
      <w:proofErr w:type="spellStart"/>
      <w:r>
        <w:t>AirPods</w:t>
      </w:r>
      <w:proofErr w:type="spellEnd"/>
      <w:r>
        <w:t xml:space="preserve"> llegan a un máximo de 15,549, y los Bose a un máximo de 13,325. A pesar de que no es una gran diferencia como en otros casos, esto nos podría ayudar a deducir que pudiera ser a causa de que otros móviles aun no realizaban este cambio de dejar de incluir la entrada para los </w:t>
      </w:r>
      <w:r w:rsidR="00CD63EE">
        <w:t>audífonos</w:t>
      </w:r>
      <w:r>
        <w:t>.</w:t>
      </w:r>
    </w:p>
    <w:p w14:paraId="3F46BDED" w14:textId="77777777" w:rsidR="00147AB5" w:rsidRDefault="00147AB5" w:rsidP="00263B3D"/>
    <w:p w14:paraId="17F0F242" w14:textId="77777777" w:rsidR="00147AB5" w:rsidRDefault="00147AB5" w:rsidP="00263B3D"/>
    <w:p w14:paraId="118A9A8E" w14:textId="77777777" w:rsidR="00147AB5" w:rsidRDefault="00147AB5" w:rsidP="00263B3D"/>
    <w:p w14:paraId="0D58057E" w14:textId="77777777" w:rsidR="00147AB5" w:rsidRDefault="00147AB5" w:rsidP="00263B3D"/>
    <w:p w14:paraId="04D76654" w14:textId="77777777" w:rsidR="00147AB5" w:rsidRDefault="00147AB5" w:rsidP="00263B3D"/>
    <w:p w14:paraId="567D56CB" w14:textId="77777777" w:rsidR="00147AB5" w:rsidRDefault="00147AB5" w:rsidP="00263B3D"/>
    <w:p w14:paraId="21777F04" w14:textId="77777777" w:rsidR="00147AB5" w:rsidRPr="00263B3D" w:rsidRDefault="00147AB5" w:rsidP="00263B3D"/>
    <w:p w14:paraId="00508B0F" w14:textId="77777777" w:rsidR="00C77A6D" w:rsidRDefault="00C77A6D" w:rsidP="001B796A">
      <w:pPr>
        <w:pStyle w:val="Prrafodelista"/>
        <w:numPr>
          <w:ilvl w:val="0"/>
          <w:numId w:val="3"/>
        </w:numPr>
        <w:rPr>
          <w:b/>
          <w:bCs/>
        </w:rPr>
      </w:pPr>
      <w:r>
        <w:rPr>
          <w:b/>
          <w:bCs/>
        </w:rPr>
        <w:lastRenderedPageBreak/>
        <w:t>La compra de cargadores para iPhone es únicamente una tendencia.</w:t>
      </w:r>
    </w:p>
    <w:p w14:paraId="2CF36051" w14:textId="77777777" w:rsidR="00CD63EE" w:rsidRDefault="00CD63EE" w:rsidP="00CD63EE">
      <w:r>
        <w:t>Ahora, si queremos de igual forma confirmar lo que se mencionaba previamente en la hipótesis anterior, y expandirlo. Podríamos preguntarnos si realmente esto se deba a que había más teléfonos con esta entrada aun, exteriores a IPhone. También podríamos comprobar si la compra de cargadores para Android es más estable a comparación del iPhone, o si también existió un aumento conforme paso el 2020.</w:t>
      </w:r>
    </w:p>
    <w:p w14:paraId="0FC2E12A" w14:textId="77777777" w:rsidR="00CD63EE" w:rsidRDefault="00CD63EE" w:rsidP="00CD63EE">
      <w:r>
        <w:rPr>
          <w:noProof/>
        </w:rPr>
        <w:drawing>
          <wp:inline distT="0" distB="0" distL="0" distR="0" wp14:anchorId="3A763545" wp14:editId="63E67965">
            <wp:extent cx="5612130" cy="3156585"/>
            <wp:effectExtent l="0" t="0" r="7620" b="5715"/>
            <wp:docPr id="209235748" name="Imagen 5"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235748" name="Imagen 5" descr="Interfaz de usuario gráfica, Aplicación&#10;&#10;Descripción generada automá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612130" cy="3156585"/>
                    </a:xfrm>
                    <a:prstGeom prst="rect">
                      <a:avLst/>
                    </a:prstGeom>
                  </pic:spPr>
                </pic:pic>
              </a:graphicData>
            </a:graphic>
          </wp:inline>
        </w:drawing>
      </w:r>
    </w:p>
    <w:p w14:paraId="4244D309" w14:textId="77777777" w:rsidR="00CD63EE" w:rsidRDefault="00CD63EE" w:rsidP="00CD63EE">
      <w:r>
        <w:t xml:space="preserve">Para este caso, podemos visualizar nuevamente la tabla que usamos para ver la vista en los cargadores de IPhone, y algo que también me sorprendió es que para cargadores de tipo C, que son cualquier entrada diferente al IPhone, tienen una reacción muy similar y ligeramente mayor a comparación del cargador de IPhone. Esto me llevo a preguntarme, </w:t>
      </w:r>
      <w:r w:rsidRPr="00CD63EE">
        <w:t>¿</w:t>
      </w:r>
      <w:r>
        <w:t>Realmente no afecto el dejar de incluir cargadores y usaron cargadores que ya previamente tenían</w:t>
      </w:r>
      <w:r w:rsidRPr="00CD63EE">
        <w:t>?</w:t>
      </w:r>
      <w:r>
        <w:t xml:space="preserve"> O si es una tendencia dentro del mercado, ya que se tienen picos en ambas fechas, como es diciembre que es una tendencia muy ocurrida en cualquier tienda. En este caso, y al menos en este 2020, podría decir que mi hipótesis es nula, ya que si Samsung hubiera retirado sus cargadores se entendería por que ambos tuvieron la subida, sin embargo, en este caso Samsung y otros les faltaba años para poder realizar ese cambio.</w:t>
      </w:r>
    </w:p>
    <w:p w14:paraId="6560E4BF" w14:textId="77777777" w:rsidR="002A26D9" w:rsidRDefault="002A26D9" w:rsidP="00CD63EE"/>
    <w:p w14:paraId="5134637B" w14:textId="77777777" w:rsidR="002A26D9" w:rsidRDefault="002A26D9" w:rsidP="00CD63EE"/>
    <w:p w14:paraId="61D93555" w14:textId="77777777" w:rsidR="002A26D9" w:rsidRDefault="002A26D9" w:rsidP="00CD63EE"/>
    <w:p w14:paraId="64DFDAF0" w14:textId="77777777" w:rsidR="002A26D9" w:rsidRDefault="002A26D9" w:rsidP="00CD63EE"/>
    <w:p w14:paraId="7ADF19F4" w14:textId="77777777" w:rsidR="00C77A6D" w:rsidRDefault="00C77A6D" w:rsidP="00CD63EE"/>
    <w:p w14:paraId="5BF38DA4" w14:textId="77777777" w:rsidR="002A26D9" w:rsidRPr="00CD63EE" w:rsidRDefault="002A26D9" w:rsidP="00CD63EE"/>
    <w:p w14:paraId="298DAAEA" w14:textId="77777777" w:rsidR="0015777F" w:rsidRPr="001B796A" w:rsidRDefault="00C77A6D" w:rsidP="001B796A">
      <w:pPr>
        <w:pStyle w:val="Prrafodelista"/>
        <w:numPr>
          <w:ilvl w:val="0"/>
          <w:numId w:val="3"/>
        </w:numPr>
        <w:rPr>
          <w:b/>
          <w:bCs/>
        </w:rPr>
      </w:pPr>
      <w:proofErr w:type="gramStart"/>
      <w:r>
        <w:rPr>
          <w:b/>
          <w:bCs/>
        </w:rPr>
        <w:lastRenderedPageBreak/>
        <w:t>La compra de iPhone generan</w:t>
      </w:r>
      <w:proofErr w:type="gramEnd"/>
      <w:r>
        <w:rPr>
          <w:b/>
          <w:bCs/>
        </w:rPr>
        <w:t xml:space="preserve"> compra de cargadores nuevos.</w:t>
      </w:r>
    </w:p>
    <w:p w14:paraId="3AE2A0C9" w14:textId="77777777" w:rsidR="001B796A" w:rsidRDefault="002A26D9" w:rsidP="001B796A">
      <w:r>
        <w:t>Para esto, voy a tomar una grafica que nos mostrara la venta por día común. Es decir, que productos se venden en que días y sus cantidades para poder confirmar o negar esta hipótesis.</w:t>
      </w:r>
    </w:p>
    <w:p w14:paraId="233F0754" w14:textId="77777777" w:rsidR="002A26D9" w:rsidRDefault="002A26D9" w:rsidP="001B796A">
      <w:r>
        <w:rPr>
          <w:noProof/>
        </w:rPr>
        <w:drawing>
          <wp:inline distT="0" distB="0" distL="0" distR="0" wp14:anchorId="1BCC1606" wp14:editId="7F75A118">
            <wp:extent cx="5612130" cy="3156585"/>
            <wp:effectExtent l="0" t="0" r="7620" b="5715"/>
            <wp:docPr id="1823799863" name="Imagen 6" descr="Imagen que contiene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3799863" name="Imagen 6" descr="Imagen que contiene Esquemático&#10;&#10;Descripción generada automáticament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612130" cy="3156585"/>
                    </a:xfrm>
                    <a:prstGeom prst="rect">
                      <a:avLst/>
                    </a:prstGeom>
                  </pic:spPr>
                </pic:pic>
              </a:graphicData>
            </a:graphic>
          </wp:inline>
        </w:drawing>
      </w:r>
    </w:p>
    <w:p w14:paraId="2380B332" w14:textId="64B405E6" w:rsidR="00D76B66" w:rsidRPr="0015777F" w:rsidRDefault="002A26D9" w:rsidP="001B796A">
      <w:r>
        <w:t xml:space="preserve">En este caso, podemos visualizar que en ambos casos se tiene una tendencia muy común, aun que en el caso del Lightning Charger los valores son mayores a la venta de iPhone, se puede deducir que durante todo este 2020, cada vez que se compraba un iPhone nuevo, se compraba un cargador nuevo. Esto lo confirmo </w:t>
      </w:r>
      <w:r w:rsidR="00147AB5">
        <w:t>ya que,</w:t>
      </w:r>
      <w:r>
        <w:t xml:space="preserve"> en casi todos los días, el producto se triplica, por lo que se podría confirmar que la hipótesis es correcta</w:t>
      </w:r>
      <w:r w:rsidR="005A2A30">
        <w:rPr>
          <w:noProof/>
        </w:rPr>
        <w:t xml:space="preserve"> </w:t>
      </w:r>
    </w:p>
    <w:sectPr w:rsidR="00D76B66" w:rsidRPr="0015777F">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Roboto">
    <w:altName w:val="Arial"/>
    <w:charset w:val="00"/>
    <w:family w:val="auto"/>
    <w:pitch w:val="variable"/>
    <w:sig w:usb0="E0000AFF" w:usb1="5000217F" w:usb2="0000002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366B17"/>
    <w:multiLevelType w:val="hybridMultilevel"/>
    <w:tmpl w:val="5AEEAF7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3C87545D"/>
    <w:multiLevelType w:val="hybridMultilevel"/>
    <w:tmpl w:val="7652A3B0"/>
    <w:lvl w:ilvl="0" w:tplc="3A44C4A2">
      <w:start w:val="1"/>
      <w:numFmt w:val="bullet"/>
      <w:lvlText w:val="•"/>
      <w:lvlJc w:val="left"/>
      <w:pPr>
        <w:tabs>
          <w:tab w:val="num" w:pos="720"/>
        </w:tabs>
        <w:ind w:left="720" w:hanging="360"/>
      </w:pPr>
      <w:rPr>
        <w:rFonts w:ascii="Arial" w:hAnsi="Arial" w:hint="default"/>
      </w:rPr>
    </w:lvl>
    <w:lvl w:ilvl="1" w:tplc="3878BDC4" w:tentative="1">
      <w:start w:val="1"/>
      <w:numFmt w:val="bullet"/>
      <w:lvlText w:val="•"/>
      <w:lvlJc w:val="left"/>
      <w:pPr>
        <w:tabs>
          <w:tab w:val="num" w:pos="1440"/>
        </w:tabs>
        <w:ind w:left="1440" w:hanging="360"/>
      </w:pPr>
      <w:rPr>
        <w:rFonts w:ascii="Arial" w:hAnsi="Arial" w:hint="default"/>
      </w:rPr>
    </w:lvl>
    <w:lvl w:ilvl="2" w:tplc="90E666D6" w:tentative="1">
      <w:start w:val="1"/>
      <w:numFmt w:val="bullet"/>
      <w:lvlText w:val="•"/>
      <w:lvlJc w:val="left"/>
      <w:pPr>
        <w:tabs>
          <w:tab w:val="num" w:pos="2160"/>
        </w:tabs>
        <w:ind w:left="2160" w:hanging="360"/>
      </w:pPr>
      <w:rPr>
        <w:rFonts w:ascii="Arial" w:hAnsi="Arial" w:hint="default"/>
      </w:rPr>
    </w:lvl>
    <w:lvl w:ilvl="3" w:tplc="7E109C12" w:tentative="1">
      <w:start w:val="1"/>
      <w:numFmt w:val="bullet"/>
      <w:lvlText w:val="•"/>
      <w:lvlJc w:val="left"/>
      <w:pPr>
        <w:tabs>
          <w:tab w:val="num" w:pos="2880"/>
        </w:tabs>
        <w:ind w:left="2880" w:hanging="360"/>
      </w:pPr>
      <w:rPr>
        <w:rFonts w:ascii="Arial" w:hAnsi="Arial" w:hint="default"/>
      </w:rPr>
    </w:lvl>
    <w:lvl w:ilvl="4" w:tplc="EB605626" w:tentative="1">
      <w:start w:val="1"/>
      <w:numFmt w:val="bullet"/>
      <w:lvlText w:val="•"/>
      <w:lvlJc w:val="left"/>
      <w:pPr>
        <w:tabs>
          <w:tab w:val="num" w:pos="3600"/>
        </w:tabs>
        <w:ind w:left="3600" w:hanging="360"/>
      </w:pPr>
      <w:rPr>
        <w:rFonts w:ascii="Arial" w:hAnsi="Arial" w:hint="default"/>
      </w:rPr>
    </w:lvl>
    <w:lvl w:ilvl="5" w:tplc="4BD49912" w:tentative="1">
      <w:start w:val="1"/>
      <w:numFmt w:val="bullet"/>
      <w:lvlText w:val="•"/>
      <w:lvlJc w:val="left"/>
      <w:pPr>
        <w:tabs>
          <w:tab w:val="num" w:pos="4320"/>
        </w:tabs>
        <w:ind w:left="4320" w:hanging="360"/>
      </w:pPr>
      <w:rPr>
        <w:rFonts w:ascii="Arial" w:hAnsi="Arial" w:hint="default"/>
      </w:rPr>
    </w:lvl>
    <w:lvl w:ilvl="6" w:tplc="CA024678" w:tentative="1">
      <w:start w:val="1"/>
      <w:numFmt w:val="bullet"/>
      <w:lvlText w:val="•"/>
      <w:lvlJc w:val="left"/>
      <w:pPr>
        <w:tabs>
          <w:tab w:val="num" w:pos="5040"/>
        </w:tabs>
        <w:ind w:left="5040" w:hanging="360"/>
      </w:pPr>
      <w:rPr>
        <w:rFonts w:ascii="Arial" w:hAnsi="Arial" w:hint="default"/>
      </w:rPr>
    </w:lvl>
    <w:lvl w:ilvl="7" w:tplc="F12CB47E" w:tentative="1">
      <w:start w:val="1"/>
      <w:numFmt w:val="bullet"/>
      <w:lvlText w:val="•"/>
      <w:lvlJc w:val="left"/>
      <w:pPr>
        <w:tabs>
          <w:tab w:val="num" w:pos="5760"/>
        </w:tabs>
        <w:ind w:left="5760" w:hanging="360"/>
      </w:pPr>
      <w:rPr>
        <w:rFonts w:ascii="Arial" w:hAnsi="Arial" w:hint="default"/>
      </w:rPr>
    </w:lvl>
    <w:lvl w:ilvl="8" w:tplc="D7A8C1E4"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70AC3FCA"/>
    <w:multiLevelType w:val="hybridMultilevel"/>
    <w:tmpl w:val="4ADC5D8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79BB413B"/>
    <w:multiLevelType w:val="multilevel"/>
    <w:tmpl w:val="5D9A3F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23397204">
    <w:abstractNumId w:val="3"/>
  </w:num>
  <w:num w:numId="2" w16cid:durableId="2057268695">
    <w:abstractNumId w:val="0"/>
  </w:num>
  <w:num w:numId="3" w16cid:durableId="46147577">
    <w:abstractNumId w:val="2"/>
  </w:num>
  <w:num w:numId="4" w16cid:durableId="11517539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777F"/>
    <w:rsid w:val="00002915"/>
    <w:rsid w:val="00147AB5"/>
    <w:rsid w:val="0015777F"/>
    <w:rsid w:val="001B796A"/>
    <w:rsid w:val="00263B3D"/>
    <w:rsid w:val="002A26D9"/>
    <w:rsid w:val="003A3371"/>
    <w:rsid w:val="003F354D"/>
    <w:rsid w:val="0048350E"/>
    <w:rsid w:val="005815B3"/>
    <w:rsid w:val="005A2A30"/>
    <w:rsid w:val="005F641F"/>
    <w:rsid w:val="009B7DF8"/>
    <w:rsid w:val="00B85B13"/>
    <w:rsid w:val="00C77A6D"/>
    <w:rsid w:val="00CD63EE"/>
    <w:rsid w:val="00D76B66"/>
    <w:rsid w:val="00D82FD0"/>
    <w:rsid w:val="00F679AC"/>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6D474"/>
  <w15:chartTrackingRefBased/>
  <w15:docId w15:val="{E84892A1-FBB1-46BF-9CC8-7FEA81A1EB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577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968915">
      <w:bodyDiv w:val="1"/>
      <w:marLeft w:val="0"/>
      <w:marRight w:val="0"/>
      <w:marTop w:val="0"/>
      <w:marBottom w:val="0"/>
      <w:divBdr>
        <w:top w:val="none" w:sz="0" w:space="0" w:color="auto"/>
        <w:left w:val="none" w:sz="0" w:space="0" w:color="auto"/>
        <w:bottom w:val="none" w:sz="0" w:space="0" w:color="auto"/>
        <w:right w:val="none" w:sz="0" w:space="0" w:color="auto"/>
      </w:divBdr>
      <w:divsChild>
        <w:div w:id="276529121">
          <w:marLeft w:val="0"/>
          <w:marRight w:val="0"/>
          <w:marTop w:val="0"/>
          <w:marBottom w:val="0"/>
          <w:divBdr>
            <w:top w:val="none" w:sz="0" w:space="0" w:color="auto"/>
            <w:left w:val="none" w:sz="0" w:space="0" w:color="auto"/>
            <w:bottom w:val="none" w:sz="0" w:space="0" w:color="auto"/>
            <w:right w:val="none" w:sz="0" w:space="0" w:color="auto"/>
          </w:divBdr>
          <w:divsChild>
            <w:div w:id="958031978">
              <w:marLeft w:val="0"/>
              <w:marRight w:val="0"/>
              <w:marTop w:val="0"/>
              <w:marBottom w:val="0"/>
              <w:divBdr>
                <w:top w:val="none" w:sz="0" w:space="0" w:color="auto"/>
                <w:left w:val="none" w:sz="0" w:space="0" w:color="auto"/>
                <w:bottom w:val="none" w:sz="0" w:space="0" w:color="auto"/>
                <w:right w:val="none" w:sz="0" w:space="0" w:color="auto"/>
              </w:divBdr>
            </w:div>
            <w:div w:id="1332948144">
              <w:marLeft w:val="0"/>
              <w:marRight w:val="0"/>
              <w:marTop w:val="0"/>
              <w:marBottom w:val="0"/>
              <w:divBdr>
                <w:top w:val="none" w:sz="0" w:space="0" w:color="auto"/>
                <w:left w:val="none" w:sz="0" w:space="0" w:color="auto"/>
                <w:bottom w:val="none" w:sz="0" w:space="0" w:color="auto"/>
                <w:right w:val="none" w:sz="0" w:space="0" w:color="auto"/>
              </w:divBdr>
            </w:div>
            <w:div w:id="2044091981">
              <w:marLeft w:val="0"/>
              <w:marRight w:val="0"/>
              <w:marTop w:val="0"/>
              <w:marBottom w:val="0"/>
              <w:divBdr>
                <w:top w:val="none" w:sz="0" w:space="0" w:color="auto"/>
                <w:left w:val="none" w:sz="0" w:space="0" w:color="auto"/>
                <w:bottom w:val="none" w:sz="0" w:space="0" w:color="auto"/>
                <w:right w:val="none" w:sz="0" w:space="0" w:color="auto"/>
              </w:divBdr>
            </w:div>
            <w:div w:id="1670448382">
              <w:marLeft w:val="0"/>
              <w:marRight w:val="0"/>
              <w:marTop w:val="0"/>
              <w:marBottom w:val="0"/>
              <w:divBdr>
                <w:top w:val="none" w:sz="0" w:space="0" w:color="auto"/>
                <w:left w:val="none" w:sz="0" w:space="0" w:color="auto"/>
                <w:bottom w:val="none" w:sz="0" w:space="0" w:color="auto"/>
                <w:right w:val="none" w:sz="0" w:space="0" w:color="auto"/>
              </w:divBdr>
            </w:div>
            <w:div w:id="212777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943930">
      <w:bodyDiv w:val="1"/>
      <w:marLeft w:val="0"/>
      <w:marRight w:val="0"/>
      <w:marTop w:val="0"/>
      <w:marBottom w:val="0"/>
      <w:divBdr>
        <w:top w:val="none" w:sz="0" w:space="0" w:color="auto"/>
        <w:left w:val="none" w:sz="0" w:space="0" w:color="auto"/>
        <w:bottom w:val="none" w:sz="0" w:space="0" w:color="auto"/>
        <w:right w:val="none" w:sz="0" w:space="0" w:color="auto"/>
      </w:divBdr>
    </w:div>
    <w:div w:id="1642805553">
      <w:bodyDiv w:val="1"/>
      <w:marLeft w:val="0"/>
      <w:marRight w:val="0"/>
      <w:marTop w:val="0"/>
      <w:marBottom w:val="0"/>
      <w:divBdr>
        <w:top w:val="none" w:sz="0" w:space="0" w:color="auto"/>
        <w:left w:val="none" w:sz="0" w:space="0" w:color="auto"/>
        <w:bottom w:val="none" w:sz="0" w:space="0" w:color="auto"/>
        <w:right w:val="none" w:sz="0" w:space="0" w:color="auto"/>
      </w:divBdr>
    </w:div>
    <w:div w:id="1750811419">
      <w:bodyDiv w:val="1"/>
      <w:marLeft w:val="0"/>
      <w:marRight w:val="0"/>
      <w:marTop w:val="0"/>
      <w:marBottom w:val="0"/>
      <w:divBdr>
        <w:top w:val="none" w:sz="0" w:space="0" w:color="auto"/>
        <w:left w:val="none" w:sz="0" w:space="0" w:color="auto"/>
        <w:bottom w:val="none" w:sz="0" w:space="0" w:color="auto"/>
        <w:right w:val="none" w:sz="0" w:space="0" w:color="auto"/>
      </w:divBdr>
      <w:divsChild>
        <w:div w:id="1958171286">
          <w:marLeft w:val="0"/>
          <w:marRight w:val="0"/>
          <w:marTop w:val="0"/>
          <w:marBottom w:val="0"/>
          <w:divBdr>
            <w:top w:val="none" w:sz="0" w:space="0" w:color="auto"/>
            <w:left w:val="none" w:sz="0" w:space="0" w:color="auto"/>
            <w:bottom w:val="none" w:sz="0" w:space="0" w:color="auto"/>
            <w:right w:val="none" w:sz="0" w:space="0" w:color="auto"/>
          </w:divBdr>
          <w:divsChild>
            <w:div w:id="2036225670">
              <w:marLeft w:val="0"/>
              <w:marRight w:val="0"/>
              <w:marTop w:val="0"/>
              <w:marBottom w:val="0"/>
              <w:divBdr>
                <w:top w:val="none" w:sz="0" w:space="0" w:color="auto"/>
                <w:left w:val="none" w:sz="0" w:space="0" w:color="auto"/>
                <w:bottom w:val="none" w:sz="0" w:space="0" w:color="auto"/>
                <w:right w:val="none" w:sz="0" w:space="0" w:color="auto"/>
              </w:divBdr>
            </w:div>
            <w:div w:id="1719163498">
              <w:marLeft w:val="0"/>
              <w:marRight w:val="0"/>
              <w:marTop w:val="0"/>
              <w:marBottom w:val="0"/>
              <w:divBdr>
                <w:top w:val="none" w:sz="0" w:space="0" w:color="auto"/>
                <w:left w:val="none" w:sz="0" w:space="0" w:color="auto"/>
                <w:bottom w:val="none" w:sz="0" w:space="0" w:color="auto"/>
                <w:right w:val="none" w:sz="0" w:space="0" w:color="auto"/>
              </w:divBdr>
            </w:div>
            <w:div w:id="842282998">
              <w:marLeft w:val="0"/>
              <w:marRight w:val="0"/>
              <w:marTop w:val="0"/>
              <w:marBottom w:val="0"/>
              <w:divBdr>
                <w:top w:val="none" w:sz="0" w:space="0" w:color="auto"/>
                <w:left w:val="none" w:sz="0" w:space="0" w:color="auto"/>
                <w:bottom w:val="none" w:sz="0" w:space="0" w:color="auto"/>
                <w:right w:val="none" w:sz="0" w:space="0" w:color="auto"/>
              </w:divBdr>
            </w:div>
            <w:div w:id="2138066601">
              <w:marLeft w:val="0"/>
              <w:marRight w:val="0"/>
              <w:marTop w:val="0"/>
              <w:marBottom w:val="0"/>
              <w:divBdr>
                <w:top w:val="none" w:sz="0" w:space="0" w:color="auto"/>
                <w:left w:val="none" w:sz="0" w:space="0" w:color="auto"/>
                <w:bottom w:val="none" w:sz="0" w:space="0" w:color="auto"/>
                <w:right w:val="none" w:sz="0" w:space="0" w:color="auto"/>
              </w:divBdr>
            </w:div>
            <w:div w:id="1302350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706</Words>
  <Characters>3888</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EDUARDO SOSA RODRIGUEZ</dc:creator>
  <cp:keywords/>
  <dc:description/>
  <cp:lastModifiedBy>JORGE EDUARDO SOSA RODRIGUEZ</cp:lastModifiedBy>
  <cp:revision>2</cp:revision>
  <dcterms:created xsi:type="dcterms:W3CDTF">2023-05-09T02:05:00Z</dcterms:created>
  <dcterms:modified xsi:type="dcterms:W3CDTF">2023-05-09T02:05:00Z</dcterms:modified>
</cp:coreProperties>
</file>