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34C8" w14:textId="77777777" w:rsidR="008A6246" w:rsidRDefault="008A6246" w:rsidP="008A6246">
      <w:pPr>
        <w:pStyle w:val="Ttulo1"/>
      </w:pPr>
      <w:bookmarkStart w:id="0" w:name="_Toc224769709"/>
      <w:r>
        <w:t>1. Introducción: La Guerra que No Se Ve</w:t>
      </w:r>
      <w:bookmarkEnd w:id="0"/>
    </w:p>
    <w:p w14:paraId="24DED392" w14:textId="62ED531A" w:rsidR="008A6246" w:rsidRDefault="008A6246" w:rsidP="008A6246">
      <w:pPr>
        <w:spacing w:before="120" w:after="120"/>
        <w:jc w:val="both"/>
      </w:pPr>
      <w:r>
        <w:t xml:space="preserve">En la era de la información, la amenaza más peligrosa no llega en forma de misiles, tanques ni ciberataques a infraestructuras críticas. Llega silenciosamente, a través de la pantalla de un teléfono móvil, de un titular compartido en redes sociales, de un vídeo viral diseñado para provocar indignación. La guerra cognitiva —también denominada </w:t>
      </w:r>
      <w:r>
        <w:t>informativa-psicológica</w:t>
      </w:r>
      <w:r>
        <w:t xml:space="preserve"> de última generación— representa el paradigma bélico del siglo XXI: una confrontación en la que el campo de batalla no es el terreno físico ni el ciberespacio como infraestructura, sino la mente humana.</w:t>
      </w:r>
    </w:p>
    <w:p w14:paraId="136745B5" w14:textId="77777777" w:rsidR="008A6246" w:rsidRDefault="008A6246" w:rsidP="008A6246">
      <w:pPr>
        <w:spacing w:before="120" w:after="120"/>
        <w:jc w:val="both"/>
      </w:pPr>
      <w:r>
        <w:t>La Organización del Tratado del Atlántico Norte (OTAN) ha reconocido formalmente la guerra cognitiva como el sexto dominio de las operaciones militares, sumándose a los cinco dominios tradicionales: tierra, mar, aire, espacio y ciberespacio. Esta declaración, sin embargo, describe una realidad que lleva décadas —si no siglos— operando en la sombra. Lo que ha cambiado en el siglo XXI no es la esencia de la guerra cognitiva, sino su alcance, su velocidad y su accesibilidad.</w:t>
      </w:r>
    </w:p>
    <w:p w14:paraId="59B6FCA5" w14:textId="77777777" w:rsidR="008A6246" w:rsidRDefault="008A6246" w:rsidP="008A6246">
      <w:pPr>
        <w:pStyle w:val="Ttulo1"/>
      </w:pPr>
      <w:bookmarkStart w:id="1" w:name="_Toc224769710"/>
      <w:r>
        <w:t>2. Definición y Marco Conceptual</w:t>
      </w:r>
      <w:bookmarkEnd w:id="1"/>
    </w:p>
    <w:p w14:paraId="5C0720D4" w14:textId="77777777" w:rsidR="008A6246" w:rsidRDefault="008A6246" w:rsidP="008A6246">
      <w:pPr>
        <w:pStyle w:val="Ttulo2"/>
      </w:pPr>
      <w:bookmarkStart w:id="2" w:name="_Toc224769711"/>
      <w:r>
        <w:t>2.1 ¿Qué es la Guerra Cognitiva?</w:t>
      </w:r>
      <w:bookmarkEnd w:id="2"/>
    </w:p>
    <w:p w14:paraId="18834B85" w14:textId="4599E742" w:rsidR="008A6246" w:rsidRDefault="008A6246" w:rsidP="008A6246">
      <w:pPr>
        <w:spacing w:before="120" w:after="120"/>
        <w:jc w:val="both"/>
      </w:pPr>
      <w:r>
        <w:t xml:space="preserve">La guerra cognitiva puede definirse como el conjunto de acciones intencionadas dirigidas a influir, distorsionar, degradar o controlar los procesos de percepción, cognición y toma de decisiones de individuos, grupos sociales, instituciones o naciones, con el objetivo de obtener una ventaja estratégica. </w:t>
      </w:r>
    </w:p>
    <w:p w14:paraId="73297D58" w14:textId="77777777" w:rsidR="008A6246" w:rsidRDefault="008A6246" w:rsidP="008A6246">
      <w:pPr>
        <w:spacing w:before="120" w:after="120"/>
        <w:jc w:val="both"/>
      </w:pPr>
      <w:r>
        <w:t>Conceptualmente, la guerra cognitiva se asienta sobre tres pilares fundamentales: la narrativa (el marco interpretativo de la realidad que se construye), el canal de distribución (el vector por el cual la narrativa llega al receptor) y la vulnerabilidad psicológica (los sesgos cognitivos, emociones y estructuras de creencias del objetivo). La eficacia de una operación cognitiva depende de la intersección de estos tres elementos.</w:t>
      </w:r>
    </w:p>
    <w:p w14:paraId="7F432911" w14:textId="77777777" w:rsidR="008A6246" w:rsidRDefault="008A6246" w:rsidP="008A6246">
      <w:pPr>
        <w:spacing w:before="120" w:after="120"/>
        <w:jc w:val="both"/>
      </w:pPr>
    </w:p>
    <w:p w14:paraId="19BA804C" w14:textId="77777777" w:rsidR="008A6246" w:rsidRPr="008A6246" w:rsidRDefault="008A6246" w:rsidP="008A6246">
      <w:pPr>
        <w:pStyle w:val="Ttulo2"/>
        <w:rPr>
          <w:color w:val="000000" w:themeColor="text1"/>
        </w:rPr>
      </w:pPr>
      <w:bookmarkStart w:id="3" w:name="_Toc224769712"/>
      <w:r w:rsidRPr="008A6246">
        <w:rPr>
          <w:color w:val="000000" w:themeColor="text1"/>
        </w:rPr>
        <w:t>2.2 Distinción entre Conceptos Relacionados</w:t>
      </w:r>
      <w:bookmarkEnd w:id="3"/>
    </w:p>
    <w:p w14:paraId="6CF1D897" w14:textId="77777777" w:rsidR="008A6246" w:rsidRPr="008A6246" w:rsidRDefault="008A6246" w:rsidP="008A6246">
      <w:pPr>
        <w:spacing w:before="120" w:after="120"/>
        <w:jc w:val="both"/>
        <w:rPr>
          <w:color w:val="000000" w:themeColor="text1"/>
        </w:rPr>
      </w:pPr>
      <w:r w:rsidRPr="008A6246">
        <w:rPr>
          <w:b/>
          <w:bCs/>
          <w:color w:val="000000" w:themeColor="text1"/>
        </w:rPr>
        <w:t xml:space="preserve">Guerra psicológica (PSYOPS): </w:t>
      </w:r>
      <w:r w:rsidRPr="008A6246">
        <w:rPr>
          <w:color w:val="000000" w:themeColor="text1"/>
        </w:rPr>
        <w:t>Término militar clásico que designa operaciones dirigidas a influir en las emociones, actitudes y comportamientos de poblaciones objetivo. La guerra cognitiva amplía este concepto al incorporar las neurociencias, la inteligencia artificial y las redes sociales.</w:t>
      </w:r>
    </w:p>
    <w:p w14:paraId="150F0009" w14:textId="77777777" w:rsidR="008A6246" w:rsidRPr="008A6246" w:rsidRDefault="008A6246" w:rsidP="008A6246">
      <w:pPr>
        <w:spacing w:before="120" w:after="120"/>
        <w:jc w:val="both"/>
        <w:rPr>
          <w:color w:val="000000" w:themeColor="text1"/>
        </w:rPr>
      </w:pPr>
      <w:r w:rsidRPr="008A6246">
        <w:rPr>
          <w:b/>
          <w:bCs/>
          <w:color w:val="000000" w:themeColor="text1"/>
        </w:rPr>
        <w:t xml:space="preserve">Guerra de la información: </w:t>
      </w:r>
      <w:r w:rsidRPr="008A6246">
        <w:rPr>
          <w:color w:val="000000" w:themeColor="text1"/>
        </w:rPr>
        <w:t>Centrada en la gestión, manipulación y protección del flujo de información. La guerra cognitiva utiliza la información como munición, pero su objetivo final es el proceso cognitivo, no la información en sí.</w:t>
      </w:r>
    </w:p>
    <w:p w14:paraId="7B811163" w14:textId="77777777" w:rsidR="008A6246" w:rsidRPr="008A6246" w:rsidRDefault="008A6246" w:rsidP="008A6246">
      <w:pPr>
        <w:spacing w:before="120" w:after="120"/>
        <w:jc w:val="both"/>
        <w:rPr>
          <w:color w:val="000000" w:themeColor="text1"/>
        </w:rPr>
      </w:pPr>
      <w:r w:rsidRPr="008A6246">
        <w:rPr>
          <w:b/>
          <w:bCs/>
          <w:color w:val="000000" w:themeColor="text1"/>
        </w:rPr>
        <w:t xml:space="preserve">Desinformación: </w:t>
      </w:r>
      <w:r w:rsidRPr="008A6246">
        <w:rPr>
          <w:color w:val="000000" w:themeColor="text1"/>
        </w:rPr>
        <w:t>Difusión deliberada de información falsa o engañosa. Es una táctica dentro de la guerra cognitiva, pero no la única ni la más sofisticada.</w:t>
      </w:r>
    </w:p>
    <w:p w14:paraId="082DBC73" w14:textId="77777777" w:rsidR="008A6246" w:rsidRDefault="008A6246" w:rsidP="008A6246">
      <w:pPr>
        <w:pStyle w:val="Ttulo2"/>
      </w:pPr>
      <w:bookmarkStart w:id="4" w:name="_Toc224769717"/>
    </w:p>
    <w:p w14:paraId="5AB4B7D1" w14:textId="77777777" w:rsidR="008A6246" w:rsidRDefault="008A6246" w:rsidP="008A6246">
      <w:pPr>
        <w:pStyle w:val="Ttulo2"/>
      </w:pPr>
    </w:p>
    <w:p w14:paraId="0C38509B" w14:textId="5DA33EFF" w:rsidR="008A6246" w:rsidRDefault="008A6246" w:rsidP="008A6246">
      <w:pPr>
        <w:pStyle w:val="Ttulo2"/>
      </w:pPr>
      <w:r>
        <w:t>3.4 Del Pasado al Presente: La Digitalización como Catalizador</w:t>
      </w:r>
      <w:bookmarkEnd w:id="4"/>
    </w:p>
    <w:p w14:paraId="677906B3" w14:textId="77777777" w:rsidR="008A6246" w:rsidRDefault="008A6246" w:rsidP="008A6246">
      <w:pPr>
        <w:spacing w:before="120" w:after="120"/>
        <w:jc w:val="both"/>
      </w:pPr>
      <w:r>
        <w:t>Si la guerra cognitiva ha existido siempre, ¿qué la hace cualitativamente diferente en el siglo XXI? La respuesta reside en cuatro factores transformadores: la escala (miles de millones de personas conectadas en tiempo real), la velocidad (la información viral puede llegar a toda una nación en minutos), la personalización (los algoritmos permiten targeting cognitivo individual) y el coste marginal casi nulo (una operación que antes requería millones de dólares puede ejecutarse hoy por un grupo pequeño con acceso a plataformas digitales).</w:t>
      </w:r>
    </w:p>
    <w:p w14:paraId="2902EA4E" w14:textId="77777777" w:rsidR="008A6246" w:rsidRDefault="008A6246" w:rsidP="008A6246">
      <w:pPr>
        <w:pStyle w:val="Ttulo1"/>
      </w:pPr>
      <w:bookmarkStart w:id="5" w:name="_Toc224769718"/>
      <w:r>
        <w:t>4. La OTAN y la Guerra Cognitiva: El Futuro es el Presente</w:t>
      </w:r>
      <w:bookmarkEnd w:id="5"/>
    </w:p>
    <w:p w14:paraId="6FE36DAD" w14:textId="77777777" w:rsidR="008A6246" w:rsidRDefault="008A6246" w:rsidP="008A6246">
      <w:pPr>
        <w:pStyle w:val="Ttulo2"/>
      </w:pPr>
      <w:bookmarkStart w:id="6" w:name="_Toc224769719"/>
      <w:r>
        <w:t>4.1 Reconocimiento Institucional</w:t>
      </w:r>
      <w:bookmarkEnd w:id="6"/>
    </w:p>
    <w:p w14:paraId="02F380A9" w14:textId="77777777" w:rsidR="008A6246" w:rsidRDefault="008A6246" w:rsidP="008A6246">
      <w:pPr>
        <w:spacing w:before="120" w:after="120"/>
        <w:jc w:val="both"/>
      </w:pPr>
      <w:r>
        <w:t xml:space="preserve">En 2021, el </w:t>
      </w:r>
      <w:proofErr w:type="spellStart"/>
      <w:r>
        <w:t>Innovation</w:t>
      </w:r>
      <w:proofErr w:type="spellEnd"/>
      <w:r>
        <w:t xml:space="preserve"> </w:t>
      </w:r>
      <w:proofErr w:type="gramStart"/>
      <w:r>
        <w:t>Hub</w:t>
      </w:r>
      <w:proofErr w:type="gramEnd"/>
      <w:r>
        <w:t xml:space="preserve"> de la OTAN en Norfolk (Virginia) publicó el documento 'Cognitive </w:t>
      </w:r>
      <w:proofErr w:type="spellStart"/>
      <w:r>
        <w:t>Warfare</w:t>
      </w:r>
      <w:proofErr w:type="spellEnd"/>
      <w:r>
        <w:t xml:space="preserve">', elaborado por investigadores de la Johns Hopkins </w:t>
      </w:r>
      <w:proofErr w:type="spellStart"/>
      <w:r>
        <w:t>University</w:t>
      </w:r>
      <w:proofErr w:type="spellEnd"/>
      <w:r>
        <w:t xml:space="preserve"> en colaboración con la Faculté de </w:t>
      </w:r>
      <w:proofErr w:type="spellStart"/>
      <w:r>
        <w:t>Sciences</w:t>
      </w:r>
      <w:proofErr w:type="spellEnd"/>
      <w:r>
        <w:t xml:space="preserve"> et Technologies de </w:t>
      </w:r>
      <w:proofErr w:type="spellStart"/>
      <w:r>
        <w:t>Université</w:t>
      </w:r>
      <w:proofErr w:type="spellEnd"/>
      <w:r>
        <w:t xml:space="preserve"> de Bordeaux. Este informe constituye el primer reconocimiento oficial sistematizado de la guerra cognitiva como dominio autónomo del conflicto contemporáneo, diferenciado del </w:t>
      </w:r>
      <w:proofErr w:type="gramStart"/>
      <w:r>
        <w:t>ciberespacio</w:t>
      </w:r>
      <w:proofErr w:type="gramEnd"/>
      <w:r>
        <w:t xml:space="preserve"> aunque íntimamente relacionado con él.</w:t>
      </w:r>
    </w:p>
    <w:p w14:paraId="529B7BC8" w14:textId="77777777" w:rsidR="008A6246" w:rsidRDefault="008A6246" w:rsidP="008A6246">
      <w:pPr>
        <w:spacing w:before="120" w:after="120"/>
        <w:jc w:val="both"/>
      </w:pPr>
      <w:r>
        <w:t>El documento plantea una tesis provocadora: mientras que la guerra cibernética explota vulnerabilidades de los sistemas tecnológicos, la guerra cognitiva explota vulnerabilidades del sistema más complejo que existe: el cerebro humano. Y a diferencia de los firewalls que pueden parchearse, los sesgos cognitivos humanos son estructurales y difícilmente remediables.</w:t>
      </w:r>
    </w:p>
    <w:p w14:paraId="31E87DD4" w14:textId="77777777" w:rsidR="008A6246" w:rsidRDefault="008A6246" w:rsidP="008A6246">
      <w:pPr>
        <w:pStyle w:val="Ttulo2"/>
      </w:pPr>
      <w:bookmarkStart w:id="7" w:name="_Toc224769720"/>
      <w:r>
        <w:t>4.2 El Sexto Dominio de las Operaciones</w:t>
      </w:r>
      <w:bookmarkEnd w:id="7"/>
    </w:p>
    <w:p w14:paraId="3F2FF426" w14:textId="77777777" w:rsidR="008A6246" w:rsidRDefault="008A6246" w:rsidP="008A6246">
      <w:pPr>
        <w:spacing w:before="120" w:after="120"/>
        <w:jc w:val="both"/>
      </w:pPr>
      <w:r>
        <w:t>La OTAN opera tradicionalmente en cinco dominios: tierra, mar, aire, espacio y ciberespacio. La incorporación del dominio cognitivo como sexto dominio representa un cambio doctrinal de primera magnitud. Implica reconocer que las operaciones militares modernas no pueden limitarse a la dominación física o tecnológica del campo de batalla: la batalla por la narrativa, la percepción y la voluntad de lucha es igualmente decisiva.</w:t>
      </w:r>
    </w:p>
    <w:p w14:paraId="2DB6303F" w14:textId="77777777" w:rsidR="008A6246" w:rsidRDefault="008A6246" w:rsidP="008A6246">
      <w:pPr>
        <w:spacing w:before="120" w:after="120"/>
        <w:jc w:val="both"/>
      </w:pPr>
      <w:r>
        <w:t xml:space="preserve">En este marco, la OTAN ha desarrollado el concepto de Multi-Domain </w:t>
      </w:r>
      <w:proofErr w:type="spellStart"/>
      <w:r>
        <w:t>Operations</w:t>
      </w:r>
      <w:proofErr w:type="spellEnd"/>
      <w:r>
        <w:t xml:space="preserve"> (MDO), que coordina acciones simultáneas en los seis dominios para crear efectos sinérgicos. Una operación MDO puede combinar un ataque cibernético a infraestructuras eléctricas (que genera pánico), con una campaña de desinformación (que atribuye el apagón a incompetencia gubernamental) y una operación de PSYOPS en redes sociales (que amplifica la narrativa de crisis), todo ello simultáneamente y de forma orquestada.</w:t>
      </w:r>
    </w:p>
    <w:p w14:paraId="3148BCB0" w14:textId="77777777" w:rsidR="00742E3C" w:rsidRDefault="00742E3C" w:rsidP="008A6246">
      <w:pPr>
        <w:spacing w:before="120" w:after="120"/>
        <w:jc w:val="both"/>
        <w:rPr>
          <w:color w:val="EE0000"/>
        </w:rPr>
      </w:pPr>
    </w:p>
    <w:p w14:paraId="725B158C" w14:textId="66F3C7E6" w:rsidR="008A6246" w:rsidRPr="00742E3C" w:rsidRDefault="008A6246" w:rsidP="008A6246">
      <w:pPr>
        <w:spacing w:before="120" w:after="120"/>
        <w:jc w:val="both"/>
        <w:rPr>
          <w:color w:val="000000" w:themeColor="text1"/>
        </w:rPr>
      </w:pPr>
      <w:r w:rsidRPr="00742E3C">
        <w:rPr>
          <w:color w:val="000000" w:themeColor="text1"/>
        </w:rPr>
        <w:t xml:space="preserve">Para hacer frente a las amenazas cognitivas, la OTAN creó en 2014 el NATO </w:t>
      </w:r>
      <w:proofErr w:type="spellStart"/>
      <w:r w:rsidRPr="00742E3C">
        <w:rPr>
          <w:color w:val="000000" w:themeColor="text1"/>
        </w:rPr>
        <w:t>Strategic</w:t>
      </w:r>
      <w:proofErr w:type="spellEnd"/>
      <w:r w:rsidRPr="00742E3C">
        <w:rPr>
          <w:color w:val="000000" w:themeColor="text1"/>
        </w:rPr>
        <w:t xml:space="preserve"> </w:t>
      </w:r>
      <w:proofErr w:type="spellStart"/>
      <w:r w:rsidRPr="00742E3C">
        <w:rPr>
          <w:color w:val="000000" w:themeColor="text1"/>
        </w:rPr>
        <w:t>Communications</w:t>
      </w:r>
      <w:proofErr w:type="spellEnd"/>
      <w:r w:rsidRPr="00742E3C">
        <w:rPr>
          <w:color w:val="000000" w:themeColor="text1"/>
        </w:rPr>
        <w:t xml:space="preserve"> Centre </w:t>
      </w:r>
      <w:proofErr w:type="spellStart"/>
      <w:r w:rsidRPr="00742E3C">
        <w:rPr>
          <w:color w:val="000000" w:themeColor="text1"/>
        </w:rPr>
        <w:t>of</w:t>
      </w:r>
      <w:proofErr w:type="spellEnd"/>
      <w:r w:rsidRPr="00742E3C">
        <w:rPr>
          <w:color w:val="000000" w:themeColor="text1"/>
        </w:rPr>
        <w:t xml:space="preserve"> </w:t>
      </w:r>
      <w:proofErr w:type="spellStart"/>
      <w:r w:rsidRPr="00742E3C">
        <w:rPr>
          <w:color w:val="000000" w:themeColor="text1"/>
        </w:rPr>
        <w:t>Excellence</w:t>
      </w:r>
      <w:proofErr w:type="spellEnd"/>
      <w:r w:rsidRPr="00742E3C">
        <w:rPr>
          <w:color w:val="000000" w:themeColor="text1"/>
        </w:rPr>
        <w:t xml:space="preserve"> (</w:t>
      </w:r>
      <w:proofErr w:type="spellStart"/>
      <w:r w:rsidRPr="00742E3C">
        <w:rPr>
          <w:color w:val="000000" w:themeColor="text1"/>
        </w:rPr>
        <w:t>StratCom</w:t>
      </w:r>
      <w:proofErr w:type="spellEnd"/>
      <w:r w:rsidRPr="00742E3C">
        <w:rPr>
          <w:color w:val="000000" w:themeColor="text1"/>
        </w:rPr>
        <w:t xml:space="preserve"> COE)</w:t>
      </w:r>
    </w:p>
    <w:p w14:paraId="2B569372" w14:textId="4E7B88A0" w:rsidR="008A6246" w:rsidRPr="009E68E9" w:rsidRDefault="008A6246" w:rsidP="008A6246">
      <w:pPr>
        <w:spacing w:before="120" w:after="120"/>
        <w:jc w:val="both"/>
        <w:rPr>
          <w:color w:val="000000" w:themeColor="text1"/>
        </w:rPr>
      </w:pPr>
      <w:r w:rsidRPr="00DF78D2">
        <w:rPr>
          <w:color w:val="000000" w:themeColor="text1"/>
        </w:rPr>
        <w:t>la técnica rusa de saturar el espacio informativo con un volumen tal de narrativas contradictorias que el receptor es incapaz de procesar la realidad con claridad: no se busca convencer, sino confundir.</w:t>
      </w:r>
    </w:p>
    <w:p w14:paraId="3363525C" w14:textId="77777777" w:rsidR="008A6246" w:rsidRDefault="008A6246" w:rsidP="008A6246">
      <w:pPr>
        <w:pStyle w:val="Ttulo1"/>
      </w:pPr>
      <w:bookmarkStart w:id="8" w:name="_Toc224769722"/>
      <w:r>
        <w:lastRenderedPageBreak/>
        <w:t>5. Comparativa con Otros Dominios de la Guerra</w:t>
      </w:r>
      <w:bookmarkEnd w:id="8"/>
    </w:p>
    <w:p w14:paraId="5321C105" w14:textId="29EC776E" w:rsidR="008A6246" w:rsidRDefault="008A6246" w:rsidP="008A6246">
      <w:pPr>
        <w:spacing w:before="120" w:after="120"/>
        <w:jc w:val="both"/>
      </w:pPr>
      <w:r>
        <w:t>Para comprender la singularidad de la guerra cognitiva, resulta iluminador compararla con los demás dominios del conflicto armado moderno. Cada dominio tiene sus propias características en términos de campo de batalla, actores, medios</w:t>
      </w:r>
      <w:r w:rsidR="00742E3C">
        <w:t xml:space="preserve"> y</w:t>
      </w:r>
      <w:r>
        <w:t xml:space="preserve"> coste</w:t>
      </w:r>
      <w:r w:rsidR="00742E3C">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8A6246" w14:paraId="73874507" w14:textId="77777777" w:rsidTr="006F5C0D">
        <w:trPr>
          <w:tblHeader/>
        </w:trPr>
        <w:tc>
          <w:tcPr>
            <w:tcW w:w="1800" w:type="dxa"/>
            <w:shd w:val="clear" w:color="auto" w:fill="1A3A5C"/>
            <w:tcMar>
              <w:top w:w="80" w:type="dxa"/>
              <w:left w:w="120" w:type="dxa"/>
              <w:bottom w:w="80" w:type="dxa"/>
              <w:right w:w="120" w:type="dxa"/>
            </w:tcMar>
          </w:tcPr>
          <w:p w14:paraId="50F6CCAF" w14:textId="77777777" w:rsidR="008A6246" w:rsidRDefault="008A6246" w:rsidP="006F5C0D">
            <w:r>
              <w:rPr>
                <w:b/>
                <w:bCs/>
                <w:color w:val="FFFFFF"/>
                <w:sz w:val="20"/>
                <w:szCs w:val="20"/>
              </w:rPr>
              <w:t>Dominio</w:t>
            </w:r>
          </w:p>
        </w:tc>
        <w:tc>
          <w:tcPr>
            <w:tcW w:w="1800" w:type="dxa"/>
            <w:shd w:val="clear" w:color="auto" w:fill="1A3A5C"/>
            <w:tcMar>
              <w:top w:w="80" w:type="dxa"/>
              <w:left w:w="120" w:type="dxa"/>
              <w:bottom w:w="80" w:type="dxa"/>
              <w:right w:w="120" w:type="dxa"/>
            </w:tcMar>
          </w:tcPr>
          <w:p w14:paraId="271736AF" w14:textId="77777777" w:rsidR="008A6246" w:rsidRDefault="008A6246" w:rsidP="006F5C0D">
            <w:r>
              <w:rPr>
                <w:b/>
                <w:bCs/>
                <w:color w:val="FFFFFF"/>
                <w:sz w:val="20"/>
                <w:szCs w:val="20"/>
              </w:rPr>
              <w:t>Campo de batalla</w:t>
            </w:r>
          </w:p>
        </w:tc>
        <w:tc>
          <w:tcPr>
            <w:tcW w:w="1800" w:type="dxa"/>
            <w:shd w:val="clear" w:color="auto" w:fill="1A3A5C"/>
            <w:tcMar>
              <w:top w:w="80" w:type="dxa"/>
              <w:left w:w="120" w:type="dxa"/>
              <w:bottom w:w="80" w:type="dxa"/>
              <w:right w:w="120" w:type="dxa"/>
            </w:tcMar>
          </w:tcPr>
          <w:p w14:paraId="40999AA3" w14:textId="77777777" w:rsidR="008A6246" w:rsidRDefault="008A6246" w:rsidP="006F5C0D">
            <w:r>
              <w:rPr>
                <w:b/>
                <w:bCs/>
                <w:color w:val="FFFFFF"/>
                <w:sz w:val="20"/>
                <w:szCs w:val="20"/>
              </w:rPr>
              <w:t>Arma principal</w:t>
            </w:r>
          </w:p>
        </w:tc>
        <w:tc>
          <w:tcPr>
            <w:tcW w:w="1800" w:type="dxa"/>
            <w:shd w:val="clear" w:color="auto" w:fill="1A3A5C"/>
            <w:tcMar>
              <w:top w:w="80" w:type="dxa"/>
              <w:left w:w="120" w:type="dxa"/>
              <w:bottom w:w="80" w:type="dxa"/>
              <w:right w:w="120" w:type="dxa"/>
            </w:tcMar>
          </w:tcPr>
          <w:p w14:paraId="5FCE287E" w14:textId="77777777" w:rsidR="008A6246" w:rsidRDefault="008A6246" w:rsidP="006F5C0D">
            <w:r>
              <w:rPr>
                <w:b/>
                <w:bCs/>
                <w:color w:val="FFFFFF"/>
                <w:sz w:val="20"/>
                <w:szCs w:val="20"/>
              </w:rPr>
              <w:t>Actor predominante</w:t>
            </w:r>
          </w:p>
        </w:tc>
        <w:tc>
          <w:tcPr>
            <w:tcW w:w="1800" w:type="dxa"/>
            <w:shd w:val="clear" w:color="auto" w:fill="1A3A5C"/>
            <w:tcMar>
              <w:top w:w="80" w:type="dxa"/>
              <w:left w:w="120" w:type="dxa"/>
              <w:bottom w:w="80" w:type="dxa"/>
              <w:right w:w="120" w:type="dxa"/>
            </w:tcMar>
          </w:tcPr>
          <w:p w14:paraId="02F45C58" w14:textId="77777777" w:rsidR="008A6246" w:rsidRDefault="008A6246" w:rsidP="006F5C0D">
            <w:r>
              <w:rPr>
                <w:b/>
                <w:bCs/>
                <w:color w:val="FFFFFF"/>
                <w:sz w:val="20"/>
                <w:szCs w:val="20"/>
              </w:rPr>
              <w:t>Coste</w:t>
            </w:r>
          </w:p>
        </w:tc>
      </w:tr>
      <w:tr w:rsidR="008A6246" w14:paraId="216E5B31" w14:textId="77777777" w:rsidTr="006F5C0D">
        <w:tc>
          <w:tcPr>
            <w:tcW w:w="1800" w:type="dxa"/>
            <w:shd w:val="clear" w:color="auto" w:fill="EBF2F9"/>
            <w:tcMar>
              <w:top w:w="60" w:type="dxa"/>
              <w:left w:w="120" w:type="dxa"/>
              <w:bottom w:w="60" w:type="dxa"/>
              <w:right w:w="120" w:type="dxa"/>
            </w:tcMar>
          </w:tcPr>
          <w:p w14:paraId="27700C11" w14:textId="77777777" w:rsidR="008A6246" w:rsidRDefault="008A6246" w:rsidP="006F5C0D">
            <w:r>
              <w:rPr>
                <w:sz w:val="19"/>
                <w:szCs w:val="19"/>
              </w:rPr>
              <w:t>Tierra</w:t>
            </w:r>
          </w:p>
        </w:tc>
        <w:tc>
          <w:tcPr>
            <w:tcW w:w="1800" w:type="dxa"/>
            <w:shd w:val="clear" w:color="auto" w:fill="EBF2F9"/>
            <w:tcMar>
              <w:top w:w="60" w:type="dxa"/>
              <w:left w:w="120" w:type="dxa"/>
              <w:bottom w:w="60" w:type="dxa"/>
              <w:right w:w="120" w:type="dxa"/>
            </w:tcMar>
          </w:tcPr>
          <w:p w14:paraId="108BAF96" w14:textId="77777777" w:rsidR="008A6246" w:rsidRDefault="008A6246" w:rsidP="006F5C0D">
            <w:r>
              <w:rPr>
                <w:sz w:val="19"/>
                <w:szCs w:val="19"/>
              </w:rPr>
              <w:t>Territorio físico</w:t>
            </w:r>
          </w:p>
        </w:tc>
        <w:tc>
          <w:tcPr>
            <w:tcW w:w="1800" w:type="dxa"/>
            <w:shd w:val="clear" w:color="auto" w:fill="EBF2F9"/>
            <w:tcMar>
              <w:top w:w="60" w:type="dxa"/>
              <w:left w:w="120" w:type="dxa"/>
              <w:bottom w:w="60" w:type="dxa"/>
              <w:right w:w="120" w:type="dxa"/>
            </w:tcMar>
          </w:tcPr>
          <w:p w14:paraId="59DBC4F0" w14:textId="77777777" w:rsidR="008A6246" w:rsidRDefault="008A6246" w:rsidP="006F5C0D">
            <w:r>
              <w:rPr>
                <w:sz w:val="19"/>
                <w:szCs w:val="19"/>
              </w:rPr>
              <w:t>Armamento cinético</w:t>
            </w:r>
          </w:p>
        </w:tc>
        <w:tc>
          <w:tcPr>
            <w:tcW w:w="1800" w:type="dxa"/>
            <w:shd w:val="clear" w:color="auto" w:fill="EBF2F9"/>
            <w:tcMar>
              <w:top w:w="60" w:type="dxa"/>
              <w:left w:w="120" w:type="dxa"/>
              <w:bottom w:w="60" w:type="dxa"/>
              <w:right w:w="120" w:type="dxa"/>
            </w:tcMar>
          </w:tcPr>
          <w:p w14:paraId="5F1F14E9" w14:textId="77777777" w:rsidR="008A6246" w:rsidRDefault="008A6246" w:rsidP="006F5C0D">
            <w:r>
              <w:rPr>
                <w:sz w:val="19"/>
                <w:szCs w:val="19"/>
              </w:rPr>
              <w:t>Ejércitos nacionales</w:t>
            </w:r>
          </w:p>
        </w:tc>
        <w:tc>
          <w:tcPr>
            <w:tcW w:w="1800" w:type="dxa"/>
            <w:shd w:val="clear" w:color="auto" w:fill="EBF2F9"/>
            <w:tcMar>
              <w:top w:w="60" w:type="dxa"/>
              <w:left w:w="120" w:type="dxa"/>
              <w:bottom w:w="60" w:type="dxa"/>
              <w:right w:w="120" w:type="dxa"/>
            </w:tcMar>
          </w:tcPr>
          <w:p w14:paraId="467213CC" w14:textId="77777777" w:rsidR="008A6246" w:rsidRDefault="008A6246" w:rsidP="006F5C0D">
            <w:r>
              <w:rPr>
                <w:sz w:val="19"/>
                <w:szCs w:val="19"/>
              </w:rPr>
              <w:t>Muy alto</w:t>
            </w:r>
          </w:p>
        </w:tc>
      </w:tr>
      <w:tr w:rsidR="008A6246" w14:paraId="322822F8" w14:textId="77777777" w:rsidTr="006F5C0D">
        <w:tc>
          <w:tcPr>
            <w:tcW w:w="1800" w:type="dxa"/>
            <w:shd w:val="clear" w:color="auto" w:fill="FFFFFF"/>
            <w:tcMar>
              <w:top w:w="60" w:type="dxa"/>
              <w:left w:w="120" w:type="dxa"/>
              <w:bottom w:w="60" w:type="dxa"/>
              <w:right w:w="120" w:type="dxa"/>
            </w:tcMar>
          </w:tcPr>
          <w:p w14:paraId="21AD37BA" w14:textId="77777777" w:rsidR="008A6246" w:rsidRDefault="008A6246" w:rsidP="006F5C0D">
            <w:r>
              <w:rPr>
                <w:sz w:val="19"/>
                <w:szCs w:val="19"/>
              </w:rPr>
              <w:t>Mar</w:t>
            </w:r>
          </w:p>
        </w:tc>
        <w:tc>
          <w:tcPr>
            <w:tcW w:w="1800" w:type="dxa"/>
            <w:shd w:val="clear" w:color="auto" w:fill="FFFFFF"/>
            <w:tcMar>
              <w:top w:w="60" w:type="dxa"/>
              <w:left w:w="120" w:type="dxa"/>
              <w:bottom w:w="60" w:type="dxa"/>
              <w:right w:w="120" w:type="dxa"/>
            </w:tcMar>
          </w:tcPr>
          <w:p w14:paraId="0D3F94A5" w14:textId="77777777" w:rsidR="008A6246" w:rsidRDefault="008A6246" w:rsidP="006F5C0D">
            <w:r>
              <w:rPr>
                <w:sz w:val="19"/>
                <w:szCs w:val="19"/>
              </w:rPr>
              <w:t>Océanos y rutas</w:t>
            </w:r>
          </w:p>
        </w:tc>
        <w:tc>
          <w:tcPr>
            <w:tcW w:w="1800" w:type="dxa"/>
            <w:shd w:val="clear" w:color="auto" w:fill="FFFFFF"/>
            <w:tcMar>
              <w:top w:w="60" w:type="dxa"/>
              <w:left w:w="120" w:type="dxa"/>
              <w:bottom w:w="60" w:type="dxa"/>
              <w:right w:w="120" w:type="dxa"/>
            </w:tcMar>
          </w:tcPr>
          <w:p w14:paraId="5B3628A6" w14:textId="77777777" w:rsidR="008A6246" w:rsidRDefault="008A6246" w:rsidP="006F5C0D">
            <w:r>
              <w:rPr>
                <w:sz w:val="19"/>
                <w:szCs w:val="19"/>
              </w:rPr>
              <w:t>Flotas y submarinos</w:t>
            </w:r>
          </w:p>
        </w:tc>
        <w:tc>
          <w:tcPr>
            <w:tcW w:w="1800" w:type="dxa"/>
            <w:shd w:val="clear" w:color="auto" w:fill="FFFFFF"/>
            <w:tcMar>
              <w:top w:w="60" w:type="dxa"/>
              <w:left w:w="120" w:type="dxa"/>
              <w:bottom w:w="60" w:type="dxa"/>
              <w:right w:w="120" w:type="dxa"/>
            </w:tcMar>
          </w:tcPr>
          <w:p w14:paraId="47C256AD" w14:textId="77777777" w:rsidR="008A6246" w:rsidRDefault="008A6246" w:rsidP="006F5C0D">
            <w:r>
              <w:rPr>
                <w:sz w:val="19"/>
                <w:szCs w:val="19"/>
              </w:rPr>
              <w:t>Marinas militares</w:t>
            </w:r>
          </w:p>
        </w:tc>
        <w:tc>
          <w:tcPr>
            <w:tcW w:w="1800" w:type="dxa"/>
            <w:shd w:val="clear" w:color="auto" w:fill="FFFFFF"/>
            <w:tcMar>
              <w:top w:w="60" w:type="dxa"/>
              <w:left w:w="120" w:type="dxa"/>
              <w:bottom w:w="60" w:type="dxa"/>
              <w:right w:w="120" w:type="dxa"/>
            </w:tcMar>
          </w:tcPr>
          <w:p w14:paraId="0583F3AF" w14:textId="77777777" w:rsidR="008A6246" w:rsidRDefault="008A6246" w:rsidP="006F5C0D">
            <w:r>
              <w:rPr>
                <w:sz w:val="19"/>
                <w:szCs w:val="19"/>
              </w:rPr>
              <w:t>Alto</w:t>
            </w:r>
          </w:p>
        </w:tc>
      </w:tr>
      <w:tr w:rsidR="008A6246" w14:paraId="04508A4E" w14:textId="77777777" w:rsidTr="006F5C0D">
        <w:tc>
          <w:tcPr>
            <w:tcW w:w="1800" w:type="dxa"/>
            <w:shd w:val="clear" w:color="auto" w:fill="EBF2F9"/>
            <w:tcMar>
              <w:top w:w="60" w:type="dxa"/>
              <w:left w:w="120" w:type="dxa"/>
              <w:bottom w:w="60" w:type="dxa"/>
              <w:right w:w="120" w:type="dxa"/>
            </w:tcMar>
          </w:tcPr>
          <w:p w14:paraId="48D245E1" w14:textId="77777777" w:rsidR="008A6246" w:rsidRDefault="008A6246" w:rsidP="006F5C0D">
            <w:r>
              <w:rPr>
                <w:sz w:val="19"/>
                <w:szCs w:val="19"/>
              </w:rPr>
              <w:t>Aire</w:t>
            </w:r>
          </w:p>
        </w:tc>
        <w:tc>
          <w:tcPr>
            <w:tcW w:w="1800" w:type="dxa"/>
            <w:shd w:val="clear" w:color="auto" w:fill="EBF2F9"/>
            <w:tcMar>
              <w:top w:w="60" w:type="dxa"/>
              <w:left w:w="120" w:type="dxa"/>
              <w:bottom w:w="60" w:type="dxa"/>
              <w:right w:w="120" w:type="dxa"/>
            </w:tcMar>
          </w:tcPr>
          <w:p w14:paraId="45CFB502" w14:textId="77777777" w:rsidR="008A6246" w:rsidRDefault="008A6246" w:rsidP="006F5C0D">
            <w:r>
              <w:rPr>
                <w:sz w:val="19"/>
                <w:szCs w:val="19"/>
              </w:rPr>
              <w:t>Espacio aéreo</w:t>
            </w:r>
          </w:p>
        </w:tc>
        <w:tc>
          <w:tcPr>
            <w:tcW w:w="1800" w:type="dxa"/>
            <w:shd w:val="clear" w:color="auto" w:fill="EBF2F9"/>
            <w:tcMar>
              <w:top w:w="60" w:type="dxa"/>
              <w:left w:w="120" w:type="dxa"/>
              <w:bottom w:w="60" w:type="dxa"/>
              <w:right w:w="120" w:type="dxa"/>
            </w:tcMar>
          </w:tcPr>
          <w:p w14:paraId="4C5FF99F" w14:textId="77777777" w:rsidR="008A6246" w:rsidRDefault="008A6246" w:rsidP="006F5C0D">
            <w:r>
              <w:rPr>
                <w:sz w:val="19"/>
                <w:szCs w:val="19"/>
              </w:rPr>
              <w:t>Aeronaves y misiles</w:t>
            </w:r>
          </w:p>
        </w:tc>
        <w:tc>
          <w:tcPr>
            <w:tcW w:w="1800" w:type="dxa"/>
            <w:shd w:val="clear" w:color="auto" w:fill="EBF2F9"/>
            <w:tcMar>
              <w:top w:w="60" w:type="dxa"/>
              <w:left w:w="120" w:type="dxa"/>
              <w:bottom w:w="60" w:type="dxa"/>
              <w:right w:w="120" w:type="dxa"/>
            </w:tcMar>
          </w:tcPr>
          <w:p w14:paraId="18F8382F" w14:textId="77777777" w:rsidR="008A6246" w:rsidRDefault="008A6246" w:rsidP="006F5C0D">
            <w:r>
              <w:rPr>
                <w:sz w:val="19"/>
                <w:szCs w:val="19"/>
              </w:rPr>
              <w:t>Fuerzas aéreas</w:t>
            </w:r>
          </w:p>
        </w:tc>
        <w:tc>
          <w:tcPr>
            <w:tcW w:w="1800" w:type="dxa"/>
            <w:shd w:val="clear" w:color="auto" w:fill="EBF2F9"/>
            <w:tcMar>
              <w:top w:w="60" w:type="dxa"/>
              <w:left w:w="120" w:type="dxa"/>
              <w:bottom w:w="60" w:type="dxa"/>
              <w:right w:w="120" w:type="dxa"/>
            </w:tcMar>
          </w:tcPr>
          <w:p w14:paraId="05901A60" w14:textId="77777777" w:rsidR="008A6246" w:rsidRDefault="008A6246" w:rsidP="006F5C0D">
            <w:r>
              <w:rPr>
                <w:sz w:val="19"/>
                <w:szCs w:val="19"/>
              </w:rPr>
              <w:t>Alto</w:t>
            </w:r>
          </w:p>
        </w:tc>
      </w:tr>
      <w:tr w:rsidR="008A6246" w14:paraId="1556FD0E" w14:textId="77777777" w:rsidTr="006F5C0D">
        <w:tc>
          <w:tcPr>
            <w:tcW w:w="1800" w:type="dxa"/>
            <w:shd w:val="clear" w:color="auto" w:fill="FFFFFF"/>
            <w:tcMar>
              <w:top w:w="60" w:type="dxa"/>
              <w:left w:w="120" w:type="dxa"/>
              <w:bottom w:w="60" w:type="dxa"/>
              <w:right w:w="120" w:type="dxa"/>
            </w:tcMar>
          </w:tcPr>
          <w:p w14:paraId="20D67302" w14:textId="77777777" w:rsidR="008A6246" w:rsidRDefault="008A6246" w:rsidP="006F5C0D">
            <w:r>
              <w:rPr>
                <w:sz w:val="19"/>
                <w:szCs w:val="19"/>
              </w:rPr>
              <w:t>Espacio</w:t>
            </w:r>
          </w:p>
        </w:tc>
        <w:tc>
          <w:tcPr>
            <w:tcW w:w="1800" w:type="dxa"/>
            <w:shd w:val="clear" w:color="auto" w:fill="FFFFFF"/>
            <w:tcMar>
              <w:top w:w="60" w:type="dxa"/>
              <w:left w:w="120" w:type="dxa"/>
              <w:bottom w:w="60" w:type="dxa"/>
              <w:right w:w="120" w:type="dxa"/>
            </w:tcMar>
          </w:tcPr>
          <w:p w14:paraId="5E06CEB2" w14:textId="77777777" w:rsidR="008A6246" w:rsidRDefault="008A6246" w:rsidP="006F5C0D">
            <w:r>
              <w:rPr>
                <w:sz w:val="19"/>
                <w:szCs w:val="19"/>
              </w:rPr>
              <w:t>Órbita terrestre</w:t>
            </w:r>
          </w:p>
        </w:tc>
        <w:tc>
          <w:tcPr>
            <w:tcW w:w="1800" w:type="dxa"/>
            <w:shd w:val="clear" w:color="auto" w:fill="FFFFFF"/>
            <w:tcMar>
              <w:top w:w="60" w:type="dxa"/>
              <w:left w:w="120" w:type="dxa"/>
              <w:bottom w:w="60" w:type="dxa"/>
              <w:right w:w="120" w:type="dxa"/>
            </w:tcMar>
          </w:tcPr>
          <w:p w14:paraId="46345AA1" w14:textId="77777777" w:rsidR="008A6246" w:rsidRDefault="008A6246" w:rsidP="006F5C0D">
            <w:r>
              <w:rPr>
                <w:sz w:val="19"/>
                <w:szCs w:val="19"/>
              </w:rPr>
              <w:t xml:space="preserve">Satélites y </w:t>
            </w:r>
            <w:proofErr w:type="spellStart"/>
            <w:r>
              <w:rPr>
                <w:sz w:val="19"/>
                <w:szCs w:val="19"/>
              </w:rPr>
              <w:t>antisatélites</w:t>
            </w:r>
            <w:proofErr w:type="spellEnd"/>
          </w:p>
        </w:tc>
        <w:tc>
          <w:tcPr>
            <w:tcW w:w="1800" w:type="dxa"/>
            <w:shd w:val="clear" w:color="auto" w:fill="FFFFFF"/>
            <w:tcMar>
              <w:top w:w="60" w:type="dxa"/>
              <w:left w:w="120" w:type="dxa"/>
              <w:bottom w:w="60" w:type="dxa"/>
              <w:right w:w="120" w:type="dxa"/>
            </w:tcMar>
          </w:tcPr>
          <w:p w14:paraId="6185B5C4" w14:textId="77777777" w:rsidR="008A6246" w:rsidRDefault="008A6246" w:rsidP="006F5C0D">
            <w:r>
              <w:rPr>
                <w:sz w:val="19"/>
                <w:szCs w:val="19"/>
              </w:rPr>
              <w:t>Agencias estatales</w:t>
            </w:r>
          </w:p>
        </w:tc>
        <w:tc>
          <w:tcPr>
            <w:tcW w:w="1800" w:type="dxa"/>
            <w:shd w:val="clear" w:color="auto" w:fill="FFFFFF"/>
            <w:tcMar>
              <w:top w:w="60" w:type="dxa"/>
              <w:left w:w="120" w:type="dxa"/>
              <w:bottom w:w="60" w:type="dxa"/>
              <w:right w:w="120" w:type="dxa"/>
            </w:tcMar>
          </w:tcPr>
          <w:p w14:paraId="619B13E4" w14:textId="77777777" w:rsidR="008A6246" w:rsidRDefault="008A6246" w:rsidP="006F5C0D">
            <w:r>
              <w:rPr>
                <w:sz w:val="19"/>
                <w:szCs w:val="19"/>
              </w:rPr>
              <w:t>Muy alto</w:t>
            </w:r>
          </w:p>
        </w:tc>
      </w:tr>
      <w:tr w:rsidR="008A6246" w14:paraId="1F701FC8" w14:textId="77777777" w:rsidTr="006F5C0D">
        <w:tc>
          <w:tcPr>
            <w:tcW w:w="1800" w:type="dxa"/>
            <w:shd w:val="clear" w:color="auto" w:fill="EBF2F9"/>
            <w:tcMar>
              <w:top w:w="60" w:type="dxa"/>
              <w:left w:w="120" w:type="dxa"/>
              <w:bottom w:w="60" w:type="dxa"/>
              <w:right w:w="120" w:type="dxa"/>
            </w:tcMar>
          </w:tcPr>
          <w:p w14:paraId="4536B2CA" w14:textId="77777777" w:rsidR="008A6246" w:rsidRDefault="008A6246" w:rsidP="006F5C0D">
            <w:r>
              <w:rPr>
                <w:sz w:val="19"/>
                <w:szCs w:val="19"/>
              </w:rPr>
              <w:t>Ciberespacio</w:t>
            </w:r>
          </w:p>
        </w:tc>
        <w:tc>
          <w:tcPr>
            <w:tcW w:w="1800" w:type="dxa"/>
            <w:shd w:val="clear" w:color="auto" w:fill="EBF2F9"/>
            <w:tcMar>
              <w:top w:w="60" w:type="dxa"/>
              <w:left w:w="120" w:type="dxa"/>
              <w:bottom w:w="60" w:type="dxa"/>
              <w:right w:w="120" w:type="dxa"/>
            </w:tcMar>
          </w:tcPr>
          <w:p w14:paraId="5E75CBC5" w14:textId="77777777" w:rsidR="008A6246" w:rsidRDefault="008A6246" w:rsidP="006F5C0D">
            <w:r>
              <w:rPr>
                <w:sz w:val="19"/>
                <w:szCs w:val="19"/>
              </w:rPr>
              <w:t>Redes digitales</w:t>
            </w:r>
          </w:p>
        </w:tc>
        <w:tc>
          <w:tcPr>
            <w:tcW w:w="1800" w:type="dxa"/>
            <w:shd w:val="clear" w:color="auto" w:fill="EBF2F9"/>
            <w:tcMar>
              <w:top w:w="60" w:type="dxa"/>
              <w:left w:w="120" w:type="dxa"/>
              <w:bottom w:w="60" w:type="dxa"/>
              <w:right w:w="120" w:type="dxa"/>
            </w:tcMar>
          </w:tcPr>
          <w:p w14:paraId="68171CFB" w14:textId="77777777" w:rsidR="008A6246" w:rsidRDefault="008A6246" w:rsidP="006F5C0D">
            <w:proofErr w:type="gramStart"/>
            <w:r>
              <w:rPr>
                <w:sz w:val="19"/>
                <w:szCs w:val="19"/>
              </w:rPr>
              <w:t>Malware</w:t>
            </w:r>
            <w:proofErr w:type="gramEnd"/>
            <w:r>
              <w:rPr>
                <w:sz w:val="19"/>
                <w:szCs w:val="19"/>
              </w:rPr>
              <w:t xml:space="preserve"> y </w:t>
            </w:r>
            <w:proofErr w:type="spellStart"/>
            <w:r>
              <w:rPr>
                <w:sz w:val="19"/>
                <w:szCs w:val="19"/>
              </w:rPr>
              <w:t>exploits</w:t>
            </w:r>
            <w:proofErr w:type="spellEnd"/>
          </w:p>
        </w:tc>
        <w:tc>
          <w:tcPr>
            <w:tcW w:w="1800" w:type="dxa"/>
            <w:shd w:val="clear" w:color="auto" w:fill="EBF2F9"/>
            <w:tcMar>
              <w:top w:w="60" w:type="dxa"/>
              <w:left w:w="120" w:type="dxa"/>
              <w:bottom w:w="60" w:type="dxa"/>
              <w:right w:w="120" w:type="dxa"/>
            </w:tcMar>
          </w:tcPr>
          <w:p w14:paraId="59BFAFE9" w14:textId="77777777" w:rsidR="008A6246" w:rsidRDefault="008A6246" w:rsidP="006F5C0D">
            <w:r>
              <w:rPr>
                <w:sz w:val="19"/>
                <w:szCs w:val="19"/>
              </w:rPr>
              <w:t>Estados y actores no estatales</w:t>
            </w:r>
          </w:p>
        </w:tc>
        <w:tc>
          <w:tcPr>
            <w:tcW w:w="1800" w:type="dxa"/>
            <w:shd w:val="clear" w:color="auto" w:fill="EBF2F9"/>
            <w:tcMar>
              <w:top w:w="60" w:type="dxa"/>
              <w:left w:w="120" w:type="dxa"/>
              <w:bottom w:w="60" w:type="dxa"/>
              <w:right w:w="120" w:type="dxa"/>
            </w:tcMar>
          </w:tcPr>
          <w:p w14:paraId="29CC589C" w14:textId="77777777" w:rsidR="008A6246" w:rsidRDefault="008A6246" w:rsidP="006F5C0D">
            <w:r>
              <w:rPr>
                <w:sz w:val="19"/>
                <w:szCs w:val="19"/>
              </w:rPr>
              <w:t>Medio-bajo</w:t>
            </w:r>
          </w:p>
        </w:tc>
      </w:tr>
      <w:tr w:rsidR="008A6246" w14:paraId="569DC06C" w14:textId="77777777" w:rsidTr="006F5C0D">
        <w:tc>
          <w:tcPr>
            <w:tcW w:w="1800" w:type="dxa"/>
            <w:shd w:val="clear" w:color="auto" w:fill="FFFFFF"/>
            <w:tcMar>
              <w:top w:w="60" w:type="dxa"/>
              <w:left w:w="120" w:type="dxa"/>
              <w:bottom w:w="60" w:type="dxa"/>
              <w:right w:w="120" w:type="dxa"/>
            </w:tcMar>
          </w:tcPr>
          <w:p w14:paraId="2B7FFD98" w14:textId="77777777" w:rsidR="008A6246" w:rsidRDefault="008A6246" w:rsidP="006F5C0D">
            <w:r>
              <w:rPr>
                <w:sz w:val="19"/>
                <w:szCs w:val="19"/>
              </w:rPr>
              <w:t>Información</w:t>
            </w:r>
          </w:p>
        </w:tc>
        <w:tc>
          <w:tcPr>
            <w:tcW w:w="1800" w:type="dxa"/>
            <w:shd w:val="clear" w:color="auto" w:fill="FFFFFF"/>
            <w:tcMar>
              <w:top w:w="60" w:type="dxa"/>
              <w:left w:w="120" w:type="dxa"/>
              <w:bottom w:w="60" w:type="dxa"/>
              <w:right w:w="120" w:type="dxa"/>
            </w:tcMar>
          </w:tcPr>
          <w:p w14:paraId="68308410" w14:textId="77777777" w:rsidR="008A6246" w:rsidRDefault="008A6246" w:rsidP="006F5C0D">
            <w:r>
              <w:rPr>
                <w:sz w:val="19"/>
                <w:szCs w:val="19"/>
              </w:rPr>
              <w:t>Flujo de datos</w:t>
            </w:r>
          </w:p>
        </w:tc>
        <w:tc>
          <w:tcPr>
            <w:tcW w:w="1800" w:type="dxa"/>
            <w:shd w:val="clear" w:color="auto" w:fill="FFFFFF"/>
            <w:tcMar>
              <w:top w:w="60" w:type="dxa"/>
              <w:left w:w="120" w:type="dxa"/>
              <w:bottom w:w="60" w:type="dxa"/>
              <w:right w:w="120" w:type="dxa"/>
            </w:tcMar>
          </w:tcPr>
          <w:p w14:paraId="28473D78" w14:textId="77777777" w:rsidR="008A6246" w:rsidRDefault="008A6246" w:rsidP="006F5C0D">
            <w:r>
              <w:rPr>
                <w:sz w:val="19"/>
                <w:szCs w:val="19"/>
              </w:rPr>
              <w:t>Narrativas y datos</w:t>
            </w:r>
          </w:p>
        </w:tc>
        <w:tc>
          <w:tcPr>
            <w:tcW w:w="1800" w:type="dxa"/>
            <w:shd w:val="clear" w:color="auto" w:fill="FFFFFF"/>
            <w:tcMar>
              <w:top w:w="60" w:type="dxa"/>
              <w:left w:w="120" w:type="dxa"/>
              <w:bottom w:w="60" w:type="dxa"/>
              <w:right w:w="120" w:type="dxa"/>
            </w:tcMar>
          </w:tcPr>
          <w:p w14:paraId="500DEE66" w14:textId="77777777" w:rsidR="008A6246" w:rsidRDefault="008A6246" w:rsidP="006F5C0D">
            <w:r>
              <w:rPr>
                <w:sz w:val="19"/>
                <w:szCs w:val="19"/>
              </w:rPr>
              <w:t>Medios y actores híbridos</w:t>
            </w:r>
          </w:p>
        </w:tc>
        <w:tc>
          <w:tcPr>
            <w:tcW w:w="1800" w:type="dxa"/>
            <w:shd w:val="clear" w:color="auto" w:fill="FFFFFF"/>
            <w:tcMar>
              <w:top w:w="60" w:type="dxa"/>
              <w:left w:w="120" w:type="dxa"/>
              <w:bottom w:w="60" w:type="dxa"/>
              <w:right w:w="120" w:type="dxa"/>
            </w:tcMar>
          </w:tcPr>
          <w:p w14:paraId="417F95AC" w14:textId="77777777" w:rsidR="008A6246" w:rsidRDefault="008A6246" w:rsidP="006F5C0D">
            <w:r>
              <w:rPr>
                <w:sz w:val="19"/>
                <w:szCs w:val="19"/>
              </w:rPr>
              <w:t>Bajo</w:t>
            </w:r>
          </w:p>
        </w:tc>
      </w:tr>
      <w:tr w:rsidR="008A6246" w14:paraId="22CBD02A" w14:textId="77777777" w:rsidTr="006F5C0D">
        <w:tc>
          <w:tcPr>
            <w:tcW w:w="1800" w:type="dxa"/>
            <w:shd w:val="clear" w:color="auto" w:fill="EBF2F9"/>
            <w:tcMar>
              <w:top w:w="60" w:type="dxa"/>
              <w:left w:w="120" w:type="dxa"/>
              <w:bottom w:w="60" w:type="dxa"/>
              <w:right w:w="120" w:type="dxa"/>
            </w:tcMar>
          </w:tcPr>
          <w:p w14:paraId="7CEBE05F" w14:textId="77777777" w:rsidR="008A6246" w:rsidRDefault="008A6246" w:rsidP="006F5C0D">
            <w:r>
              <w:rPr>
                <w:sz w:val="19"/>
                <w:szCs w:val="19"/>
              </w:rPr>
              <w:t>Cognitivo</w:t>
            </w:r>
          </w:p>
        </w:tc>
        <w:tc>
          <w:tcPr>
            <w:tcW w:w="1800" w:type="dxa"/>
            <w:shd w:val="clear" w:color="auto" w:fill="EBF2F9"/>
            <w:tcMar>
              <w:top w:w="60" w:type="dxa"/>
              <w:left w:w="120" w:type="dxa"/>
              <w:bottom w:w="60" w:type="dxa"/>
              <w:right w:w="120" w:type="dxa"/>
            </w:tcMar>
          </w:tcPr>
          <w:p w14:paraId="000BA75C" w14:textId="77777777" w:rsidR="008A6246" w:rsidRDefault="008A6246" w:rsidP="006F5C0D">
            <w:r>
              <w:rPr>
                <w:sz w:val="19"/>
                <w:szCs w:val="19"/>
              </w:rPr>
              <w:t>Mente humana</w:t>
            </w:r>
          </w:p>
        </w:tc>
        <w:tc>
          <w:tcPr>
            <w:tcW w:w="1800" w:type="dxa"/>
            <w:shd w:val="clear" w:color="auto" w:fill="EBF2F9"/>
            <w:tcMar>
              <w:top w:w="60" w:type="dxa"/>
              <w:left w:w="120" w:type="dxa"/>
              <w:bottom w:w="60" w:type="dxa"/>
              <w:right w:w="120" w:type="dxa"/>
            </w:tcMar>
          </w:tcPr>
          <w:p w14:paraId="5A2017DD" w14:textId="77777777" w:rsidR="008A6246" w:rsidRDefault="008A6246" w:rsidP="006F5C0D">
            <w:r>
              <w:rPr>
                <w:sz w:val="19"/>
                <w:szCs w:val="19"/>
              </w:rPr>
              <w:t>Narrativas emocionales</w:t>
            </w:r>
          </w:p>
        </w:tc>
        <w:tc>
          <w:tcPr>
            <w:tcW w:w="1800" w:type="dxa"/>
            <w:shd w:val="clear" w:color="auto" w:fill="EBF2F9"/>
            <w:tcMar>
              <w:top w:w="60" w:type="dxa"/>
              <w:left w:w="120" w:type="dxa"/>
              <w:bottom w:w="60" w:type="dxa"/>
              <w:right w:w="120" w:type="dxa"/>
            </w:tcMar>
          </w:tcPr>
          <w:p w14:paraId="1C404FE8" w14:textId="77777777" w:rsidR="008A6246" w:rsidRDefault="008A6246" w:rsidP="006F5C0D">
            <w:r>
              <w:rPr>
                <w:sz w:val="19"/>
                <w:szCs w:val="19"/>
              </w:rPr>
              <w:t>Actores híbridos y IA</w:t>
            </w:r>
          </w:p>
        </w:tc>
        <w:tc>
          <w:tcPr>
            <w:tcW w:w="1800" w:type="dxa"/>
            <w:shd w:val="clear" w:color="auto" w:fill="EBF2F9"/>
            <w:tcMar>
              <w:top w:w="60" w:type="dxa"/>
              <w:left w:w="120" w:type="dxa"/>
              <w:bottom w:w="60" w:type="dxa"/>
              <w:right w:w="120" w:type="dxa"/>
            </w:tcMar>
          </w:tcPr>
          <w:p w14:paraId="6A46377E" w14:textId="77777777" w:rsidR="008A6246" w:rsidRDefault="008A6246" w:rsidP="006F5C0D">
            <w:r>
              <w:rPr>
                <w:sz w:val="19"/>
                <w:szCs w:val="19"/>
              </w:rPr>
              <w:t>Muy bajo</w:t>
            </w:r>
          </w:p>
        </w:tc>
      </w:tr>
      <w:tr w:rsidR="008A6246" w14:paraId="0AEAC266" w14:textId="77777777" w:rsidTr="006F5C0D">
        <w:tc>
          <w:tcPr>
            <w:tcW w:w="1800" w:type="dxa"/>
            <w:shd w:val="clear" w:color="auto" w:fill="FFFFFF"/>
            <w:tcMar>
              <w:top w:w="60" w:type="dxa"/>
              <w:left w:w="120" w:type="dxa"/>
              <w:bottom w:w="60" w:type="dxa"/>
              <w:right w:w="120" w:type="dxa"/>
            </w:tcMar>
          </w:tcPr>
          <w:p w14:paraId="7FFDAA9A" w14:textId="77777777" w:rsidR="008A6246" w:rsidRDefault="008A6246" w:rsidP="006F5C0D">
            <w:r>
              <w:rPr>
                <w:sz w:val="19"/>
                <w:szCs w:val="19"/>
              </w:rPr>
              <w:t>Financiero</w:t>
            </w:r>
          </w:p>
        </w:tc>
        <w:tc>
          <w:tcPr>
            <w:tcW w:w="1800" w:type="dxa"/>
            <w:shd w:val="clear" w:color="auto" w:fill="FFFFFF"/>
            <w:tcMar>
              <w:top w:w="60" w:type="dxa"/>
              <w:left w:w="120" w:type="dxa"/>
              <w:bottom w:w="60" w:type="dxa"/>
              <w:right w:w="120" w:type="dxa"/>
            </w:tcMar>
          </w:tcPr>
          <w:p w14:paraId="4186E3DC" w14:textId="77777777" w:rsidR="008A6246" w:rsidRDefault="008A6246" w:rsidP="006F5C0D">
            <w:r>
              <w:rPr>
                <w:sz w:val="19"/>
                <w:szCs w:val="19"/>
              </w:rPr>
              <w:t>Mercados globales</w:t>
            </w:r>
          </w:p>
        </w:tc>
        <w:tc>
          <w:tcPr>
            <w:tcW w:w="1800" w:type="dxa"/>
            <w:shd w:val="clear" w:color="auto" w:fill="FFFFFF"/>
            <w:tcMar>
              <w:top w:w="60" w:type="dxa"/>
              <w:left w:w="120" w:type="dxa"/>
              <w:bottom w:w="60" w:type="dxa"/>
              <w:right w:w="120" w:type="dxa"/>
            </w:tcMar>
          </w:tcPr>
          <w:p w14:paraId="6EE049F5" w14:textId="77777777" w:rsidR="008A6246" w:rsidRDefault="008A6246" w:rsidP="006F5C0D">
            <w:r>
              <w:rPr>
                <w:sz w:val="19"/>
                <w:szCs w:val="19"/>
              </w:rPr>
              <w:t>Sanciones y divisas</w:t>
            </w:r>
          </w:p>
        </w:tc>
        <w:tc>
          <w:tcPr>
            <w:tcW w:w="1800" w:type="dxa"/>
            <w:shd w:val="clear" w:color="auto" w:fill="FFFFFF"/>
            <w:tcMar>
              <w:top w:w="60" w:type="dxa"/>
              <w:left w:w="120" w:type="dxa"/>
              <w:bottom w:w="60" w:type="dxa"/>
              <w:right w:w="120" w:type="dxa"/>
            </w:tcMar>
          </w:tcPr>
          <w:p w14:paraId="2D823072" w14:textId="77777777" w:rsidR="008A6246" w:rsidRDefault="008A6246" w:rsidP="006F5C0D">
            <w:r>
              <w:rPr>
                <w:sz w:val="19"/>
                <w:szCs w:val="19"/>
              </w:rPr>
              <w:t>Estados y bancos centrales</w:t>
            </w:r>
          </w:p>
        </w:tc>
        <w:tc>
          <w:tcPr>
            <w:tcW w:w="1800" w:type="dxa"/>
            <w:shd w:val="clear" w:color="auto" w:fill="FFFFFF"/>
            <w:tcMar>
              <w:top w:w="60" w:type="dxa"/>
              <w:left w:w="120" w:type="dxa"/>
              <w:bottom w:w="60" w:type="dxa"/>
              <w:right w:w="120" w:type="dxa"/>
            </w:tcMar>
          </w:tcPr>
          <w:p w14:paraId="76894360" w14:textId="77777777" w:rsidR="008A6246" w:rsidRDefault="008A6246" w:rsidP="006F5C0D">
            <w:r>
              <w:rPr>
                <w:sz w:val="19"/>
                <w:szCs w:val="19"/>
              </w:rPr>
              <w:t>Variable</w:t>
            </w:r>
          </w:p>
        </w:tc>
      </w:tr>
    </w:tbl>
    <w:p w14:paraId="6B3074BB" w14:textId="77777777" w:rsidR="008A6246" w:rsidRDefault="008A6246" w:rsidP="008A6246">
      <w:pPr>
        <w:pStyle w:val="Ttulo1"/>
      </w:pPr>
      <w:bookmarkStart w:id="9" w:name="_Toc224769731"/>
      <w:r>
        <w:t>6. El Campo de Batalla Cognitivo: Dónde se Libra la Guerra</w:t>
      </w:r>
      <w:bookmarkEnd w:id="9"/>
    </w:p>
    <w:p w14:paraId="3CFB142F" w14:textId="77777777" w:rsidR="008A6246" w:rsidRDefault="008A6246" w:rsidP="008A6246">
      <w:pPr>
        <w:pStyle w:val="Ttulo2"/>
      </w:pPr>
      <w:bookmarkStart w:id="10" w:name="_Toc224769732"/>
      <w:r>
        <w:t>6.1 La Mente como Terreno Estratégico</w:t>
      </w:r>
      <w:bookmarkEnd w:id="10"/>
    </w:p>
    <w:p w14:paraId="0742186F" w14:textId="77777777" w:rsidR="008A6246" w:rsidRDefault="008A6246" w:rsidP="008A6246">
      <w:pPr>
        <w:spacing w:before="120" w:after="120"/>
        <w:jc w:val="both"/>
      </w:pPr>
      <w:r>
        <w:t>El campo de batalla de la guerra cognitiva es radicalmente diferente a todos los demás dominios: no tiene coordenadas geográficas ni puede ser fotografiado por un satélite. Es el espacio comprendido entre los 1.300 cm³ del cerebro humano y el ecosistema informacional que lo rodea. Este campo de batalla abarca tanto las estructuras neurológicas donde se forman las creencias y se toman las decisiones, como las redes sociales, plataformas digitales, medios de comunicación y conversaciones cotidianas donde se construyen las narrativas.</w:t>
      </w:r>
    </w:p>
    <w:p w14:paraId="0DB00722" w14:textId="77777777" w:rsidR="008A6246" w:rsidRDefault="008A6246" w:rsidP="008A6246">
      <w:pPr>
        <w:spacing w:before="120" w:after="120"/>
        <w:jc w:val="both"/>
      </w:pPr>
      <w:r>
        <w:t xml:space="preserve">Jonathan Monten y otros teóricos de la seguridad cognitiva distinguen tres niveles del campo de batalla mental: el nivel individual (la psicología del individuo, sus sesgos y vulnerabilidades emocionales), el nivel grupal (las dinámicas de polarización, identidad colectiva y pensamiento de grupo) y el nivel sistémico (la arquitectura del ecosistema informacional que determina qué narrativas </w:t>
      </w:r>
      <w:proofErr w:type="gramStart"/>
      <w:r>
        <w:t>florecen</w:t>
      </w:r>
      <w:proofErr w:type="gramEnd"/>
      <w:r>
        <w:t xml:space="preserve"> y cuáles son suprimidas).</w:t>
      </w:r>
    </w:p>
    <w:p w14:paraId="350E6EA8" w14:textId="77777777" w:rsidR="008A6246" w:rsidRDefault="008A6246" w:rsidP="008A6246">
      <w:pPr>
        <w:pStyle w:val="Ttulo2"/>
      </w:pPr>
      <w:bookmarkStart w:id="11" w:name="_Toc224769733"/>
      <w:r>
        <w:t>6.2 Plataformas Digitales como Teatros de Operaciones</w:t>
      </w:r>
      <w:bookmarkEnd w:id="11"/>
    </w:p>
    <w:p w14:paraId="05B7EB91" w14:textId="77777777" w:rsidR="008A6246" w:rsidRDefault="008A6246" w:rsidP="008A6246">
      <w:pPr>
        <w:spacing w:before="120" w:after="120"/>
        <w:jc w:val="both"/>
      </w:pPr>
      <w:r>
        <w:t xml:space="preserve">Las plataformas de redes sociales (Meta/Facebook, X/Twitter, TikTok, YouTube, </w:t>
      </w:r>
      <w:proofErr w:type="spellStart"/>
      <w:r>
        <w:t>Telegram</w:t>
      </w:r>
      <w:proofErr w:type="spellEnd"/>
      <w:r>
        <w:t xml:space="preserve">, WhatsApp) constituyen los principales teatros de operaciones de la guerra cognitiva contemporánea. Su arquitectura algorítmica no es neutral: ha sido diseñada para maximizar el </w:t>
      </w:r>
      <w:proofErr w:type="spellStart"/>
      <w:r>
        <w:t>engagement</w:t>
      </w:r>
      <w:proofErr w:type="spellEnd"/>
      <w:r>
        <w:t>, lo que en la práctica privilegia el contenido emocionalmente activador (indignación, miedo, sorpresa) sobre el análisis racional y equilibrado.</w:t>
      </w:r>
    </w:p>
    <w:p w14:paraId="2CD22E39" w14:textId="77777777" w:rsidR="008A6246" w:rsidRDefault="008A6246" w:rsidP="008A6246">
      <w:pPr>
        <w:pStyle w:val="Ttulo2"/>
      </w:pPr>
      <w:bookmarkStart w:id="12" w:name="_Toc224769734"/>
      <w:r>
        <w:lastRenderedPageBreak/>
        <w:t>6.3 El Espacio de la Información (</w:t>
      </w:r>
      <w:proofErr w:type="spellStart"/>
      <w:r>
        <w:t>Information</w:t>
      </w:r>
      <w:proofErr w:type="spellEnd"/>
      <w:r>
        <w:t xml:space="preserve"> </w:t>
      </w:r>
      <w:proofErr w:type="spellStart"/>
      <w:r>
        <w:t>Environment</w:t>
      </w:r>
      <w:proofErr w:type="spellEnd"/>
      <w:r>
        <w:t>)</w:t>
      </w:r>
      <w:bookmarkEnd w:id="12"/>
    </w:p>
    <w:p w14:paraId="16440545" w14:textId="77777777" w:rsidR="008A6246" w:rsidRDefault="008A6246" w:rsidP="008A6246">
      <w:pPr>
        <w:spacing w:before="120" w:after="120"/>
        <w:jc w:val="both"/>
      </w:pPr>
      <w:r>
        <w:t xml:space="preserve">Más allá de las plataformas digitales, la guerra cognitiva opera en todo el </w:t>
      </w:r>
      <w:proofErr w:type="spellStart"/>
      <w:r>
        <w:t>information</w:t>
      </w:r>
      <w:proofErr w:type="spellEnd"/>
      <w:r>
        <w:t xml:space="preserve"> </w:t>
      </w:r>
      <w:proofErr w:type="spellStart"/>
      <w:r>
        <w:t>environment</w:t>
      </w:r>
      <w:proofErr w:type="spellEnd"/>
      <w:r>
        <w:t xml:space="preserve">: televisión, radio, </w:t>
      </w:r>
      <w:proofErr w:type="gramStart"/>
      <w:r>
        <w:t>prensa escrita</w:t>
      </w:r>
      <w:proofErr w:type="gramEnd"/>
      <w:r>
        <w:t>, podcasts, conversaciones interpersonales, sistemas educativos, instituciones religiosas y estructuras culturales. El objetivo de los actores de guerra cognitiva es saturar este espacio con narrativas favorables a sus objetivos estratégicos y degradar la capacidad del adversario para construir narrativas coherentes y creíbles.</w:t>
      </w:r>
    </w:p>
    <w:p w14:paraId="4A8AE342" w14:textId="77777777" w:rsidR="008A6246" w:rsidRDefault="008A6246" w:rsidP="008A6246">
      <w:pPr>
        <w:spacing w:before="120" w:after="120"/>
        <w:jc w:val="both"/>
      </w:pPr>
      <w:r>
        <w:t xml:space="preserve">El concepto ruso de 'reflexive control' ha evolucionado hacia lo que algunos analistas denominan 'narrative </w:t>
      </w:r>
      <w:proofErr w:type="spellStart"/>
      <w:r>
        <w:t>warfare</w:t>
      </w:r>
      <w:proofErr w:type="spellEnd"/>
      <w:r>
        <w:t>': la competición por el control de los marcos interpretativos dentro de los cuales las poblaciones comprenden los eventos. Quien controla el marco interpretativo —quién es el agresor, quién es la víctima, cuál es la causa y cuál el efecto— determina en gran medida las respuestas emocionales y políticas de la audiencia.</w:t>
      </w:r>
    </w:p>
    <w:p w14:paraId="4D3D47D9" w14:textId="77777777" w:rsidR="008A6246" w:rsidRDefault="008A6246" w:rsidP="008A6246">
      <w:pPr>
        <w:pStyle w:val="Ttulo2"/>
      </w:pPr>
      <w:bookmarkStart w:id="13" w:name="_Toc224769735"/>
      <w:r>
        <w:t>6.4 El Inconsciente Colectivo como Campo de Operaciones</w:t>
      </w:r>
      <w:bookmarkEnd w:id="13"/>
    </w:p>
    <w:p w14:paraId="42FA26C0" w14:textId="77777777" w:rsidR="008A6246" w:rsidRDefault="008A6246" w:rsidP="008A6246">
      <w:pPr>
        <w:spacing w:before="120" w:after="120"/>
        <w:jc w:val="both"/>
      </w:pPr>
      <w:r>
        <w:t xml:space="preserve">La psicología </w:t>
      </w:r>
      <w:proofErr w:type="spellStart"/>
      <w:r>
        <w:t>Jungiana</w:t>
      </w:r>
      <w:proofErr w:type="spellEnd"/>
      <w:r>
        <w:t xml:space="preserve"> introdujo el concepto de inconsciente colectivo para describir los arquetipos y estructuras simbólicas compartidas por culturas enteras. La guerra cognitiva moderna ha descubierto que estos arquetipos —el héroe, el enemigo, la amenaza existencial, la nación en peligro— son palancas extraordinariamente poderosas de movilización emocional. Las narrativas que encarnan estos arquetipos tienen una </w:t>
      </w:r>
      <w:proofErr w:type="spellStart"/>
      <w:r>
        <w:t>viralidad</w:t>
      </w:r>
      <w:proofErr w:type="spellEnd"/>
      <w:r>
        <w:t xml:space="preserve"> intrínseca que trasciende el análisis racional.</w:t>
      </w:r>
    </w:p>
    <w:p w14:paraId="18F851EF" w14:textId="77777777" w:rsidR="00104EBE" w:rsidRDefault="00104EBE" w:rsidP="008A6246">
      <w:pPr>
        <w:pStyle w:val="Ttulo1"/>
      </w:pPr>
      <w:bookmarkStart w:id="14" w:name="_Toc224769743"/>
    </w:p>
    <w:p w14:paraId="65ADB885" w14:textId="1B514CB4" w:rsidR="008A6246" w:rsidRDefault="008A6246" w:rsidP="008A6246">
      <w:pPr>
        <w:pStyle w:val="Ttulo1"/>
      </w:pPr>
      <w:r>
        <w:t>8. Las Municiones de la Guerra Cognitiva</w:t>
      </w:r>
      <w:bookmarkEnd w:id="14"/>
    </w:p>
    <w:p w14:paraId="548CA506" w14:textId="77777777" w:rsidR="008A6246" w:rsidRDefault="008A6246" w:rsidP="008A6246">
      <w:pPr>
        <w:pStyle w:val="Ttulo2"/>
      </w:pPr>
      <w:bookmarkStart w:id="15" w:name="_Toc224769744"/>
      <w:r>
        <w:t xml:space="preserve">8.1 Desinformación, </w:t>
      </w:r>
      <w:proofErr w:type="spellStart"/>
      <w:r>
        <w:t>Malinformación</w:t>
      </w:r>
      <w:proofErr w:type="spellEnd"/>
      <w:r>
        <w:t xml:space="preserve"> y </w:t>
      </w:r>
      <w:proofErr w:type="spellStart"/>
      <w:r>
        <w:t>Misinformación</w:t>
      </w:r>
      <w:bookmarkEnd w:id="15"/>
      <w:proofErr w:type="spellEnd"/>
    </w:p>
    <w:p w14:paraId="32A3C7CC" w14:textId="77777777" w:rsidR="008A6246" w:rsidRPr="00104EBE" w:rsidRDefault="008A6246" w:rsidP="008A6246">
      <w:pPr>
        <w:spacing w:before="120" w:after="120"/>
        <w:jc w:val="both"/>
        <w:rPr>
          <w:color w:val="000000" w:themeColor="text1"/>
        </w:rPr>
      </w:pPr>
      <w:r w:rsidRPr="00104EBE">
        <w:rPr>
          <w:color w:val="000000" w:themeColor="text1"/>
        </w:rPr>
        <w:t xml:space="preserve">La taxonomía del armamento informacional distingue tres conceptos fundamentales que a menudo se confunden: la </w:t>
      </w:r>
      <w:proofErr w:type="spellStart"/>
      <w:r w:rsidRPr="00104EBE">
        <w:rPr>
          <w:color w:val="000000" w:themeColor="text1"/>
        </w:rPr>
        <w:t>misinformation</w:t>
      </w:r>
      <w:proofErr w:type="spellEnd"/>
      <w:r w:rsidRPr="00104EBE">
        <w:rPr>
          <w:color w:val="000000" w:themeColor="text1"/>
        </w:rPr>
        <w:t xml:space="preserve"> es información falsa difundida sin intención de engañar (error genuino); la </w:t>
      </w:r>
      <w:proofErr w:type="spellStart"/>
      <w:r w:rsidRPr="00104EBE">
        <w:rPr>
          <w:color w:val="000000" w:themeColor="text1"/>
        </w:rPr>
        <w:t>disinformation</w:t>
      </w:r>
      <w:proofErr w:type="spellEnd"/>
      <w:r w:rsidRPr="00104EBE">
        <w:rPr>
          <w:color w:val="000000" w:themeColor="text1"/>
        </w:rPr>
        <w:t xml:space="preserve"> es información falsa difundida deliberadamente con intención de engañar; y la </w:t>
      </w:r>
      <w:proofErr w:type="spellStart"/>
      <w:r w:rsidRPr="00104EBE">
        <w:rPr>
          <w:color w:val="000000" w:themeColor="text1"/>
        </w:rPr>
        <w:t>malinformation</w:t>
      </w:r>
      <w:proofErr w:type="spellEnd"/>
      <w:r w:rsidRPr="00104EBE">
        <w:rPr>
          <w:color w:val="000000" w:themeColor="text1"/>
        </w:rPr>
        <w:t xml:space="preserve"> es información verdadera utilizada deliberadamente para causar daño (filtración de datos privados, revelación de secretos para perjudicar a alguien).</w:t>
      </w:r>
    </w:p>
    <w:p w14:paraId="5034B72C" w14:textId="77777777" w:rsidR="008A6246" w:rsidRDefault="008A6246" w:rsidP="008A6246">
      <w:pPr>
        <w:spacing w:before="120" w:after="120"/>
        <w:jc w:val="both"/>
      </w:pPr>
      <w:r>
        <w:t xml:space="preserve">La desinformación es la munición más versátil de la guerra cognitiva, pero no necesariamente la más eficaz. Los estudios del MIT Media Lab han demostrado que las noticias falsas se difunden aproximadamente seis veces más rápido que las verdaderas en Twitter/X, y llegan a audiencias entre 10 y 20 veces más amplias. La razón es psicológica: lo novedoso, sorprendente y emocionalmente activador genera más </w:t>
      </w:r>
      <w:proofErr w:type="spellStart"/>
      <w:r>
        <w:t>engagement</w:t>
      </w:r>
      <w:proofErr w:type="spellEnd"/>
      <w:r>
        <w:t xml:space="preserve"> que la información rutinaria y verificada.</w:t>
      </w:r>
    </w:p>
    <w:p w14:paraId="4369D657" w14:textId="77777777" w:rsidR="008A6246" w:rsidRDefault="008A6246" w:rsidP="008A6246">
      <w:pPr>
        <w:spacing w:before="120" w:after="120"/>
        <w:jc w:val="both"/>
      </w:pPr>
      <w:r>
        <w:t xml:space="preserve">El desarrollo de la inteligencia artificial generativa ha puesto en manos de actores de guerra cognitiva una munición de enorme potencia destructiva: los </w:t>
      </w:r>
      <w:proofErr w:type="spellStart"/>
      <w:r>
        <w:t>deepfakes</w:t>
      </w:r>
      <w:proofErr w:type="spellEnd"/>
      <w:r>
        <w:t xml:space="preserve"> o medios sintéticos. Un </w:t>
      </w:r>
      <w:proofErr w:type="spellStart"/>
      <w:r>
        <w:t>deepfake</w:t>
      </w:r>
      <w:proofErr w:type="spellEnd"/>
      <w:r>
        <w:t xml:space="preserve"> es un contenido audiovisual —vídeo, audio, imagen— generado o manipulado mediante IA para hacer que una persona parezca decir o hacer algo que nunca dijo ni hizo. La tecnología, que en 2017 era rudimentaria y detectable, ha alcanzado en 2024-2025 un nivel de sofisticación que dificulta enormemente su detección incluso por expertos.</w:t>
      </w:r>
    </w:p>
    <w:p w14:paraId="117BB5F4" w14:textId="77777777" w:rsidR="00104EBE" w:rsidRDefault="00104EBE" w:rsidP="008A6246">
      <w:pPr>
        <w:spacing w:before="120" w:after="120"/>
        <w:jc w:val="both"/>
      </w:pPr>
    </w:p>
    <w:p w14:paraId="04BBF632" w14:textId="77777777" w:rsidR="008A6246" w:rsidRDefault="008A6246" w:rsidP="008A6246">
      <w:pPr>
        <w:pStyle w:val="Ttulo2"/>
      </w:pPr>
      <w:bookmarkStart w:id="16" w:name="_Toc224769746"/>
      <w:r>
        <w:lastRenderedPageBreak/>
        <w:t>8.3 Narrativas Emocionales y Marcos Interpretativos</w:t>
      </w:r>
      <w:bookmarkEnd w:id="16"/>
    </w:p>
    <w:p w14:paraId="39E090B1" w14:textId="77777777" w:rsidR="008A6246" w:rsidRDefault="008A6246" w:rsidP="008A6246">
      <w:pPr>
        <w:spacing w:before="120" w:after="120"/>
        <w:jc w:val="both"/>
      </w:pPr>
      <w:r>
        <w:t>Quizás la munición más poderosa y menos visible de la guerra cognitiva son las narrativas emocionales: historias que encarnan valores, construyen identidades y generan respuestas emocionales intensas. El psicólogo Jonathan Haidt ha demostrado que las decisiones políticas y morales son fundamentalmente emocionales, y que la razón opera en gran medida como abogado defensor de conclusiones emocionales previas. Las narrativas que conectan con miedos primarios (amenaza a la seguridad personal, pérdida de estatus, traición de la identidad grupal) tienen una potencia persuasiva que trasciende la lógica.</w:t>
      </w:r>
    </w:p>
    <w:p w14:paraId="771B9670" w14:textId="77777777" w:rsidR="008A6246" w:rsidRDefault="008A6246" w:rsidP="008A6246">
      <w:pPr>
        <w:spacing w:before="120" w:after="120"/>
        <w:jc w:val="both"/>
      </w:pPr>
      <w:r>
        <w:t xml:space="preserve">El </w:t>
      </w:r>
      <w:proofErr w:type="spellStart"/>
      <w:r>
        <w:t>framing</w:t>
      </w:r>
      <w:proofErr w:type="spellEnd"/>
      <w:r>
        <w:t xml:space="preserve"> o encuadre es la técnica mediante la cual el mismo hecho puede presentarse dentro de diferentes marcos interpretativos que generan respuestas emocionales y políticas radicalmente diferentes. La diferencia entre denominar a un grupo 'terroristas' o 'combatientes por la libertad', o entre hablar de 'invasión' o de 'operación militar especial', no es semántica sino cognitiva: activa esquemas mentales diferentes que condicionan toda la interpretación posterior.</w:t>
      </w:r>
    </w:p>
    <w:p w14:paraId="7867331B" w14:textId="77777777" w:rsidR="008A6246" w:rsidRDefault="008A6246" w:rsidP="008A6246">
      <w:pPr>
        <w:pStyle w:val="Ttulo2"/>
      </w:pPr>
      <w:bookmarkStart w:id="17" w:name="_Toc224769747"/>
      <w:r>
        <w:t xml:space="preserve">8.4 </w:t>
      </w:r>
      <w:proofErr w:type="spellStart"/>
      <w:r>
        <w:t>Bots</w:t>
      </w:r>
      <w:proofErr w:type="spellEnd"/>
      <w:r>
        <w:t xml:space="preserve">, </w:t>
      </w:r>
      <w:proofErr w:type="spellStart"/>
      <w:r>
        <w:t>Trolls</w:t>
      </w:r>
      <w:proofErr w:type="spellEnd"/>
      <w:r>
        <w:t xml:space="preserve"> y Ejércitos de Influencia</w:t>
      </w:r>
      <w:bookmarkEnd w:id="17"/>
    </w:p>
    <w:p w14:paraId="2A208CB8" w14:textId="77777777" w:rsidR="008A6246" w:rsidRDefault="008A6246" w:rsidP="008A6246">
      <w:pPr>
        <w:spacing w:before="120" w:after="120"/>
        <w:jc w:val="both"/>
      </w:pPr>
      <w:r>
        <w:t>Las operaciones de influencia a escala en redes sociales requieren infraestructura: redes de cuentas automatizadas (</w:t>
      </w:r>
      <w:proofErr w:type="spellStart"/>
      <w:r>
        <w:t>bots</w:t>
      </w:r>
      <w:proofErr w:type="spellEnd"/>
      <w:r>
        <w:t>), redes de cuentas manejadas por humanos con perfiles falsos (</w:t>
      </w:r>
      <w:proofErr w:type="spellStart"/>
      <w:r>
        <w:t>trolls</w:t>
      </w:r>
      <w:proofErr w:type="spellEnd"/>
      <w:r>
        <w:t>), y redes de personas reales que amplifican mensajes de forma coordinada pero aparentemente espontánea (</w:t>
      </w:r>
      <w:proofErr w:type="spellStart"/>
      <w:r>
        <w:t>astroturfing</w:t>
      </w:r>
      <w:proofErr w:type="spellEnd"/>
      <w:r>
        <w:t>). Estos tres componentes trabajan conjuntamente para crear la ilusión de consenso social: si millones de cuentas parecen apoyar una narrativa, la presión normativa empuja a los indecisos hacia ese consenso percibido.</w:t>
      </w:r>
    </w:p>
    <w:p w14:paraId="0516524A" w14:textId="77777777" w:rsidR="008A6246" w:rsidRDefault="008A6246" w:rsidP="008A6246">
      <w:pPr>
        <w:pStyle w:val="Ttulo2"/>
      </w:pPr>
      <w:bookmarkStart w:id="18" w:name="_Toc224769748"/>
      <w:r>
        <w:t xml:space="preserve">8.5 </w:t>
      </w:r>
      <w:proofErr w:type="spellStart"/>
      <w:r>
        <w:t>Microtargeting</w:t>
      </w:r>
      <w:proofErr w:type="spellEnd"/>
      <w:r>
        <w:t xml:space="preserve"> Psicológico</w:t>
      </w:r>
      <w:bookmarkEnd w:id="18"/>
    </w:p>
    <w:p w14:paraId="445F8B84" w14:textId="77777777" w:rsidR="008A6246" w:rsidRDefault="008A6246" w:rsidP="008A6246">
      <w:pPr>
        <w:spacing w:before="120" w:after="120"/>
        <w:jc w:val="both"/>
      </w:pPr>
      <w:r>
        <w:t xml:space="preserve">Cambridge </w:t>
      </w:r>
      <w:proofErr w:type="spellStart"/>
      <w:r>
        <w:t>Analytica</w:t>
      </w:r>
      <w:proofErr w:type="spellEnd"/>
      <w:r>
        <w:t xml:space="preserve"> popularizó —y en cierto modo democratizó— la técnica del </w:t>
      </w:r>
      <w:proofErr w:type="spellStart"/>
      <w:r>
        <w:t>microtargeting</w:t>
      </w:r>
      <w:proofErr w:type="spellEnd"/>
      <w:r>
        <w:t xml:space="preserve"> psicológico: el uso de datos masivos de redes sociales para construir perfiles psicológicos individuales (basados en el modelo OCEAN de personalidad) y enviar mensajes publicitarios y políticos </w:t>
      </w:r>
      <w:proofErr w:type="spellStart"/>
      <w:r>
        <w:t>hiperadaptados</w:t>
      </w:r>
      <w:proofErr w:type="spellEnd"/>
      <w:r>
        <w:t xml:space="preserve"> a las vulnerabilidades específicas de cada perfil. Un individuo alto en neuroticismo recibirá mensajes centrados en el miedo; uno alto en apertura recibirá mensajes de innovación y cambio.</w:t>
      </w:r>
    </w:p>
    <w:p w14:paraId="20782E5B" w14:textId="77777777" w:rsidR="008A6246" w:rsidRDefault="008A6246" w:rsidP="008A6246">
      <w:pPr>
        <w:spacing w:before="120" w:after="120"/>
        <w:jc w:val="both"/>
      </w:pPr>
      <w:r>
        <w:t xml:space="preserve">Esta técnica representa la convergencia de </w:t>
      </w:r>
      <w:proofErr w:type="spellStart"/>
      <w:r>
        <w:t>big</w:t>
      </w:r>
      <w:proofErr w:type="spellEnd"/>
      <w:r>
        <w:t xml:space="preserve"> data, psicología del consumidor y guerra cognitiva: la personalización industrial del mensaje persuasivo.</w:t>
      </w:r>
      <w:r w:rsidRPr="001B601D">
        <w:rPr>
          <w:color w:val="000000" w:themeColor="text1"/>
        </w:rPr>
        <w:t xml:space="preserve"> Su eficacia es objeto de debate académico, pero su adopción masiva por campañas políticas en todo el mundo —y presumiblemente por actores de inteligencia— indica que los actores estratégicos la perciben como eficaz.</w:t>
      </w:r>
    </w:p>
    <w:p w14:paraId="326A2C44" w14:textId="2C9A1E17" w:rsidR="008A6246" w:rsidRDefault="008A6246" w:rsidP="008A6246">
      <w:pPr>
        <w:pStyle w:val="Ttulo1"/>
      </w:pPr>
      <w:bookmarkStart w:id="19" w:name="_Toc224769750"/>
      <w:r>
        <w:t>9. Promotores y Actores de la Guerra Cognitiva</w:t>
      </w:r>
      <w:bookmarkEnd w:id="19"/>
    </w:p>
    <w:p w14:paraId="2E310738" w14:textId="77777777" w:rsidR="008A6246" w:rsidRDefault="008A6246" w:rsidP="008A6246">
      <w:pPr>
        <w:pStyle w:val="Ttulo2"/>
      </w:pPr>
      <w:bookmarkStart w:id="20" w:name="_Toc224769751"/>
      <w:r>
        <w:t>9.1 Actores Estatales</w:t>
      </w:r>
      <w:bookmarkEnd w:id="20"/>
    </w:p>
    <w:p w14:paraId="29EEB301" w14:textId="77777777" w:rsidR="008A6246" w:rsidRDefault="008A6246" w:rsidP="008A6246">
      <w:pPr>
        <w:spacing w:before="120" w:after="120"/>
        <w:jc w:val="both"/>
      </w:pPr>
      <w:r>
        <w:t>Los estados nacionales son los actores más capacitados de la guerra cognitiva, debido a sus recursos humanos, tecnológicos y financieros. Entre los más activos y documentados destacan:</w:t>
      </w:r>
    </w:p>
    <w:p w14:paraId="3832B5E1" w14:textId="77777777" w:rsidR="008A6246" w:rsidRDefault="008A6246" w:rsidP="008A6246">
      <w:pPr>
        <w:pStyle w:val="Ttulo2"/>
      </w:pPr>
      <w:bookmarkStart w:id="21" w:name="_Toc224769753"/>
      <w:r>
        <w:t>9.3 Actores Corporativos y Plataformas Tecnológicas</w:t>
      </w:r>
      <w:bookmarkEnd w:id="21"/>
    </w:p>
    <w:p w14:paraId="0C7845B1" w14:textId="6F29C0B5" w:rsidR="008A6246" w:rsidRDefault="008A6246" w:rsidP="008A6246">
      <w:pPr>
        <w:spacing w:before="120" w:after="120"/>
        <w:jc w:val="both"/>
      </w:pPr>
      <w:r>
        <w:t xml:space="preserve">Las grandes plataformas tecnológicas (Meta, </w:t>
      </w:r>
      <w:proofErr w:type="spellStart"/>
      <w:r>
        <w:t>Alphabet</w:t>
      </w:r>
      <w:proofErr w:type="spellEnd"/>
      <w:r>
        <w:t xml:space="preserve">/Google, X, TikTok) son actores ambivalentes en la guerra cognitiva: al mismo tiempo son el campo de batalla, son en ocasiones vectores involuntarios de operaciones de influencia y tienen capacidades de amplificación o supresión de narrativas que ningún actor estatal histórico había poseído. </w:t>
      </w:r>
    </w:p>
    <w:p w14:paraId="7D165FAE" w14:textId="77777777" w:rsidR="008A6246" w:rsidRDefault="008A6246" w:rsidP="008A6246">
      <w:pPr>
        <w:pStyle w:val="Ttulo1"/>
      </w:pPr>
      <w:bookmarkStart w:id="22" w:name="_Toc224769754"/>
      <w:r>
        <w:lastRenderedPageBreak/>
        <w:t>10. Redes Sociales Complejas y la Dinámica de la Influencia Cognitiva</w:t>
      </w:r>
      <w:bookmarkEnd w:id="22"/>
    </w:p>
    <w:p w14:paraId="5E6181E2" w14:textId="77777777" w:rsidR="008A6246" w:rsidRDefault="008A6246" w:rsidP="008A6246">
      <w:pPr>
        <w:pStyle w:val="Ttulo2"/>
      </w:pPr>
      <w:bookmarkStart w:id="23" w:name="_Toc224769755"/>
      <w:r>
        <w:t>10.1 La Teoría de Redes Aplicada a la Guerra Cognitiva</w:t>
      </w:r>
      <w:bookmarkEnd w:id="23"/>
    </w:p>
    <w:p w14:paraId="5DC095B0" w14:textId="77777777" w:rsidR="008A6246" w:rsidRDefault="008A6246" w:rsidP="008A6246">
      <w:pPr>
        <w:spacing w:before="120" w:after="120"/>
        <w:jc w:val="both"/>
      </w:pPr>
      <w:r>
        <w:t>La comprensión de cómo se propagan las narrativas y los mensajes de guerra cognitiva requiere la aplicación de la teoría de redes complejas. En una red social —ya sea online o en el mundo físico— los individuos son nodos y las relaciones de confianza, seguimiento o interacción son los enlaces. La estructura topológica de estas redes determina fundamentalmente la velocidad y el patrón de difusión de la información.</w:t>
      </w:r>
    </w:p>
    <w:p w14:paraId="403B71EE" w14:textId="2FD2D565" w:rsidR="008A6246" w:rsidRDefault="008A6246" w:rsidP="008A6246">
      <w:pPr>
        <w:spacing w:before="120" w:after="120"/>
        <w:jc w:val="both"/>
      </w:pPr>
      <w:r>
        <w:t xml:space="preserve">Las redes sociales humanas exhiben propiedades características de las redes </w:t>
      </w:r>
      <w:proofErr w:type="spellStart"/>
      <w:r>
        <w:t>scale</w:t>
      </w:r>
      <w:proofErr w:type="spellEnd"/>
      <w:r>
        <w:t>-free o libre de escala: la distribución del número de conexiones por nodo sigue una ley de potencia, lo que implica la existencia de unos pocos nodos con un número extraordinariamente alto de conexiones (</w:t>
      </w:r>
      <w:proofErr w:type="spellStart"/>
      <w:r>
        <w:t>hubs</w:t>
      </w:r>
      <w:proofErr w:type="spellEnd"/>
      <w:r>
        <w:t xml:space="preserve"> o </w:t>
      </w:r>
      <w:proofErr w:type="spellStart"/>
      <w:r>
        <w:t>supernodos</w:t>
      </w:r>
      <w:proofErr w:type="spellEnd"/>
      <w:r>
        <w:t xml:space="preserve">) y una larga cola de nodos con pocas conexiones. </w:t>
      </w:r>
    </w:p>
    <w:p w14:paraId="438E8E01" w14:textId="77777777" w:rsidR="008A6246" w:rsidRDefault="008A6246" w:rsidP="008A6246">
      <w:pPr>
        <w:pStyle w:val="Ttulo2"/>
      </w:pPr>
      <w:bookmarkStart w:id="24" w:name="_Toc224769756"/>
      <w:r>
        <w:t>10.2 Cámaras de Eco y Burbujas de Filtro</w:t>
      </w:r>
      <w:bookmarkEnd w:id="24"/>
    </w:p>
    <w:p w14:paraId="4EEA8E56" w14:textId="77777777" w:rsidR="008A6246" w:rsidRDefault="008A6246" w:rsidP="008A6246">
      <w:pPr>
        <w:spacing w:before="120" w:after="120"/>
        <w:jc w:val="both"/>
      </w:pPr>
      <w:r>
        <w:t>Eli Pariser acuñó en 2011 el concepto de 'burbuja de filtro' para describir el fenómeno por el cual los algoritmos de personalización de las plataformas digitales muestran preferentemente contenidos que confirman las creencias previas del usuario, creando un entorno informacional homogéneo que refuerza las convicciones existentes y reduce la exposición a perspectivas divergentes. Las cámaras de eco son el resultado social de las burbujas de filtro: comunidades online donde circula exclusivamente información consistente con la cosmovisión del grupo.</w:t>
      </w:r>
    </w:p>
    <w:p w14:paraId="17634825" w14:textId="77777777" w:rsidR="008A6246" w:rsidRDefault="008A6246" w:rsidP="008A6246">
      <w:pPr>
        <w:spacing w:before="120" w:after="120"/>
        <w:jc w:val="both"/>
      </w:pPr>
      <w:r>
        <w:t>Desde la perspectiva de la guerra cognitiva, las cámaras de eco son un activo estratégico de primer orden: una audiencia encapsulada en una cámara de eco es especialmente vulnerable a la radicalización, ya que está protegida del ruido informacional externo y expuesta de forma concentrada a narrativas afines. Los actores de influencia pueden colonizar estas cámaras de eco con narrativas diseñadas para la audiencia específica, sabiendo que encontrarán un terreno cognitivo fértil.</w:t>
      </w:r>
    </w:p>
    <w:p w14:paraId="56D3712E" w14:textId="77777777" w:rsidR="008A6246" w:rsidRDefault="008A6246" w:rsidP="008A6246">
      <w:pPr>
        <w:pStyle w:val="Ttulo2"/>
      </w:pPr>
      <w:bookmarkStart w:id="25" w:name="_Toc224769757"/>
      <w:r>
        <w:t>10.3 La Velocidad de Propagación: La Asimetría Información-Verificación</w:t>
      </w:r>
      <w:bookmarkEnd w:id="25"/>
    </w:p>
    <w:p w14:paraId="08A9E554" w14:textId="77777777" w:rsidR="008A6246" w:rsidRDefault="008A6246" w:rsidP="008A6246">
      <w:pPr>
        <w:spacing w:before="120" w:after="120"/>
        <w:jc w:val="both"/>
      </w:pPr>
      <w:r>
        <w:t xml:space="preserve">Una de las asimetrías fundamentales que definen la guerra cognitiva moderna es la diferencia de velocidad entre la propagación de una narrativa y la verificación de su veracidad. Mientras que un tweet, un vídeo de TikTok o un mensaje de WhatsApp puede alcanzar millones de personas en cuestión de minutos, el proceso de </w:t>
      </w:r>
      <w:proofErr w:type="spellStart"/>
      <w:r>
        <w:t>fact-checking</w:t>
      </w:r>
      <w:proofErr w:type="spellEnd"/>
      <w:r>
        <w:t xml:space="preserve"> riguroso requiere horas o días. Para cuando el desmentido llega, la narrativa falsa ya ha formado parte de la cosmovisión de millones de personas.</w:t>
      </w:r>
    </w:p>
    <w:p w14:paraId="78CF8567" w14:textId="604CB909" w:rsidR="008A6246" w:rsidRDefault="008A6246" w:rsidP="008A6246">
      <w:pPr>
        <w:spacing w:before="120" w:after="120"/>
        <w:jc w:val="both"/>
      </w:pPr>
      <w:r>
        <w:t xml:space="preserve">La psicología cognitiva añade otra dimensión a esta asimetría: la ilusión de verdad o </w:t>
      </w:r>
      <w:proofErr w:type="spellStart"/>
      <w:r>
        <w:t>fluency</w:t>
      </w:r>
      <w:proofErr w:type="spellEnd"/>
      <w:r>
        <w:t xml:space="preserve"> </w:t>
      </w:r>
      <w:proofErr w:type="spellStart"/>
      <w:r>
        <w:t>effect</w:t>
      </w:r>
      <w:proofErr w:type="spellEnd"/>
      <w:r>
        <w:t xml:space="preserve">. Los estudios de Hasher, Goldstein y </w:t>
      </w:r>
      <w:proofErr w:type="spellStart"/>
      <w:r>
        <w:t>Toppino</w:t>
      </w:r>
      <w:proofErr w:type="spellEnd"/>
      <w:r>
        <w:t xml:space="preserve"> demostraron en 1977 que la mera repetición de un enunciado —independientemente de su veracidad— aumenta su credibilidad percibida. En redes sociales, donde el mismo contenido puede ser </w:t>
      </w:r>
      <w:proofErr w:type="spellStart"/>
      <w:r>
        <w:t>reexpuesto</w:t>
      </w:r>
      <w:proofErr w:type="spellEnd"/>
      <w:r>
        <w:t xml:space="preserve"> múltiples veces a través de diferentes contactos, este efecto se amplifica dramáticamente. </w:t>
      </w:r>
    </w:p>
    <w:p w14:paraId="4C3DC1F8" w14:textId="77777777" w:rsidR="008A6246" w:rsidRDefault="008A6246" w:rsidP="008A6246">
      <w:pPr>
        <w:pStyle w:val="Ttulo2"/>
      </w:pPr>
      <w:bookmarkStart w:id="26" w:name="_Toc224769758"/>
      <w:r>
        <w:t xml:space="preserve">10.4 El Papel de las Emociones en la </w:t>
      </w:r>
      <w:proofErr w:type="spellStart"/>
      <w:r>
        <w:t>Viralidad</w:t>
      </w:r>
      <w:bookmarkEnd w:id="26"/>
      <w:proofErr w:type="spellEnd"/>
    </w:p>
    <w:p w14:paraId="7847232D" w14:textId="77777777" w:rsidR="008A6246" w:rsidRDefault="008A6246" w:rsidP="008A6246">
      <w:pPr>
        <w:spacing w:before="120" w:after="120"/>
        <w:jc w:val="both"/>
      </w:pPr>
      <w:r>
        <w:t xml:space="preserve">La investigación de Jonah Berger y otros especialistas en </w:t>
      </w:r>
      <w:proofErr w:type="spellStart"/>
      <w:r>
        <w:t>viralidad</w:t>
      </w:r>
      <w:proofErr w:type="spellEnd"/>
      <w:r>
        <w:t xml:space="preserve"> ha demostrado que el contenido que genera alta excitación emocional —ya sea positiva (admiración, alegría) o negativa (ira, ansiedad)— tiene una probabilidad significativamente mayor de ser compartido que el contenido de bajo </w:t>
      </w:r>
      <w:proofErr w:type="spellStart"/>
      <w:r>
        <w:t>arousal</w:t>
      </w:r>
      <w:proofErr w:type="spellEnd"/>
      <w:r>
        <w:t xml:space="preserve"> emocional (tristeza, aburrimiento). Esta asimetría es </w:t>
      </w:r>
      <w:r>
        <w:lastRenderedPageBreak/>
        <w:t>explotada sistemáticamente en la guerra cognitiva: los mensajes diseñados para generar indignación, miedo o entusiasmo tribal se propagan de forma orgánica sin necesidad de infraestructura de distribución costosa.</w:t>
      </w:r>
    </w:p>
    <w:p w14:paraId="5C1D7E9D" w14:textId="7A6386D3" w:rsidR="008A6246" w:rsidRDefault="008A6246" w:rsidP="008A6246">
      <w:pPr>
        <w:spacing w:before="120" w:after="120"/>
        <w:jc w:val="both"/>
      </w:pPr>
      <w:r>
        <w:t xml:space="preserve">La ira, en particular, es el combustible emocional más eficaz de la guerra cognitiva. Brady et al. (2017) demostraron </w:t>
      </w:r>
      <w:proofErr w:type="gramStart"/>
      <w:r>
        <w:t>que</w:t>
      </w:r>
      <w:proofErr w:type="gramEnd"/>
      <w:r>
        <w:t xml:space="preserve"> en Twitter, cada palabra moralmente cargada en un tweet aumenta su probabilidad de </w:t>
      </w:r>
      <w:proofErr w:type="spellStart"/>
      <w:r>
        <w:t>retweet</w:t>
      </w:r>
      <w:proofErr w:type="spellEnd"/>
      <w:r>
        <w:t xml:space="preserve"> en un 20%. </w:t>
      </w:r>
    </w:p>
    <w:p w14:paraId="728F443E" w14:textId="77777777" w:rsidR="008A6246" w:rsidRDefault="008A6246" w:rsidP="008A6246">
      <w:pPr>
        <w:pStyle w:val="Ttulo2"/>
      </w:pPr>
      <w:bookmarkStart w:id="27" w:name="_Toc224769759"/>
      <w:r>
        <w:t>10.5 Cascadas de Información y Comportamiento de Rebaño</w:t>
      </w:r>
      <w:bookmarkEnd w:id="27"/>
    </w:p>
    <w:p w14:paraId="7D39FE59" w14:textId="77777777" w:rsidR="008A6246" w:rsidRDefault="008A6246" w:rsidP="008A6246">
      <w:pPr>
        <w:spacing w:before="120" w:after="120"/>
        <w:jc w:val="both"/>
      </w:pPr>
      <w:r>
        <w:t>Las cascadas de información (</w:t>
      </w:r>
      <w:proofErr w:type="spellStart"/>
      <w:r>
        <w:t>information</w:t>
      </w:r>
      <w:proofErr w:type="spellEnd"/>
      <w:r>
        <w:t xml:space="preserve"> cascades) son fenómenos en los que individuos adoptan creencias o comportamientos basándose en las acciones observadas de otros, independientemente de su propia información privada. En redes sociales, cuando un mensaje recibe un gran número de '</w:t>
      </w:r>
      <w:proofErr w:type="spellStart"/>
      <w:r>
        <w:t>likes</w:t>
      </w:r>
      <w:proofErr w:type="spellEnd"/>
      <w:r>
        <w:t xml:space="preserve">' o comparticiones, </w:t>
      </w:r>
      <w:proofErr w:type="gramStart"/>
      <w:r>
        <w:t>activa señales sociales</w:t>
      </w:r>
      <w:proofErr w:type="gramEnd"/>
      <w:r>
        <w:t xml:space="preserve"> de validación que llevan a otros usuarios a confiar en él sin evaluar su contenido críticamente. Este mecanismo es la base de las operaciones de amplificación artificial: si artificialmente se eleva el </w:t>
      </w:r>
      <w:proofErr w:type="spellStart"/>
      <w:r>
        <w:t>engagement</w:t>
      </w:r>
      <w:proofErr w:type="spellEnd"/>
      <w:r>
        <w:t xml:space="preserve"> inicial de una narrativa (mediante </w:t>
      </w:r>
      <w:proofErr w:type="spellStart"/>
      <w:r>
        <w:t>bots</w:t>
      </w:r>
      <w:proofErr w:type="spellEnd"/>
      <w:r>
        <w:t>), se activa una cascada orgánica de confianza y propagación.</w:t>
      </w:r>
    </w:p>
    <w:p w14:paraId="0EB0A7E0" w14:textId="77777777" w:rsidR="008A6246" w:rsidRDefault="008A6246" w:rsidP="008A6246">
      <w:pPr>
        <w:pStyle w:val="Ttulo1"/>
      </w:pPr>
      <w:bookmarkStart w:id="28" w:name="_Toc224769761"/>
      <w:r>
        <w:t>11. Por Qué la Guerra Cognitiva es Más Relevante que Nunca</w:t>
      </w:r>
      <w:bookmarkEnd w:id="28"/>
    </w:p>
    <w:p w14:paraId="2A24F001" w14:textId="77777777" w:rsidR="008A6246" w:rsidRDefault="008A6246" w:rsidP="008A6246">
      <w:pPr>
        <w:pStyle w:val="Ttulo2"/>
      </w:pPr>
      <w:bookmarkStart w:id="29" w:name="_Toc224769762"/>
      <w:r>
        <w:t>11.1 La Revolución de la IA Generativa</w:t>
      </w:r>
      <w:bookmarkEnd w:id="29"/>
    </w:p>
    <w:p w14:paraId="66181B1C" w14:textId="77777777" w:rsidR="008A6246" w:rsidRDefault="008A6246" w:rsidP="008A6246">
      <w:pPr>
        <w:spacing w:before="120" w:after="120"/>
        <w:jc w:val="both"/>
      </w:pPr>
      <w:r>
        <w:t xml:space="preserve">El lanzamiento de </w:t>
      </w:r>
      <w:proofErr w:type="spellStart"/>
      <w:r>
        <w:t>ChatGPT</w:t>
      </w:r>
      <w:proofErr w:type="spellEnd"/>
      <w:r>
        <w:t xml:space="preserve"> en noviembre de 2022 marcó un punto de inflexión en la historia de la guerra cognitiva. Por primera vez, cualquier actor —estatal o no, con recursos o sin ellos— tiene acceso a tecnología capaz de generar contenido persuasivo, personalizado y a escala masiva con un coste marginal prácticamente nulo. La IA generativa puede producir miles de artículos de desinformación adaptados a diferentes audiencias culturales y lingüísticas en minutos; puede crear imágenes, vídeos y audios sintéticos de alta calidad; puede mantener conversaciones convincentes en múltiples idiomas para operaciones de ingeniería social.</w:t>
      </w:r>
    </w:p>
    <w:p w14:paraId="45D4E0F8" w14:textId="77777777" w:rsidR="008A6246" w:rsidRDefault="008A6246" w:rsidP="008A6246">
      <w:pPr>
        <w:spacing w:before="120" w:after="120"/>
        <w:jc w:val="both"/>
      </w:pPr>
      <w:r>
        <w:t>Las implicaciones para el equilibrio de poder en la guerra cognitiva son profundas: la ventaja comparativa de los actores estatales bien financiados (capacidad de producir contenido a escala) se erosiona dramáticamente. Grupos pequeños, actores no estatales y potencias medianas tienen ahora acceso a capacidades de influencia antes reservadas a los servicios de inteligencia de grandes potencias.</w:t>
      </w:r>
    </w:p>
    <w:p w14:paraId="41B25B15" w14:textId="77777777" w:rsidR="008A6246" w:rsidRPr="00F80B64" w:rsidRDefault="008A6246" w:rsidP="008A6246">
      <w:pPr>
        <w:pStyle w:val="Ttulo2"/>
        <w:rPr>
          <w:color w:val="000000" w:themeColor="text1"/>
        </w:rPr>
      </w:pPr>
      <w:bookmarkStart w:id="30" w:name="_Toc224769764"/>
      <w:r w:rsidRPr="00F80B64">
        <w:rPr>
          <w:color w:val="000000" w:themeColor="text1"/>
        </w:rPr>
        <w:t>11.3 La Erosión del Consenso sobre la Realidad</w:t>
      </w:r>
      <w:bookmarkEnd w:id="30"/>
    </w:p>
    <w:p w14:paraId="7942A945" w14:textId="583A46A2" w:rsidR="008A6246" w:rsidRPr="00F80B64" w:rsidRDefault="008A6246" w:rsidP="008A6246">
      <w:pPr>
        <w:spacing w:before="120" w:after="120"/>
        <w:jc w:val="both"/>
        <w:rPr>
          <w:color w:val="000000" w:themeColor="text1"/>
        </w:rPr>
      </w:pPr>
      <w:r w:rsidRPr="00F80B64">
        <w:rPr>
          <w:color w:val="000000" w:themeColor="text1"/>
        </w:rPr>
        <w:t xml:space="preserve">Quizás la consecuencia más profunda de la guerra cognitiva contemporánea es la erosión del consenso sobre la realidad compartida. </w:t>
      </w:r>
      <w:r w:rsidR="00F80B64" w:rsidRPr="00F80B64">
        <w:rPr>
          <w:color w:val="000000" w:themeColor="text1"/>
        </w:rPr>
        <w:t>L</w:t>
      </w:r>
      <w:r w:rsidRPr="00F80B64">
        <w:rPr>
          <w:color w:val="000000" w:themeColor="text1"/>
        </w:rPr>
        <w:t xml:space="preserve">a arquitectura del sistema informacional digital no está diseñada para producir consenso factual, sino para maximizar </w:t>
      </w:r>
      <w:proofErr w:type="spellStart"/>
      <w:r w:rsidRPr="00F80B64">
        <w:rPr>
          <w:color w:val="000000" w:themeColor="text1"/>
        </w:rPr>
        <w:t>engagement</w:t>
      </w:r>
      <w:proofErr w:type="spellEnd"/>
      <w:r w:rsidRPr="00F80B64">
        <w:rPr>
          <w:color w:val="000000" w:themeColor="text1"/>
        </w:rPr>
        <w:t xml:space="preserve">, lo que tiende a la fragmentación. </w:t>
      </w:r>
    </w:p>
    <w:p w14:paraId="52E98E51" w14:textId="77777777" w:rsidR="008A6246" w:rsidRDefault="008A6246" w:rsidP="008A6246">
      <w:pPr>
        <w:pStyle w:val="Ttulo1"/>
      </w:pPr>
      <w:bookmarkStart w:id="31" w:name="_Toc224769767"/>
      <w:r>
        <w:t xml:space="preserve">12. </w:t>
      </w:r>
      <w:proofErr w:type="spellStart"/>
      <w:r>
        <w:t>Neuroguerra</w:t>
      </w:r>
      <w:proofErr w:type="spellEnd"/>
      <w:r>
        <w:t>: Las Fronteras Éticas y Tecnológicas</w:t>
      </w:r>
      <w:bookmarkEnd w:id="31"/>
    </w:p>
    <w:p w14:paraId="0FB6B8B9" w14:textId="77777777" w:rsidR="008A6246" w:rsidRDefault="008A6246" w:rsidP="008A6246">
      <w:pPr>
        <w:pStyle w:val="Ttulo2"/>
      </w:pPr>
      <w:bookmarkStart w:id="32" w:name="_Toc224769769"/>
      <w:r>
        <w:t>12.2 Dilemas Éticos y Jurídicos</w:t>
      </w:r>
      <w:bookmarkEnd w:id="32"/>
    </w:p>
    <w:p w14:paraId="6FD95B9C" w14:textId="77777777" w:rsidR="008A6246" w:rsidRDefault="008A6246" w:rsidP="008A6246">
      <w:pPr>
        <w:spacing w:before="120" w:after="120"/>
        <w:jc w:val="both"/>
      </w:pPr>
      <w:r>
        <w:t xml:space="preserve">La guerra cognitiva plantea desafíos éticos y jurídicos sin precedentes. Las leyes de la guerra (Derecho Internacional Humanitario) están diseñadas para regular el uso de la fuerza letal, no la manipulación psicológica. ¿Puede una campaña de desinformación que causa muertes </w:t>
      </w:r>
      <w:r>
        <w:lastRenderedPageBreak/>
        <w:t>indirectas (por ejemplo, al minar la confianza en vacunas) ser considerada un acto de guerra? ¿Cuándo cruzamos la línea entre influencia legítima (propaganda, diplomacia pública) e interferencia ilícita en la soberanía de otro Estado?</w:t>
      </w:r>
    </w:p>
    <w:p w14:paraId="009C57AD" w14:textId="77777777" w:rsidR="008A6246" w:rsidRDefault="008A6246" w:rsidP="008A6246">
      <w:pPr>
        <w:spacing w:before="120" w:after="120"/>
        <w:jc w:val="both"/>
      </w:pPr>
      <w:r>
        <w:t>La atribución es otro problema fundamental: en un ecosistema digital donde las operaciones pueden conducirse desde servidores anonimizados y amplificadas por actores no estatales, demostrar la autoría estatal de una campaña cognitiva es enormemente difícil. Sin atribución clara, la disuasión —mecanismo central del equilibrio de seguridad internacional— no puede funcionar eficazmente.</w:t>
      </w:r>
    </w:p>
    <w:p w14:paraId="08DC3FD3" w14:textId="77777777" w:rsidR="008A6246" w:rsidRDefault="008A6246" w:rsidP="008A6246">
      <w:r>
        <w:br w:type="page"/>
      </w:r>
    </w:p>
    <w:p w14:paraId="04892912" w14:textId="77777777" w:rsidR="008A6246" w:rsidRDefault="008A6246" w:rsidP="008A6246">
      <w:pPr>
        <w:pStyle w:val="Ttulo1"/>
      </w:pPr>
      <w:bookmarkStart w:id="33" w:name="_Toc224769770"/>
      <w:r>
        <w:lastRenderedPageBreak/>
        <w:t>13. Resiliencia Cognitiva: La Defensa en la Guerra Cognitiva</w:t>
      </w:r>
      <w:bookmarkEnd w:id="33"/>
    </w:p>
    <w:p w14:paraId="1CF944FC" w14:textId="77777777" w:rsidR="008A6246" w:rsidRDefault="008A6246" w:rsidP="008A6246">
      <w:pPr>
        <w:pStyle w:val="Ttulo2"/>
      </w:pPr>
      <w:bookmarkStart w:id="34" w:name="_Toc224769771"/>
      <w:r>
        <w:t>13.1 Alfabetización Mediática y Pensamiento Crítico</w:t>
      </w:r>
      <w:bookmarkEnd w:id="34"/>
    </w:p>
    <w:p w14:paraId="21D8448A" w14:textId="3C1CD2E0" w:rsidR="008A6246" w:rsidRDefault="008A6246" w:rsidP="008A6246">
      <w:pPr>
        <w:spacing w:before="120" w:after="120"/>
        <w:jc w:val="both"/>
      </w:pPr>
      <w:r>
        <w:t xml:space="preserve">La primera línea de defensa contra la guerra cognitiva es la resiliencia cognitiva individual y colectiva. Los sistemas educativos que desarrollan el pensamiento crítico, la alfabetización mediática y la comprensión de los mecanismos de manipulación cognitiva crean ciudadanos más resistentes a las operaciones de influencia. </w:t>
      </w:r>
    </w:p>
    <w:p w14:paraId="00CA1AD2" w14:textId="77777777" w:rsidR="008A6246" w:rsidRDefault="008A6246" w:rsidP="008A6246">
      <w:pPr>
        <w:pStyle w:val="Ttulo2"/>
      </w:pPr>
      <w:bookmarkStart w:id="35" w:name="_Toc224769772"/>
      <w:r>
        <w:t xml:space="preserve">13.2 </w:t>
      </w:r>
      <w:proofErr w:type="spellStart"/>
      <w:r>
        <w:t>Fact-Checking</w:t>
      </w:r>
      <w:proofErr w:type="spellEnd"/>
      <w:r>
        <w:t xml:space="preserve"> y Plataformas de Verificación</w:t>
      </w:r>
      <w:bookmarkEnd w:id="35"/>
    </w:p>
    <w:p w14:paraId="64739A5B" w14:textId="4A17700F" w:rsidR="008A6246" w:rsidRDefault="008A6246" w:rsidP="008A6246">
      <w:pPr>
        <w:spacing w:before="120" w:after="120"/>
        <w:jc w:val="both"/>
      </w:pPr>
      <w:r>
        <w:t xml:space="preserve">El ecosistema global de </w:t>
      </w:r>
      <w:proofErr w:type="spellStart"/>
      <w:r>
        <w:t>fact-checking</w:t>
      </w:r>
      <w:proofErr w:type="spellEnd"/>
      <w:r w:rsidR="00F80B64">
        <w:t xml:space="preserve"> </w:t>
      </w:r>
      <w:r>
        <w:t>constituye una infraestructura de verificación que ralentiza la propagación de desinformación. Sin embargo, su efectividad es limitada por la asimetría velocidad-verificación ya descrita. La investigación sobre '</w:t>
      </w:r>
      <w:proofErr w:type="spellStart"/>
      <w:r>
        <w:t>prebunking</w:t>
      </w:r>
      <w:proofErr w:type="spellEnd"/>
      <w:r>
        <w:t>' —vacunar psicológicamente a las audiencias contra las técnicas de manipulación antes de que encuentren el contenido manipulado— muestra resultados prometedores.</w:t>
      </w:r>
    </w:p>
    <w:p w14:paraId="03E56B5B" w14:textId="77777777" w:rsidR="008A6246" w:rsidRDefault="008A6246" w:rsidP="008A6246">
      <w:pPr>
        <w:pStyle w:val="Ttulo2"/>
      </w:pPr>
      <w:bookmarkStart w:id="36" w:name="_Toc224769774"/>
      <w:r>
        <w:t>13.4 Contra-Narrativas y Comunicación Estratégica</w:t>
      </w:r>
      <w:bookmarkEnd w:id="36"/>
    </w:p>
    <w:p w14:paraId="13542EA5" w14:textId="77777777" w:rsidR="008A6246" w:rsidRDefault="008A6246" w:rsidP="008A6246">
      <w:pPr>
        <w:spacing w:before="120" w:after="120"/>
        <w:jc w:val="both"/>
      </w:pPr>
      <w:r>
        <w:t xml:space="preserve">A nivel estatal y de organizaciones como la OTAN, la respuesta a la guerra cognitiva pasa por el desarrollo de </w:t>
      </w:r>
      <w:proofErr w:type="spellStart"/>
      <w:r>
        <w:t>contra-narrativas</w:t>
      </w:r>
      <w:proofErr w:type="spellEnd"/>
      <w:r>
        <w:t xml:space="preserve"> eficaces y una comunicación estratégica proactiva. Esto implica no solo desmentir narrativas falsas, sino construir activamente narrativas positivas, transparentes y creíbles que compitan con éxito en el ecosistema informacional. La credibilidad —construida sobre transparencia, coherencia y verificabilidad— es el activo más valioso en esta competición narrativa.</w:t>
      </w:r>
    </w:p>
    <w:p w14:paraId="1F8E2657" w14:textId="77777777" w:rsidR="008A6246" w:rsidRDefault="008A6246" w:rsidP="008A6246">
      <w:pPr>
        <w:pStyle w:val="Ttulo1"/>
      </w:pPr>
      <w:bookmarkStart w:id="37" w:name="_Toc224769775"/>
      <w:r>
        <w:t>14. Perspectivas de Futuro: El Horizonte de la Guerra Cognitiva</w:t>
      </w:r>
      <w:bookmarkEnd w:id="37"/>
    </w:p>
    <w:p w14:paraId="283BB3B8" w14:textId="77777777" w:rsidR="008A6246" w:rsidRDefault="008A6246" w:rsidP="008A6246">
      <w:pPr>
        <w:pStyle w:val="Ttulo2"/>
      </w:pPr>
      <w:bookmarkStart w:id="38" w:name="_Toc224769778"/>
      <w:r>
        <w:t>14.3 La Carrera Armamentística Cognitiva</w:t>
      </w:r>
      <w:bookmarkEnd w:id="38"/>
    </w:p>
    <w:p w14:paraId="156A7230" w14:textId="77777777" w:rsidR="008A6246" w:rsidRDefault="008A6246" w:rsidP="008A6246">
      <w:pPr>
        <w:spacing w:before="120" w:after="120"/>
        <w:jc w:val="both"/>
      </w:pPr>
      <w:r>
        <w:t>La dinámica de la guerra cognitiva reproduce la lógica de las carreras armamentísticas clásicas: cada avance en técnicas de influencia genera una respuesta defensiva (</w:t>
      </w:r>
      <w:proofErr w:type="spellStart"/>
      <w:r>
        <w:t>fact-checking</w:t>
      </w:r>
      <w:proofErr w:type="spellEnd"/>
      <w:r>
        <w:t xml:space="preserve">, detección de </w:t>
      </w:r>
      <w:proofErr w:type="spellStart"/>
      <w:r>
        <w:t>deepfakes</w:t>
      </w:r>
      <w:proofErr w:type="spellEnd"/>
      <w:r>
        <w:t>, educación mediática), que a su vez es superada por nuevas técnicas de ataque. Sin embargo, hay razones para pensar que la asimetría ofensiva-defensiva es estructural en el dominio cognitivo: crear confusión es más fácil que crear claridad; destruir confianza es más fácil que construirla; propagar desinformación es más fácil que combatirla.</w:t>
      </w:r>
    </w:p>
    <w:p w14:paraId="2FAB54D5" w14:textId="77777777" w:rsidR="008A6246" w:rsidRDefault="008A6246" w:rsidP="008A6246">
      <w:pPr>
        <w:spacing w:before="120" w:after="120"/>
        <w:jc w:val="both"/>
      </w:pPr>
      <w:r>
        <w:t>Esta asimetría hace que la resiliencia cognitiva —la capacidad de las sociedades para resistir la manipulación sin perder su capacidad de procesar información compleja— sea el recurso estratégico más valioso del siglo XXI.</w:t>
      </w:r>
    </w:p>
    <w:p w14:paraId="5AE24E76" w14:textId="77777777" w:rsidR="008A6246" w:rsidRDefault="008A6246" w:rsidP="008A6246">
      <w:pPr>
        <w:pStyle w:val="Ttulo1"/>
      </w:pPr>
      <w:bookmarkStart w:id="39" w:name="_Toc224769779"/>
      <w:r>
        <w:t>15. Conclusiones</w:t>
      </w:r>
      <w:bookmarkEnd w:id="39"/>
    </w:p>
    <w:p w14:paraId="76A5294C" w14:textId="77777777" w:rsidR="008A6246" w:rsidRDefault="008A6246" w:rsidP="008A6246">
      <w:pPr>
        <w:spacing w:before="120" w:after="120"/>
        <w:jc w:val="both"/>
      </w:pPr>
      <w:r>
        <w:t>La guerra cognitiva es, en última instancia, una guerra por el derecho a definir la realidad. Y quien define la realidad, define el mundo.</w:t>
      </w:r>
    </w:p>
    <w:p w14:paraId="1A257062" w14:textId="77777777" w:rsidR="00B8269E" w:rsidRDefault="00B8269E"/>
    <w:sectPr w:rsidR="00B8269E" w:rsidSect="008A6246">
      <w:headerReference w:type="default" r:id="rId5"/>
      <w:footerReference w:type="default" r:id="rI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FEBE" w14:textId="77777777" w:rsidR="008A6246" w:rsidRDefault="008A6246">
    <w:pPr>
      <w:jc w:val="center"/>
    </w:pPr>
    <w:proofErr w:type="gramStart"/>
    <w:r>
      <w:rPr>
        <w:color w:val="888888"/>
        <w:sz w:val="18"/>
        <w:szCs w:val="18"/>
      </w:rPr>
      <w:t>TFG  |</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B28" w14:textId="77777777" w:rsidR="008A6246" w:rsidRDefault="008A6246">
    <w:pPr>
      <w:jc w:val="right"/>
    </w:pPr>
    <w:r>
      <w:rPr>
        <w:color w:val="888888"/>
        <w:sz w:val="18"/>
        <w:szCs w:val="18"/>
      </w:rPr>
      <w:t>Guerra Cognitiva: El Campo de Batalla de la Mente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42187"/>
    <w:multiLevelType w:val="hybridMultilevel"/>
    <w:tmpl w:val="D7BE14FC"/>
    <w:lvl w:ilvl="0" w:tplc="6908D30E">
      <w:start w:val="1"/>
      <w:numFmt w:val="bullet"/>
      <w:lvlText w:val="•"/>
      <w:lvlJc w:val="left"/>
      <w:pPr>
        <w:ind w:left="720" w:hanging="360"/>
      </w:pPr>
    </w:lvl>
    <w:lvl w:ilvl="1" w:tplc="37FADAA6">
      <w:numFmt w:val="decimal"/>
      <w:lvlText w:val=""/>
      <w:lvlJc w:val="left"/>
    </w:lvl>
    <w:lvl w:ilvl="2" w:tplc="8AC645CC">
      <w:numFmt w:val="decimal"/>
      <w:lvlText w:val=""/>
      <w:lvlJc w:val="left"/>
    </w:lvl>
    <w:lvl w:ilvl="3" w:tplc="03AC3856">
      <w:numFmt w:val="decimal"/>
      <w:lvlText w:val=""/>
      <w:lvlJc w:val="left"/>
    </w:lvl>
    <w:lvl w:ilvl="4" w:tplc="B49662B4">
      <w:numFmt w:val="decimal"/>
      <w:lvlText w:val=""/>
      <w:lvlJc w:val="left"/>
    </w:lvl>
    <w:lvl w:ilvl="5" w:tplc="10C00FA4">
      <w:numFmt w:val="decimal"/>
      <w:lvlText w:val=""/>
      <w:lvlJc w:val="left"/>
    </w:lvl>
    <w:lvl w:ilvl="6" w:tplc="78DE5984">
      <w:numFmt w:val="decimal"/>
      <w:lvlText w:val=""/>
      <w:lvlJc w:val="left"/>
    </w:lvl>
    <w:lvl w:ilvl="7" w:tplc="AF5613A0">
      <w:numFmt w:val="decimal"/>
      <w:lvlText w:val=""/>
      <w:lvlJc w:val="left"/>
    </w:lvl>
    <w:lvl w:ilvl="8" w:tplc="571C5AEE">
      <w:numFmt w:val="decimal"/>
      <w:lvlText w:val=""/>
      <w:lvlJc w:val="left"/>
    </w:lvl>
  </w:abstractNum>
  <w:num w:numId="1" w16cid:durableId="1735930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46"/>
    <w:rsid w:val="00104EBE"/>
    <w:rsid w:val="001B601D"/>
    <w:rsid w:val="004422E9"/>
    <w:rsid w:val="00742E3C"/>
    <w:rsid w:val="008A6246"/>
    <w:rsid w:val="008D38A4"/>
    <w:rsid w:val="00A14BFB"/>
    <w:rsid w:val="00B8269E"/>
    <w:rsid w:val="00C66218"/>
    <w:rsid w:val="00F80B64"/>
    <w:rsid w:val="00FF71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B708"/>
  <w15:chartTrackingRefBased/>
  <w15:docId w15:val="{690781FD-DB55-4688-BF6E-F1176103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46"/>
    <w:pPr>
      <w:spacing w:after="0" w:line="240" w:lineRule="auto"/>
    </w:pPr>
    <w:rPr>
      <w:rFonts w:ascii="Arial" w:eastAsia="Arial" w:hAnsi="Arial" w:cs="Arial"/>
      <w:kern w:val="0"/>
      <w:lang w:eastAsia="es-ES"/>
      <w14:ligatures w14:val="none"/>
    </w:rPr>
  </w:style>
  <w:style w:type="paragraph" w:styleId="Ttulo1">
    <w:name w:val="heading 1"/>
    <w:basedOn w:val="Normal"/>
    <w:next w:val="Normal"/>
    <w:link w:val="Ttulo1Car"/>
    <w:uiPriority w:val="9"/>
    <w:qFormat/>
    <w:rsid w:val="008A6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6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62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62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62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624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624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624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624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62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62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62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62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62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62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62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62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6246"/>
    <w:rPr>
      <w:rFonts w:eastAsiaTheme="majorEastAsia" w:cstheme="majorBidi"/>
      <w:color w:val="272727" w:themeColor="text1" w:themeTint="D8"/>
    </w:rPr>
  </w:style>
  <w:style w:type="paragraph" w:styleId="Ttulo">
    <w:name w:val="Title"/>
    <w:basedOn w:val="Normal"/>
    <w:next w:val="Normal"/>
    <w:link w:val="TtuloCar"/>
    <w:uiPriority w:val="10"/>
    <w:qFormat/>
    <w:rsid w:val="008A624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62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62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62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6246"/>
    <w:pPr>
      <w:spacing w:before="160"/>
      <w:jc w:val="center"/>
    </w:pPr>
    <w:rPr>
      <w:i/>
      <w:iCs/>
      <w:color w:val="404040" w:themeColor="text1" w:themeTint="BF"/>
    </w:rPr>
  </w:style>
  <w:style w:type="character" w:customStyle="1" w:styleId="CitaCar">
    <w:name w:val="Cita Car"/>
    <w:basedOn w:val="Fuentedeprrafopredeter"/>
    <w:link w:val="Cita"/>
    <w:uiPriority w:val="29"/>
    <w:rsid w:val="008A6246"/>
    <w:rPr>
      <w:i/>
      <w:iCs/>
      <w:color w:val="404040" w:themeColor="text1" w:themeTint="BF"/>
    </w:rPr>
  </w:style>
  <w:style w:type="paragraph" w:styleId="Prrafodelista">
    <w:name w:val="List Paragraph"/>
    <w:basedOn w:val="Normal"/>
    <w:qFormat/>
    <w:rsid w:val="008A6246"/>
    <w:pPr>
      <w:ind w:left="720"/>
      <w:contextualSpacing/>
    </w:pPr>
  </w:style>
  <w:style w:type="character" w:styleId="nfasisintenso">
    <w:name w:val="Intense Emphasis"/>
    <w:basedOn w:val="Fuentedeprrafopredeter"/>
    <w:uiPriority w:val="21"/>
    <w:qFormat/>
    <w:rsid w:val="008A6246"/>
    <w:rPr>
      <w:i/>
      <w:iCs/>
      <w:color w:val="0F4761" w:themeColor="accent1" w:themeShade="BF"/>
    </w:rPr>
  </w:style>
  <w:style w:type="paragraph" w:styleId="Citadestacada">
    <w:name w:val="Intense Quote"/>
    <w:basedOn w:val="Normal"/>
    <w:next w:val="Normal"/>
    <w:link w:val="CitadestacadaCar"/>
    <w:uiPriority w:val="30"/>
    <w:qFormat/>
    <w:rsid w:val="008A6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6246"/>
    <w:rPr>
      <w:i/>
      <w:iCs/>
      <w:color w:val="0F4761" w:themeColor="accent1" w:themeShade="BF"/>
    </w:rPr>
  </w:style>
  <w:style w:type="character" w:styleId="Referenciaintensa">
    <w:name w:val="Intense Reference"/>
    <w:basedOn w:val="Fuentedeprrafopredeter"/>
    <w:uiPriority w:val="32"/>
    <w:qFormat/>
    <w:rsid w:val="008A62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1490</TotalTime>
  <Pages>9</Pages>
  <Words>3645</Words>
  <Characters>20049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Enebral Alonso</dc:creator>
  <cp:keywords/>
  <dc:description/>
  <cp:lastModifiedBy>Jorge Enebral Alonso</cp:lastModifiedBy>
  <cp:revision>1</cp:revision>
  <dcterms:created xsi:type="dcterms:W3CDTF">2026-04-17T07:28:00Z</dcterms:created>
  <dcterms:modified xsi:type="dcterms:W3CDTF">2026-04-18T09:27:00Z</dcterms:modified>
</cp:coreProperties>
</file>