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0EE39C" w14:textId="3062DD0E" w:rsidR="004E59A6" w:rsidRDefault="004E59A6" w:rsidP="00203DC2">
      <w:r>
        <w:fldChar w:fldCharType="begin"/>
      </w:r>
      <w:r>
        <w:instrText>HYPERLINK "</w:instrText>
      </w:r>
      <w:r w:rsidRPr="004E59A6">
        <w:instrText>https://arxiv.org/pdf/2603.05222</w:instrText>
      </w:r>
      <w:r>
        <w:instrText>"</w:instrText>
      </w:r>
      <w:r>
        <w:fldChar w:fldCharType="separate"/>
      </w:r>
      <w:r w:rsidRPr="008135A3">
        <w:rPr>
          <w:rStyle w:val="Hipervnculo"/>
        </w:rPr>
        <w:t>https://arxiv.org/pdf/2603.05222</w:t>
      </w:r>
      <w:r>
        <w:fldChar w:fldCharType="end"/>
      </w:r>
    </w:p>
    <w:p w14:paraId="5420FC34" w14:textId="77777777" w:rsidR="004E59A6" w:rsidRDefault="004E59A6" w:rsidP="00203DC2"/>
    <w:p w14:paraId="58D3DB60" w14:textId="1F66EFEC" w:rsidR="00203DC2" w:rsidRPr="00203DC2" w:rsidRDefault="00203DC2" w:rsidP="00203DC2">
      <w:r w:rsidRPr="00203DC2">
        <w:t>Resumen</w:t>
      </w:r>
      <w:r w:rsidRPr="00203DC2">
        <w:br/>
        <w:t>La guerra cognitiva ha surgido como una característica central del conflicto moderno, pero sigue estando definida de manera inconsistente y es difícil de evaluar. Los enfoques existentes a menudo tratan las operaciones cognitivas como un subconjunto de las operaciones de información, lo que limita la capacidad de evaluar las interacciones cognitivas entre atacante y defensor o determinar cuándo se ha logrado una ventaja. Este artículo propone una definición unificada de la guerra cognitiva, introduce un marco de interacción basado en el bucle OODA e identifica atributos medibles asociados con la superioridad cognitiva. Para ilustrar el uso del marco, un estudio de caso hipotético demuestra cómo estos conceptos pueden aplicarse para evaluar ataques y defensas cognitivas en un entorno disputado. Así, el marco proporciona a los líderes de fuerzas conjuntas y a los analistas una base práctica para comprender, comparar y evaluar campañas de guerra cognitiva.</w:t>
      </w:r>
    </w:p>
    <w:p w14:paraId="5293C831" w14:textId="77777777" w:rsidR="00203DC2" w:rsidRPr="00203DC2" w:rsidRDefault="00203DC2" w:rsidP="00203DC2">
      <w:r w:rsidRPr="00203DC2">
        <w:t>Descargo de responsabilidad: “Las opiniones expresadas son las del autor y no reflejan la política oficial ni la posición de la Fuerza Aérea de los Estados Unidos, el Departamento de Guerra o el Gobierno de los Estados Unidos.”</w:t>
      </w:r>
    </w:p>
    <w:p w14:paraId="7054BD01" w14:textId="77777777" w:rsidR="00203DC2" w:rsidRDefault="00203DC2" w:rsidP="00203DC2"/>
    <w:p w14:paraId="1AE129B3" w14:textId="2770C17E" w:rsidR="00203DC2" w:rsidRPr="00203DC2" w:rsidRDefault="00203DC2" w:rsidP="00203DC2">
      <w:r w:rsidRPr="00203DC2">
        <w:t>Introducción</w:t>
      </w:r>
      <w:r w:rsidRPr="00203DC2">
        <w:br/>
        <w:t>La competencia contemporánea se dirige cada vez más a la dimensión cognitiva del conflicto. En lugar de buscar efectos decisivos únicamente mediante la fuerza física, los adversarios intentan moldear la percepción, manipular creencias, degradar la confianza e influir en la toma de decisiones a gran escala [1, 2]. Estas actividades operan en gran medida por debajo del umbral del conflicto armado, incluso más que las operaciones cibernéticas, pero pueden producir efectos estratégicos al alterar la forma en que los individuos y las organizaciones observan su entorno, se orientan hacia la información, deciden cursos de acción y actúan. Como resultado, la ventaja cognitiva se ha convertido en un componente central de la eficacia militar y del poder nacional.</w:t>
      </w:r>
    </w:p>
    <w:p w14:paraId="4B0974A5" w14:textId="77777777" w:rsidR="00203DC2" w:rsidRPr="00203DC2" w:rsidRDefault="00203DC2" w:rsidP="00203DC2">
      <w:r w:rsidRPr="00203DC2">
        <w:t xml:space="preserve">A pesar del creciente reconocimiento de este desafío, la guerra cognitiva sigue estando definida de manera inconsistente y evaluada de forma deficiente. Esto se evidencia en la NDAA de 2026, que exige que el Departamento de Guerra proponga una definición sistemática [3, sec. “Narrative </w:t>
      </w:r>
      <w:proofErr w:type="spellStart"/>
      <w:r w:rsidRPr="00203DC2">
        <w:t>Intelligence</w:t>
      </w:r>
      <w:proofErr w:type="spellEnd"/>
      <w:r w:rsidRPr="00203DC2">
        <w:t xml:space="preserve"> and Cognitive </w:t>
      </w:r>
      <w:proofErr w:type="spellStart"/>
      <w:r w:rsidRPr="00203DC2">
        <w:t>Warfare</w:t>
      </w:r>
      <w:proofErr w:type="spellEnd"/>
      <w:r w:rsidRPr="00203DC2">
        <w:t>”]. De hecho, la doctrina y la política existentes a menudo subsumen los efectos cognitivos dentro de operaciones de información más amplias o actividades de influencia, haciendo énfasis en la difusión de mensajes, la competencia narrativa o las métricas de interacción [4–6]. Si bien estas perspectivas capturan elementos importantes del problema, proporcionan una visión limitada sobre si los ataques cognitivos realmente degradan la calidad de la toma de decisiones o confieren una ventaja sostenida. Además, muchos modelos existentes tratan implícitamente la influencia cognitiva como una actividad unidireccional, centrándose en las técnicas del atacante mientras subestiman la adaptación, la resiliencia y el aprendizaje del defensor [7].</w:t>
      </w:r>
    </w:p>
    <w:p w14:paraId="44CCB5C2" w14:textId="77777777" w:rsidR="00203DC2" w:rsidRPr="00203DC2" w:rsidRDefault="00203DC2" w:rsidP="00203DC2">
      <w:r w:rsidRPr="00203DC2">
        <w:t xml:space="preserve">Este artículo sostiene que la guerra cognitiva se entiende mejor como una lucha interactiva sobre la cognición humana, en la que atacantes y defensores se adaptan </w:t>
      </w:r>
      <w:r w:rsidRPr="00203DC2">
        <w:lastRenderedPageBreak/>
        <w:t>continuamente en busca de ventaja. Basándose en el bucle Observar–Orientar–Decidir–Actuar (OODA) del coronel John Boyd [8], la guerra cognitiva puede enmarcarse como una competencia para interrumpir, retrasar o distorsionar los procesos cognitivos de un oponente mientras se protegen los propios [1, 9]. Dentro de este marco, el éxito no se mide únicamente por la visibilidad o el alcance, sino por el grado en que los efectos cognitivos se traducen en un deterioro del juicio, cambios de comportamiento o pérdida de confianza a lo largo del tiempo. En concreto, nuestra investigación se centra en las siguientes preguntas de investigación (</w:t>
      </w:r>
      <w:proofErr w:type="spellStart"/>
      <w:r w:rsidRPr="00203DC2">
        <w:t>RQs</w:t>
      </w:r>
      <w:proofErr w:type="spellEnd"/>
      <w:r w:rsidRPr="00203DC2">
        <w:t>):</w:t>
      </w:r>
    </w:p>
    <w:p w14:paraId="7C65A8D1" w14:textId="77777777" w:rsidR="00203DC2" w:rsidRDefault="00203DC2" w:rsidP="00203DC2">
      <w:r w:rsidRPr="00203DC2">
        <w:t>RQ1: ¿Qué atributos son esenciales para modelar y caracterizar la guerra cognitiva?</w:t>
      </w:r>
      <w:r w:rsidRPr="00203DC2">
        <w:br/>
        <w:t>RQ2: ¿Cómo debería definirse rigurosamente la guerra cognitiva de manera que la distinga de conceptos relacionados como las operaciones de información y las actividades de influencia?</w:t>
      </w:r>
      <w:r w:rsidRPr="00203DC2">
        <w:br/>
        <w:t>RQ3: ¿Cómo deberíamos definir la superioridad cognitiva?</w:t>
      </w:r>
    </w:p>
    <w:p w14:paraId="5FD0D7F3" w14:textId="77777777" w:rsidR="00203DC2" w:rsidRDefault="00203DC2" w:rsidP="00203DC2"/>
    <w:p w14:paraId="5E57B42E" w14:textId="77777777" w:rsidR="00203DC2" w:rsidRPr="00203DC2" w:rsidRDefault="00203DC2" w:rsidP="00203DC2">
      <w:r w:rsidRPr="00203DC2">
        <w:t>1.1 Contribuciones</w:t>
      </w:r>
      <w:r w:rsidRPr="00203DC2">
        <w:br/>
        <w:t xml:space="preserve">El artículo realiza tres contribuciones. En primer lugar, introduce un marco novedoso para comprender y caracterizar la guerra cognitiva, denominado marco OODA Cognitivo </w:t>
      </w:r>
      <w:proofErr w:type="spellStart"/>
      <w:r w:rsidRPr="00203DC2">
        <w:t>Multihorizonte</w:t>
      </w:r>
      <w:proofErr w:type="spellEnd"/>
      <w:r w:rsidRPr="00203DC2">
        <w:t>. El marco tiene tres características: (i) modela la guerra cognitiva como una competencia sostenida entre atacante y defensor por la ventaja en la toma de decisiones, en lugar de una actividad unidireccional de mensajería. (</w:t>
      </w:r>
      <w:proofErr w:type="spellStart"/>
      <w:r w:rsidRPr="00203DC2">
        <w:t>ii</w:t>
      </w:r>
      <w:proofErr w:type="spellEnd"/>
      <w:r w:rsidRPr="00203DC2">
        <w:t>) Utiliza el bucle OODA como punto de partida, pero va mucho más allá al introducir e incorporar la noción de horizonte temporal para describir los efectos a corto plazo frente a los de largo plazo de los ataques y defensas cognitivas. (</w:t>
      </w:r>
      <w:proofErr w:type="spellStart"/>
      <w:r w:rsidRPr="00203DC2">
        <w:t>iii</w:t>
      </w:r>
      <w:proofErr w:type="spellEnd"/>
      <w:r w:rsidRPr="00203DC2">
        <w:t>) También es coherente con el encuadre doctrinal de la dimensión cognitiva y con los enfoques centrados en la toma de decisiones sobre la influencia y la cognición.</w:t>
      </w:r>
    </w:p>
    <w:p w14:paraId="65A8350E" w14:textId="77777777" w:rsidR="00203DC2" w:rsidRPr="00203DC2" w:rsidRDefault="00203DC2" w:rsidP="00203DC2">
      <w:r w:rsidRPr="00203DC2">
        <w:t>En segundo lugar, el artículo demuestra la utilidad del marco mediante un estudio de caso hipotético de ataques y defensas cognitivas en un entorno informativo disputado. El estudio de caso muestra cómo el marco proporciona una base conceptual compartida para apoyar a los líderes de fuerzas conjuntas y a los analistas en la comprensión de cuándo se ha ganado o perdido la ventaja cognitiva, y cómo la guerra cognitiva puede planificarse, evaluarse y contrarrestarse de manera más eficaz.</w:t>
      </w:r>
    </w:p>
    <w:p w14:paraId="01084CF5" w14:textId="77777777" w:rsidR="00203DC2" w:rsidRPr="00203DC2" w:rsidRDefault="00203DC2" w:rsidP="00203DC2">
      <w:r w:rsidRPr="00203DC2">
        <w:t>En tercer lugar, el artículo analiza las implicaciones de la guerra cognitiva para la Fuerza Conjunta, tales como: la guerra cognitiva debería institucionalizarse como un concepto operativo centrado en la toma de decisiones; la resiliencia en la toma de decisiones es una capacidad clave; la simulación y los juegos de guerra deberían incorporar factores de estrés cognitivo.</w:t>
      </w:r>
    </w:p>
    <w:p w14:paraId="367CF193" w14:textId="77777777" w:rsidR="00203DC2" w:rsidRPr="00203DC2" w:rsidRDefault="00203DC2" w:rsidP="00203DC2">
      <w:r w:rsidRPr="00203DC2">
        <w:t>1.2 Trabajos relacionados</w:t>
      </w:r>
      <w:r w:rsidRPr="00203DC2">
        <w:br/>
        <w:t>El trabajo previo relevante para la guerra cognitiva abarca (i) definiciones de influencia y cognición en el conflicto, (</w:t>
      </w:r>
      <w:proofErr w:type="spellStart"/>
      <w:r w:rsidRPr="00203DC2">
        <w:t>ii</w:t>
      </w:r>
      <w:proofErr w:type="spellEnd"/>
      <w:r w:rsidRPr="00203DC2">
        <w:t>) modelos de interacción atacante-defensor en el entorno informativo y (</w:t>
      </w:r>
      <w:proofErr w:type="spellStart"/>
      <w:r w:rsidRPr="00203DC2">
        <w:t>iii</w:t>
      </w:r>
      <w:proofErr w:type="spellEnd"/>
      <w:r w:rsidRPr="00203DC2">
        <w:t>) esfuerzos para evaluar la efectividad de las actividades de influencia.</w:t>
      </w:r>
    </w:p>
    <w:p w14:paraId="724C7270" w14:textId="77777777" w:rsidR="00203DC2" w:rsidRPr="00203DC2" w:rsidRDefault="00203DC2" w:rsidP="00203DC2">
      <w:r w:rsidRPr="00203DC2">
        <w:t xml:space="preserve">Estudios previos sobre definiciones de guerra cognitiva e influencia. Las definiciones existentes de guerra cognitiva y conceptos relacionados varían ampliamente en alcance y énfasis. Las fuentes de política estadounidense y doctrina conjunta describen la dimensión cognitiva como el dominio de la percepción humana, la toma de decisiones y </w:t>
      </w:r>
      <w:r w:rsidRPr="00203DC2">
        <w:lastRenderedPageBreak/>
        <w:t>la acción, a menudo situándola dentro del entorno informativo más amplio [1, 2]. Los análisis de la OTAN y aliados amplían esta visión, enmarcando la guerra cognitiva como un esfuerzo deliberado para explotar vulnerabilidades cognitivas en individuos y sociedades con el fin de lograr ventaja estratégica [10, 11]. La literatura académica ofrece una visión más amplia, recurriendo a la psicología, las ciencias sociales y la investigación sobre el desorden informativo para examinar cómo pueden manipularse las creencias, la confianza y las narrativas [4, 9]. Sin embargo, estas definiciones a menudo divergen en si enfatizan los mecanismos (por ejemplo, persuasión, manipulación), los efectos (por ejemplo, cambio de creencias, respuesta conductual) o los niveles de análisis (individuo frente a población). Como resultado, la guerra cognitiva se discute con frecuencia sin una definición compartida basada en efectos que la distinga claramente de las operaciones de información o la comunicación estratégica. En contraste, proponemos una definición sistemática de la guerra cognitiva.</w:t>
      </w:r>
    </w:p>
    <w:p w14:paraId="79CF166A" w14:textId="77777777" w:rsidR="00203DC2" w:rsidRPr="00203DC2" w:rsidRDefault="00203DC2" w:rsidP="00203DC2">
      <w:r w:rsidRPr="00203DC2">
        <w:t xml:space="preserve">Estudios previos sobre modelos de interacción atacante–defensor. Un segundo cuerpo de trabajo examina la dinámica atacante-defensor en el entorno informativo, incluyendo juegos de guerra, modelado de amenazas y análisis de operaciones de influencia, así como el dominio cibernético estrechamente relacionado [12–14]. Los estudios sobre juegos de guerra en el entorno informativo y juegos de guerra cognitivos destacan la importancia de la adaptación, el aprendizaje y la competencia entre adversarios [5, 7]. Estos esfuerzos demuestran el valor de modelar la interacción en lugar de tratar la influencia como una actividad estática. No obstante, muchos modelos existentes de ataque-defensa cognitiva siguen siendo centrados en el atacante o estructuralmente estáticos, enfocándose en tácticas y mensajería mientras prestan atención limitada a la cognición del defensor, la resiliencia y los bucles de retroalimentación. Incluso cuando se hace referencia al bucle OODA, a menudo se aplica de manera conceptual más que operativa, dejando vacíos en cómo los efectos cognitivos se propagan a través de los procesos de toma de decisiones a lo largo del tiempo [15]. </w:t>
      </w:r>
      <w:r w:rsidRPr="00203DC2">
        <w:rPr>
          <w:highlight w:val="yellow"/>
        </w:rPr>
        <w:t>En contraste, este artículo presenta una base conceptual que puede aprovecharse para construir modelos matemáticamente sólidos de dinámicas de ataque-defensa cognitiva, similares a los modelos de dinámicas de ciberseguridad [12–14].</w:t>
      </w:r>
    </w:p>
    <w:p w14:paraId="189BD7B9" w14:textId="77777777" w:rsidR="00203DC2" w:rsidRDefault="00203DC2" w:rsidP="00203DC2">
      <w:r w:rsidRPr="00203DC2">
        <w:t>Estudios previos sobre métricas y evaluación de efectos cognitivos. Evaluar el éxito en la guerra cognitiva presenta un desafío persistente. Gran parte de la literatura existente sobre evaluación se basa en medidas indirectas como la interacción, el alcance o la exposición, particularmente en estudios sobre desinformación y campañas de influencia [16, 17]. Si bien estas métricas son útiles para comprender la difusión y la susceptibilidad, no indican directamente si los ataques cognitivos degradan la calidad de la toma de decisiones o confieren una ventaja duradera. Trabajos recientes sobre sofisticación psicológica, ingeniería social y efectividad del entrenamiento sugieren direcciones prometedoras para una medición más significativa, incluida la evaluación de la vulnerabilidad cognitiva, la adaptación y el aprendizaje [18, 19]. Sin embargo, estos enfoques rara vez se integran en un marco unificado capaz de apoyar la evaluación comparativa o determinar la superioridad cognitiva en entornos disputados</w:t>
      </w:r>
      <w:r w:rsidRPr="00203DC2">
        <w:rPr>
          <w:highlight w:val="yellow"/>
        </w:rPr>
        <w:t>. En contraste, este artículo introduce un conjunto de métricas novedosas para medir la efectividad de los ataques y defensas cognitivas.</w:t>
      </w:r>
    </w:p>
    <w:p w14:paraId="13144700" w14:textId="77777777" w:rsidR="00011567" w:rsidRDefault="00011567" w:rsidP="00203DC2"/>
    <w:p w14:paraId="3D5D033A" w14:textId="77777777" w:rsidR="00011567" w:rsidRPr="00203DC2" w:rsidRDefault="00011567" w:rsidP="00203DC2"/>
    <w:p w14:paraId="2DAF8762" w14:textId="77777777" w:rsidR="00203DC2" w:rsidRPr="00203DC2" w:rsidRDefault="00203DC2" w:rsidP="00203DC2">
      <w:r w:rsidRPr="00203DC2">
        <w:lastRenderedPageBreak/>
        <w:t>1.3 Estructura del artículo</w:t>
      </w:r>
      <w:r w:rsidRPr="00203DC2">
        <w:br/>
        <w:t>El resto del artículo está organizado de la siguiente manera. La Sección 2 presenta el marco. La Sección 3 presenta nuestro estudio de caso. La Sección 4 concluye el artículo.</w:t>
      </w:r>
    </w:p>
    <w:p w14:paraId="1EC89350" w14:textId="77777777" w:rsidR="00203DC2" w:rsidRDefault="00203DC2" w:rsidP="00203DC2"/>
    <w:p w14:paraId="0F5E851B" w14:textId="77777777" w:rsidR="00203DC2" w:rsidRPr="00203DC2" w:rsidRDefault="00203DC2" w:rsidP="00203DC2">
      <w:r w:rsidRPr="00203DC2">
        <w:t>2 Marco conceptual para la guerra cognitiva</w:t>
      </w:r>
      <w:r w:rsidRPr="00203DC2">
        <w:br/>
      </w:r>
      <w:r w:rsidRPr="00203DC2">
        <w:rPr>
          <w:highlight w:val="yellow"/>
        </w:rPr>
        <w:t>Esta sección introduce un marco conceptual para la guerra cognitiva basado en el bucle OODA de Boyd. El marco tiene tres características novedosas. En primer lugar, modela la guerra cognitiva como una competencia sostenida entre atacante y defensor por la ventaja en la toma de decisiones, en lugar de una actividad unidireccional de mensajería. En segundo lugar, distinguimos los efectos de la guerra cognitiva según el horizonte temporal: (i) efectos agudos (de corto plazo) que se manifiestan en minutos a días y son observables como una degradación inmediata del desempeño OODA (por ejemplo, percepción errónea, decisiones retrasadas, confianza reducida); y (</w:t>
      </w:r>
      <w:proofErr w:type="spellStart"/>
      <w:r w:rsidRPr="00203DC2">
        <w:rPr>
          <w:highlight w:val="yellow"/>
        </w:rPr>
        <w:t>ii</w:t>
      </w:r>
      <w:proofErr w:type="spellEnd"/>
      <w:r w:rsidRPr="00203DC2">
        <w:rPr>
          <w:highlight w:val="yellow"/>
        </w:rPr>
        <w:t>) efectos crónicos (de largo plazo) que se acumulan durante semanas a años y desplazan gradualmente los supuestos previos del objetivo, la calibración de la confianza y los marcos de identidad, es decir, que los efectos crónicos “</w:t>
      </w:r>
      <w:proofErr w:type="spellStart"/>
      <w:r w:rsidRPr="00203DC2">
        <w:rPr>
          <w:highlight w:val="yellow"/>
        </w:rPr>
        <w:t>reparametrizan</w:t>
      </w:r>
      <w:proofErr w:type="spellEnd"/>
      <w:r w:rsidRPr="00203DC2">
        <w:rPr>
          <w:highlight w:val="yellow"/>
        </w:rPr>
        <w:t xml:space="preserve">” los bucles OODA agudos al moldear qué se percibe, qué se considera creíble y qué acciones parecen legítimas o factibles. Estos horizontes nos permiten analizar sistemáticamente cómo emergen, se acumulan y se traducen los efectos cognitivos en superioridad relativa en la toma de decisiones bajo una competencia sostenida. Por ello, lo denominamos el marco OODA Cognitivo </w:t>
      </w:r>
      <w:proofErr w:type="spellStart"/>
      <w:r w:rsidRPr="00203DC2">
        <w:rPr>
          <w:highlight w:val="yellow"/>
        </w:rPr>
        <w:t>Multihorizonte</w:t>
      </w:r>
      <w:proofErr w:type="spellEnd"/>
      <w:r w:rsidRPr="00203DC2">
        <w:rPr>
          <w:highlight w:val="yellow"/>
        </w:rPr>
        <w:t>. En tercer lugar, el marco es coherente con el encuadre doctrinal de la dimensión cognitiva y con los enfoques centrados en la toma de decisiones sobre la influencia y la cognición [1, 2, 4, 9, 20]. Específicamente, la doctrina conjunta caracteriza la dimensión cognitiva en términos de cómo los individuos y los grupos perciben, procesan y actúan sobre la información, y enfatiza que el éxito operativo depende de moldear la toma de decisiones del adversario mientras se protege la propia [1, 2]. Nuestro marco operacionaliza esta intención doctrinal mediante (i) la asignación de funciones cognitivas disputables a las etapas del OODA (observar, orientar, decidir, actuar), (</w:t>
      </w:r>
      <w:proofErr w:type="spellStart"/>
      <w:r w:rsidRPr="00203DC2">
        <w:rPr>
          <w:highlight w:val="yellow"/>
        </w:rPr>
        <w:t>ii</w:t>
      </w:r>
      <w:proofErr w:type="spellEnd"/>
      <w:r w:rsidRPr="00203DC2">
        <w:rPr>
          <w:highlight w:val="yellow"/>
        </w:rPr>
        <w:t>) el tratamiento de la guerra cognitiva como una interacción adaptativa atacante–defensor en lugar de una actividad unidireccional de mensajería, y (</w:t>
      </w:r>
      <w:proofErr w:type="spellStart"/>
      <w:r w:rsidRPr="00203DC2">
        <w:rPr>
          <w:highlight w:val="yellow"/>
        </w:rPr>
        <w:t>iii</w:t>
      </w:r>
      <w:proofErr w:type="spellEnd"/>
      <w:r w:rsidRPr="00203DC2">
        <w:rPr>
          <w:highlight w:val="yellow"/>
        </w:rPr>
        <w:t>) la evaluación explícitamente centrada en la toma de decisiones (por ejemplo, latencia de decisión, error de decisión, calibración de la confianza) en lugar de centrada en la visibilidad.</w:t>
      </w:r>
    </w:p>
    <w:p w14:paraId="38251588" w14:textId="77777777" w:rsidR="00203DC2" w:rsidRPr="00203DC2" w:rsidRDefault="00203DC2" w:rsidP="00203DC2">
      <w:r w:rsidRPr="00203DC2">
        <w:t>2.1 Atributos definitorios para caracterizar la guerra cognitiva (Respuesta a RQ1)</w:t>
      </w:r>
      <w:r w:rsidRPr="00203DC2">
        <w:br/>
        <w:t>Para permitir una definición y evaluación sistemáticas, caracterizamos la guerra cognitiva utilizando tres familias de atributos que se aplican simétricamente tanto a atacantes como a defensores: objetivos (qué efectos busca producir o prevenir un actor), capacidades (qué puede hacer un actor bajo competencia para lograr o negar esos efectos) y coste y eficiencia (los recursos necesarios para sostener la ventaja).</w:t>
      </w:r>
    </w:p>
    <w:p w14:paraId="01B7C925" w14:textId="77777777" w:rsidR="00203DC2" w:rsidRPr="00203DC2" w:rsidRDefault="00203DC2" w:rsidP="00203DC2">
      <w:r w:rsidRPr="00203DC2">
        <w:t>Esta estructura de tres familias es coherente con (i) el énfasis doctrinal en la ventaja en la toma de decisiones y los efectos en la dimensión cognitiva [1, 2], (</w:t>
      </w:r>
      <w:proofErr w:type="spellStart"/>
      <w:r w:rsidRPr="00203DC2">
        <w:t>ii</w:t>
      </w:r>
      <w:proofErr w:type="spellEnd"/>
      <w:r w:rsidRPr="00203DC2">
        <w:t>) los hallazgos empíricos de que las medidas indirectas de exposición/interacción son insuficientes para inferir el impacto cognitivo [4, 16, 17], y (</w:t>
      </w:r>
      <w:proofErr w:type="spellStart"/>
      <w:r w:rsidRPr="00203DC2">
        <w:t>iii</w:t>
      </w:r>
      <w:proofErr w:type="spellEnd"/>
      <w:r w:rsidRPr="00203DC2">
        <w:t>) una larga tradición de modelar competencias adversariales mediante la especificación de objetivos, capacidades y asimetrías de recursos [5, 12, 14].</w:t>
      </w:r>
    </w:p>
    <w:p w14:paraId="02AC2F8A" w14:textId="77777777" w:rsidR="00203DC2" w:rsidRPr="00203DC2" w:rsidRDefault="00203DC2" w:rsidP="00203DC2">
      <w:pPr>
        <w:numPr>
          <w:ilvl w:val="0"/>
          <w:numId w:val="1"/>
        </w:numPr>
      </w:pPr>
      <w:r w:rsidRPr="00203DC2">
        <w:rPr>
          <w:highlight w:val="yellow"/>
        </w:rPr>
        <w:lastRenderedPageBreak/>
        <w:t>Objetivos</w:t>
      </w:r>
      <w:r w:rsidRPr="00203DC2">
        <w:t xml:space="preserve"> (Efectos a corto y largo plazo). Los objetivos especifican los efectos cognitivos deseados o evitados e incorporan dos atributos integrados: degradación de la decisión y horizonte temporal. El atributo de degradación de la decisión refleja cambios medibles en el desempeño OODA, incluyendo aumento de la latencia de decisión, aumento del error de decisión, reducción de la confianza o inducción de acciones desalineadas dentro de ventanas de tiempo relevantes para la misión [1, 9]. El atributo de horizonte temporal distingue entre objetivos de corto plazo (agudos), que se manifiestan en minutos a días como interrupciones inmediatas del OODA, y objetivos de largo plazo (crónicos), que se acumulan durante semanas a años como cambios persistentes en la calibración de la confianza, la alineación de creencias y los supuestos interpretativos que moldean ciclos de decisión posteriores [4, 10, 21]. En ambos casos, los objetivos deben expresarse con poblaciones objetivo, ventanas temporales y consecuencias en la toma de decisiones explícitas para apoyar la comparación y evaluación. </w:t>
      </w:r>
    </w:p>
    <w:p w14:paraId="22A88339" w14:textId="77777777" w:rsidR="00203DC2" w:rsidRPr="00203DC2" w:rsidRDefault="00203DC2" w:rsidP="00203DC2">
      <w:pPr>
        <w:numPr>
          <w:ilvl w:val="0"/>
          <w:numId w:val="1"/>
        </w:numPr>
      </w:pPr>
      <w:r w:rsidRPr="00203DC2">
        <w:rPr>
          <w:highlight w:val="yellow"/>
        </w:rPr>
        <w:t>Capacidades</w:t>
      </w:r>
      <w:r w:rsidRPr="00203DC2">
        <w:t xml:space="preserve"> (Lograr objetivos bajo competencia). Las capacidades especifican los mecanismos que un actor puede emplear para lograr (o negar) objetivos cognitivos en una competencia adaptativa entre atacante y defensor e incorporan dos atributos integrados: interacción/adaptación y escalabilidad/amplificación [5, 7]. El atributo de interacción/adaptación refleja la capacidad de ajustar tácticas, detectar actividad adversaria, reducir el tiempo de recuperación y aprender bajo competencia sostenida. El atributo de escalabilidad y amplificación refleja la capacidad de generar, restringir o mitigar efectos cognitivos de manera rápida y a gran escala, incluyendo acceso y entrega, ingeniería narrativa y mecanismos de optimización [4, 22]. Para los atacantes, estas capacidades incluyen acceso, ingeniería narrativa, amplificación y adaptación. Para los defensores, incluyen detección y evaluación, resiliencia cognitiva, respuesta y mitigación, y aprendizaje organizacional [16, 19]. La evaluación de capacidades enfatiza el desempeño bajo presión: si un actor puede adaptarse más rápido que un oponente, reducir el tiempo de recuperación tras una interrupción o limitar la amplificación antes de que los efectos agudos se traduzcan en una degradación medible de la toma de decisiones. </w:t>
      </w:r>
    </w:p>
    <w:p w14:paraId="35BEF420" w14:textId="77777777" w:rsidR="00203DC2" w:rsidRPr="00203DC2" w:rsidRDefault="00203DC2" w:rsidP="00203DC2">
      <w:pPr>
        <w:numPr>
          <w:ilvl w:val="0"/>
          <w:numId w:val="1"/>
        </w:numPr>
      </w:pPr>
      <w:r w:rsidRPr="00203DC2">
        <w:rPr>
          <w:highlight w:val="yellow"/>
        </w:rPr>
        <w:t>Coste y eficiencia</w:t>
      </w:r>
      <w:r w:rsidRPr="00203DC2">
        <w:t xml:space="preserve"> (Sostener la ventaja). El coste y la eficiencia constituyen un atributo distinto que refleja la estructura de costes asimétrica de la guerra cognitiva. Las contiendas cognitivas a menudo permiten que acciones de bajo recurso generen efectos cognitivos desproporcionados, particularmente en entornos mediados digitalmente [21, 23]. En consecuencia, la evaluación requiere no solo determinar si se logran los objetivos, sino si se logran de manera eficiente y sostenible bajo competencia prolongada. Estos atributos capturan la carga de recursos necesaria para generar o negar efectos cognitivos a gran escala a lo largo del tiempo y permiten la evaluación comparativa de qué actor puede sostener la ventaja cognitiva. </w:t>
      </w:r>
    </w:p>
    <w:p w14:paraId="79A83A53" w14:textId="77777777" w:rsidR="00203DC2" w:rsidRPr="00203DC2" w:rsidRDefault="00203DC2" w:rsidP="00203DC2">
      <w:r w:rsidRPr="00203DC2">
        <w:t xml:space="preserve">En conjunto, estas tres familias de atributos proporcionan una base práctica y medible para caracterizar la guerra cognitiva como una interacción dinámica en lugar de un proceso de influencia unidireccional [5, 7], abordando así la RQ1. La Tabla 1 resume las familias de atributos en una estructura simétrica atacante-defensor, haciendo explícito el </w:t>
      </w:r>
      <w:r w:rsidRPr="00203DC2">
        <w:lastRenderedPageBreak/>
        <w:t>enfoque del marco en la toma de decisiones dentro del OODA y su distinción entre la disrupción a corto plazo y el condicionamiento a largo plazo.</w:t>
      </w:r>
    </w:p>
    <w:p w14:paraId="7D5DFC5B" w14:textId="77777777" w:rsidR="00203DC2" w:rsidRDefault="00203DC2" w:rsidP="00203DC2"/>
    <w:p w14:paraId="0A3BB1A2" w14:textId="77777777" w:rsidR="00203DC2" w:rsidRPr="00203DC2" w:rsidRDefault="00203DC2" w:rsidP="00203DC2">
      <w:r w:rsidRPr="00203DC2">
        <w:t>2.2 Definición de ataques cognitivos</w:t>
      </w:r>
      <w:r w:rsidRPr="00203DC2">
        <w:br/>
        <w:t xml:space="preserve">A diferencia de las actividades de información que </w:t>
      </w:r>
      <w:proofErr w:type="gramStart"/>
      <w:r w:rsidRPr="00203DC2">
        <w:t>se centran principalmente en</w:t>
      </w:r>
      <w:proofErr w:type="gramEnd"/>
      <w:r w:rsidRPr="00203DC2">
        <w:t xml:space="preserve"> la difusión de mensajes o la visibilidad, los ataques cognitivos se definen por sus efectos previstos sobre la cognición humana. En particular, buscan degradar la forma en que los actores observan, se orientan, deciden y actúan mediante la explotación de sesgos cognitivos, relaciones de confianza y atajos mentales [1, 9]. La tecnología y las plataformas de información funcionan como facilitadores de escala y persistencia, pero el proceso cognitivo humano sigue siendo el objetivo principal. Esto nos lleva a adoptar una definición reciente.</w:t>
      </w:r>
    </w:p>
    <w:p w14:paraId="2F1A5411" w14:textId="77777777" w:rsidR="00203DC2" w:rsidRPr="00203DC2" w:rsidRDefault="00203DC2" w:rsidP="00203DC2">
      <w:r w:rsidRPr="00203DC2">
        <w:t>Definición 1 (Ataques cognitivos [20]) Los ataques cognitivos son operaciones que tienen como objetivo la mente humana, buscando manipular percepciones y creencias, que pueden ser instrumentalizadas y potenciadas mediante tecnología e información engañosa, generalmente para afectar la toma de decisiones y las acciones de individuos o poblaciones más amplias con el fin de obtener ventaja.</w:t>
      </w:r>
    </w:p>
    <w:p w14:paraId="2017DD34" w14:textId="77777777" w:rsidR="00203DC2" w:rsidRPr="00203DC2" w:rsidRDefault="00203DC2" w:rsidP="00203DC2">
      <w:r w:rsidRPr="00203DC2">
        <w:t>La Definición 1 enfatiza la degradación de la toma de decisiones y el impacto conductual como los resultados distintivos de los ataques cognitivos, en lugar de la mera exposición a la información. Por lo tanto, los ataques cognitivos se evalúan de manera más significativa en función de si alteran de forma medible el juicio, retrasan o distorsionan la toma de decisiones, o inducen acciones (o inacción) que favorecen al atacante según el horizonte temporal relevante (corto/agudo frente a largo/crónico) y el nivel de análisis (individual, organizacional, poblacional).</w:t>
      </w:r>
    </w:p>
    <w:p w14:paraId="4E8DE33D" w14:textId="77777777" w:rsidR="00203DC2" w:rsidRPr="00203DC2" w:rsidRDefault="00203DC2" w:rsidP="00203DC2">
      <w:r w:rsidRPr="00203DC2">
        <w:t>Inspirándonos en cómo se especifican las contiendas adversariales en ciberseguridad (objetivos, capacidades y adaptación bajo defensa), proponemos especificar los ataques cognitivos en términos de sus objetivos y capacidades, de acuerdo con las familias de atributos introducidas en la Sección 2.1 [5, 12, 14]. En particular, los objetivos del atacante corresponden a la familia de objetivos (degradación de la decisión en horizontes agudos y condicionamiento en horizontes crónicos), mientras que las capacidades del atacante corresponden a la familia de capacidades (entrega, ingeniería narrativa, amplificación y adaptación bajo competencia) [1, 4, 5].</w:t>
      </w:r>
    </w:p>
    <w:p w14:paraId="345382B6" w14:textId="77777777" w:rsidR="00203DC2" w:rsidRPr="00203DC2" w:rsidRDefault="00203DC2" w:rsidP="00203DC2">
      <w:r w:rsidRPr="00203DC2">
        <w:t>2.2.1 Objetivos del atacante</w:t>
      </w:r>
      <w:r w:rsidRPr="00203DC2">
        <w:br/>
        <w:t>En el contexto de la guerra cognitiva, el objetivo del atacante no es simplemente difundir información, sino generar efectos cognitivos que se traduzcan en ventaja en la toma de decisiones [1, 2, 21]. Para evitar confundir los niveles de la guerra con la escala temporal, especificamos los objetivos del atacante según el horizonte temporal: (i) objetivos de corto plazo (agudos) que se manifiestan en minutos a días como una degradación inmediata del desempeño OODA, y (</w:t>
      </w:r>
      <w:proofErr w:type="spellStart"/>
      <w:r w:rsidRPr="00203DC2">
        <w:t>ii</w:t>
      </w:r>
      <w:proofErr w:type="spellEnd"/>
      <w:r w:rsidRPr="00203DC2">
        <w:t>) objetivos de largo plazo (crónicos) que se acumulan durante semanas a años al desplazar supuestos previos, la calibración de la confianza y los marcos de identidad. Es decir, los objetivos del atacante deben especificarse con horizontes temporales explícitos, poblaciones objetivo y consecuencias previstas en la toma de decisiones para facilitar la evaluación y comparación.</w:t>
      </w:r>
    </w:p>
    <w:p w14:paraId="02CA5B02" w14:textId="77777777" w:rsidR="00203DC2" w:rsidRPr="00203DC2" w:rsidRDefault="00203DC2" w:rsidP="00203DC2">
      <w:r w:rsidRPr="00203DC2">
        <w:lastRenderedPageBreak/>
        <w:t>Objetivos del atacante a corto plazo (agudos). Los objetivos de corto plazo buscan desviar la atención, degradar el pensamiento crítico o inducir respuestas conductuales específicas entre operadores, estados mayores o comandantes dentro de ventanas temporales relevantes para la misión. Más específicamente, incluyen (i) efectos en la observación (percepción), moldeando lo que el objetivo percibe o acepta como creíble; (</w:t>
      </w:r>
      <w:proofErr w:type="spellStart"/>
      <w:r w:rsidRPr="00203DC2">
        <w:t>ii</w:t>
      </w:r>
      <w:proofErr w:type="spellEnd"/>
      <w:r w:rsidRPr="00203DC2">
        <w:t>) efectos en la orientación, sesgando la interpretación mediante encuadres, señales de identidad, activación emocional o narrativas causales; (</w:t>
      </w:r>
      <w:proofErr w:type="spellStart"/>
      <w:r w:rsidRPr="00203DC2">
        <w:t>iii</w:t>
      </w:r>
      <w:proofErr w:type="spellEnd"/>
      <w:r w:rsidRPr="00203DC2">
        <w:t xml:space="preserve">) efectos en la decisión, aumentando la vacilación, la confusión, la </w:t>
      </w:r>
      <w:proofErr w:type="spellStart"/>
      <w:r w:rsidRPr="00203DC2">
        <w:t>sobreconfianza</w:t>
      </w:r>
      <w:proofErr w:type="spellEnd"/>
      <w:r w:rsidRPr="00203DC2">
        <w:t xml:space="preserve"> o la dependencia de atajos cognitivos; y (</w:t>
      </w:r>
      <w:proofErr w:type="spellStart"/>
      <w:r w:rsidRPr="00203DC2">
        <w:t>iv</w:t>
      </w:r>
      <w:proofErr w:type="spellEnd"/>
      <w:r w:rsidRPr="00203DC2">
        <w:t>) efectos en la acción, provocando comportamientos beneficiosos para el atacante, incluida la inacción [1, 4, 9].</w:t>
      </w:r>
    </w:p>
    <w:p w14:paraId="28121BDE" w14:textId="77777777" w:rsidR="00203DC2" w:rsidRPr="00203DC2" w:rsidRDefault="00203DC2" w:rsidP="00203DC2">
      <w:r w:rsidRPr="00203DC2">
        <w:t>Objetivos del atacante a largo plazo (crónicos). Los objetivos a largo plazo suelen implicar la erosión persistente de la confianza institucional, la polarización de poblaciones o la normalización de creencias falsas que restringen el espacio de decisión político y militar con el tiempo [10, 11].</w:t>
      </w:r>
    </w:p>
    <w:p w14:paraId="59C3D9B5" w14:textId="77777777" w:rsidR="00203DC2" w:rsidRPr="00203DC2" w:rsidRDefault="00203DC2" w:rsidP="00203DC2">
      <w:r w:rsidRPr="00203DC2">
        <w:t>2.2.2 Capacidades del atacante</w:t>
      </w:r>
      <w:r w:rsidRPr="00203DC2">
        <w:br/>
        <w:t xml:space="preserve">Las capacidades del atacante son los recursos y mecanismos utilizados para producir efectos cognitivos y sostenerlos bajo competencia. Estas capacidades se evalúan no solo por su existencia, sino por su eficacia bajo la presión del defensor. Por ejemplo, en el corto plazo, si el atacante puede mantener o intensificar los efectos cognitivos a lo largo del bucle OODA a pesar de la detección, la </w:t>
      </w:r>
      <w:proofErr w:type="spellStart"/>
      <w:r w:rsidRPr="00203DC2">
        <w:t>contra-mensajería</w:t>
      </w:r>
      <w:proofErr w:type="spellEnd"/>
      <w:r w:rsidRPr="00203DC2">
        <w:t>, el entrenamiento y otras medidas defensivas [1, 2]. Organizamos las capacidades en cuatro categorías que pueden aplicarse para lograr tanto objetivos de corto plazo (agudos) como de largo plazo (crónicos):</w:t>
      </w:r>
    </w:p>
    <w:p w14:paraId="4983DF3A" w14:textId="77777777" w:rsidR="00203DC2" w:rsidRPr="00203DC2" w:rsidRDefault="00203DC2" w:rsidP="00203DC2">
      <w:r w:rsidRPr="00203DC2">
        <w:t>• Acceso y entrega: la capacidad de alcanzar audiencias objetivo a través de plataformas, canales interpersonales o vías de información comprometidas, incluidas fuentes falsificadas o engañosas [4].</w:t>
      </w:r>
    </w:p>
    <w:p w14:paraId="6317922E" w14:textId="77777777" w:rsidR="00203DC2" w:rsidRPr="00203DC2" w:rsidRDefault="00203DC2" w:rsidP="00203DC2">
      <w:r w:rsidRPr="00203DC2">
        <w:t>• Ingeniería de contenido y narrativa: la capacidad de elaborar mensajes persuasivos o manipuladores adaptados a vulnerabilidades cognitivas, señales de identidad social y factores de estrés situacional [9, 22].</w:t>
      </w:r>
    </w:p>
    <w:p w14:paraId="1A4FCDF3" w14:textId="77777777" w:rsidR="00203DC2" w:rsidRPr="00203DC2" w:rsidRDefault="00203DC2" w:rsidP="00203DC2">
      <w:r w:rsidRPr="00203DC2">
        <w:t>• Amplificación y optimización: incluye tácticas que aumentan la visibilidad, el consenso percibido y la relevancia (por ejemplo, comportamiento coordinado no auténtico, estrategias de temporización y microsegmentación), influyendo así en lo que los objetivos observan y consideran socialmente validado [4, 5].</w:t>
      </w:r>
    </w:p>
    <w:p w14:paraId="029C9196" w14:textId="77777777" w:rsidR="00203DC2" w:rsidRPr="00203DC2" w:rsidRDefault="00203DC2" w:rsidP="00203DC2">
      <w:r w:rsidRPr="00203DC2">
        <w:t>• Adaptación y resiliencia: la capacidad de ajustar tácticas, narrativas y métodos de entrega en respuesta a la mitigación del defensor, la concienciación pública o la aplicación de normas por parte de las plataformas [5, 7]. El marco DISARM proporciona una taxonomía estructurada de tácticas y técnicas adversarias que puede utilizarse para parametrizar este conjunto de capacidades para modelado de equipos rojos y análisis comparativo.</w:t>
      </w:r>
    </w:p>
    <w:p w14:paraId="3331C826" w14:textId="77777777" w:rsidR="00203DC2" w:rsidRDefault="00203DC2" w:rsidP="00203DC2"/>
    <w:p w14:paraId="47F681C1" w14:textId="77777777" w:rsidR="00203DC2" w:rsidRPr="00203DC2" w:rsidRDefault="00203DC2" w:rsidP="00203DC2">
      <w:r w:rsidRPr="00203DC2">
        <w:t>2.3 Definición de defensa cognitiva</w:t>
      </w:r>
      <w:r w:rsidRPr="00203DC2">
        <w:br/>
        <w:t xml:space="preserve">En el contexto de la guerra cognitiva, las defensas no se limitan a la </w:t>
      </w:r>
      <w:proofErr w:type="spellStart"/>
      <w:r w:rsidRPr="00203DC2">
        <w:t>contra-mensajería</w:t>
      </w:r>
      <w:proofErr w:type="spellEnd"/>
      <w:r w:rsidRPr="00203DC2">
        <w:t xml:space="preserve"> o a la aplicación de normas en plataformas, sino que abarcan las acciones y capacidades </w:t>
      </w:r>
      <w:r w:rsidRPr="00203DC2">
        <w:lastRenderedPageBreak/>
        <w:t>deliberadas que previenen, absorben o se recuperan de los esfuerzos del adversario por degradar la toma de decisiones. Esto nos lleva a definir:</w:t>
      </w:r>
    </w:p>
    <w:p w14:paraId="56DC9FF4" w14:textId="77777777" w:rsidR="00203DC2" w:rsidRPr="00203DC2" w:rsidRDefault="00203DC2" w:rsidP="00203DC2">
      <w:r w:rsidRPr="00203DC2">
        <w:t>Definición 2 (Defensas cognitivas) Las defensas cognitivas son operaciones y capacidades que protegen la mente humana de los esfuerzos adversarios por manipular percepciones y creencias, preservando o restaurando una toma de decisiones y acción sólidas en la búsqueda de una ventaja sostenida.</w:t>
      </w:r>
    </w:p>
    <w:p w14:paraId="68F1417C" w14:textId="77777777" w:rsidR="00203DC2" w:rsidRPr="00203DC2" w:rsidRDefault="00203DC2" w:rsidP="00203DC2">
      <w:r w:rsidRPr="00203DC2">
        <w:t>De manera similar, especificamos las defensas cognitivas en términos de los objetivos del defensor (los efectos cognitivos que el defensor busca preservar a lo largo de los horizontes) y las capacidades del defensor (los mecanismos utilizados para lograr esos objetivos bajo competencia).</w:t>
      </w:r>
    </w:p>
    <w:p w14:paraId="0A6A16D4" w14:textId="77777777" w:rsidR="00203DC2" w:rsidRPr="00203DC2" w:rsidRDefault="00203DC2" w:rsidP="00203DC2">
      <w:r w:rsidRPr="00203DC2">
        <w:t>2.3.1 Objetivos del defensor</w:t>
      </w:r>
      <w:r w:rsidRPr="00203DC2">
        <w:br/>
        <w:t>En general, las defensas cognitivas no requieren eliminar o prevenir toda exposición a todas las narrativas del adversario. El éxito defensivo se logra cuando la actividad adversaria no produce una degradación significativa del desempeño del defensor en los horizontes relevantes. De forma simétrica a los objetivos del atacante, los objetivos del defensor se especifican según el horizonte temporal: (i) objetivos de corto plazo (agudos) que preservan la integridad y el ritmo del OODA bajo presión cognitiva inmediata, y (</w:t>
      </w:r>
      <w:proofErr w:type="spellStart"/>
      <w:r w:rsidRPr="00203DC2">
        <w:t>ii</w:t>
      </w:r>
      <w:proofErr w:type="spellEnd"/>
      <w:r w:rsidRPr="00203DC2">
        <w:t>) objetivos de largo plazo (crónicos) que preservan la confianza institucional, la cohesión social y la calibración de la confianza a lo largo del tiempo.</w:t>
      </w:r>
    </w:p>
    <w:p w14:paraId="22FA8242" w14:textId="77777777" w:rsidR="00203DC2" w:rsidRPr="00203DC2" w:rsidRDefault="00203DC2" w:rsidP="00203DC2">
      <w:r w:rsidRPr="00203DC2">
        <w:t>Objetivos defensivos a corto plazo (agudos). Preservar la ventaja en la toma de decisiones protegiendo la integridad y el ritmo del bucle OODA del defensor en ventanas de tiempo relevantes para la misión: mantener la conciencia situacional, prevenir la confusión y permitir decisiones oportunas y precisas por parte de operadores, estados mayores y comandantes. Más específicamente, el objetivo del defensor corresponde directamente a las etapas del bucle OODA y describe lo que se pretende proteger: protección de la observación, protección de la orientación, protección de la decisión y protección de la acción.</w:t>
      </w:r>
    </w:p>
    <w:p w14:paraId="7F63DD23" w14:textId="77777777" w:rsidR="00203DC2" w:rsidRPr="00203DC2" w:rsidRDefault="00203DC2" w:rsidP="00203DC2">
      <w:r w:rsidRPr="00203DC2">
        <w:t>Objetivos defensivos a largo plazo (crónicos). Preservar la confianza institucional, la cohesión social y la confianza en los procesos de toma de decisiones autoritativos a lo largo de horizontes temporales extendidos, reduciendo así la capacidad del atacante para restringir el espacio de decisión político o militar.</w:t>
      </w:r>
    </w:p>
    <w:p w14:paraId="35278CA3" w14:textId="77777777" w:rsidR="00203DC2" w:rsidRPr="00203DC2" w:rsidRDefault="00203DC2" w:rsidP="00203DC2">
      <w:r w:rsidRPr="00203DC2">
        <w:t>2.3.2 Capacidades del defensor</w:t>
      </w:r>
      <w:r w:rsidRPr="00203DC2">
        <w:br/>
        <w:t xml:space="preserve">En general, las capacidades del defensor van mucho más allá de la </w:t>
      </w:r>
      <w:proofErr w:type="spellStart"/>
      <w:r w:rsidRPr="00203DC2">
        <w:t>contra-mensajería</w:t>
      </w:r>
      <w:proofErr w:type="spellEnd"/>
      <w:r w:rsidRPr="00203DC2">
        <w:t xml:space="preserve"> e incluyen detección, resiliencia, adaptación y aprendizaje en todo el dominio cognitivo. Específicamente, las capacidades del defensor son los mecanismos que pueden utilizarse para lograr los objetivos defensivos. Se evalúan por su capacidad para reducir la efectividad, persistencia o escalabilidad de los ataques cognitivos, mientras se preservan la velocidad y la precisión de la toma de decisiones bajo presión adversaria sostenida. De manera paralela a las capacidades del atacante, consideramos cuatro tipos de capacidades del defensor:</w:t>
      </w:r>
    </w:p>
    <w:p w14:paraId="494B2C0C" w14:textId="77777777" w:rsidR="00203DC2" w:rsidRPr="00203DC2" w:rsidRDefault="00203DC2" w:rsidP="00203DC2">
      <w:r w:rsidRPr="00203DC2">
        <w:t xml:space="preserve">• Capacidades de detección y evaluación: permiten a los defensores identificar ataques cognitivos, atribuir intención y evaluar el impacto potencial. Esto incluye reconocer tácticas manipuladoras, actividad de influencia coordinada e indicadores de estrés o </w:t>
      </w:r>
      <w:r w:rsidRPr="00203DC2">
        <w:lastRenderedPageBreak/>
        <w:t>distorsión cognitiva en las poblaciones objetivo. Una detección eficaz respalda la acción defensiva oportuna, pero por sí sola es insuficiente.</w:t>
      </w:r>
    </w:p>
    <w:p w14:paraId="63E5923D" w14:textId="77777777" w:rsidR="00203DC2" w:rsidRPr="00203DC2" w:rsidRDefault="00203DC2" w:rsidP="00203DC2">
      <w:r w:rsidRPr="00203DC2">
        <w:t xml:space="preserve">• Capacidades de resiliencia cognitiva: buscan reducir la susceptibilidad a la manipulación fortaleciendo el pensamiento crítico, la calibración de la confianza y la conciencia de las técnicas adversarias. Por ejemplo, investigaciones sobre inoculación psicológica, </w:t>
      </w:r>
      <w:proofErr w:type="spellStart"/>
      <w:r w:rsidRPr="00203DC2">
        <w:t>prebunking</w:t>
      </w:r>
      <w:proofErr w:type="spellEnd"/>
      <w:r w:rsidRPr="00203DC2">
        <w:t xml:space="preserve"> y efectividad del entrenamiento demuestran que la exposición a tácticas y técnicas puede mejorar la resistencia a los ataques cognitivos con el tiempo [16, 19, 25].</w:t>
      </w:r>
    </w:p>
    <w:p w14:paraId="79280BBE" w14:textId="77777777" w:rsidR="00203DC2" w:rsidRPr="00203DC2" w:rsidRDefault="00203DC2" w:rsidP="00203DC2">
      <w:r w:rsidRPr="00203DC2">
        <w:t xml:space="preserve">• Capacidades de respuesta y mitigación: incluyen </w:t>
      </w:r>
      <w:proofErr w:type="spellStart"/>
      <w:r w:rsidRPr="00203DC2">
        <w:t>contra-encuadre</w:t>
      </w:r>
      <w:proofErr w:type="spellEnd"/>
      <w:r w:rsidRPr="00203DC2">
        <w:t>, señalización autoritativa y salvaguardas procedimentales que reducen la influencia de las narrativas adversarias sin amplificarlas. Estas medidas operan principalmente en las etapas de orientación y decisión del bucle OODA, ayudando a los defensores a recuperarse de compromisos cognitivos parciales.</w:t>
      </w:r>
    </w:p>
    <w:p w14:paraId="10577335" w14:textId="77777777" w:rsidR="00203DC2" w:rsidRPr="00203DC2" w:rsidRDefault="00203DC2" w:rsidP="00203DC2">
      <w:r w:rsidRPr="00203DC2">
        <w:t>• Capacidades de adaptación y aprendizaje: permiten a los defensores ajustar estrategias defensivas a medida que los adversarios evolucionan sus tácticas. Los juegos de guerra y la evaluación iterativa desempeñan un papel crítico en este proceso al permitir a los defensores ensayar contiendas cognitivas, poner a prueba supuestos e identificar vulnerabilidades antes de que sean explotadas en operaciones reales.</w:t>
      </w:r>
    </w:p>
    <w:p w14:paraId="74879842" w14:textId="77777777" w:rsidR="00203DC2" w:rsidRDefault="00203DC2" w:rsidP="00203DC2"/>
    <w:p w14:paraId="39382115" w14:textId="10A42E52" w:rsidR="00203DC2" w:rsidRDefault="00203DC2" w:rsidP="00203DC2">
      <w:r w:rsidRPr="00203DC2">
        <w:t>2.4 Mapeo de los efectos de ataque-defensa cognitivos al bucle OODA</w:t>
      </w:r>
      <w:r w:rsidRPr="00203DC2">
        <w:br/>
        <w:t>Dado que los objetivos agudos y crónicos del atacante son diferentes, los efectos agudos y crónicos del atacante también lo son. Lo mismo se aplica a los efectos agudos y crónicos del defensor. Aun así, ambos tipos de objetivos están relacionados, ya que los objetivos crónicos (de largo plazo) modifican las líneas base y los supuestos previos de los efectos agudos. La Tabla 2 describe los efectos agudos mapeados al bucle OODA.</w:t>
      </w:r>
    </w:p>
    <w:p w14:paraId="575894C1" w14:textId="77777777" w:rsidR="00203DC2" w:rsidRDefault="00203DC2" w:rsidP="00203DC2"/>
    <w:p w14:paraId="4B55EA71" w14:textId="77777777" w:rsidR="00203DC2" w:rsidRPr="00203DC2" w:rsidRDefault="00203DC2" w:rsidP="00203DC2">
      <w:r w:rsidRPr="00203DC2">
        <w:t xml:space="preserve">Por otro lado, los efectos crónicos (de largo plazo) operan desplazando las condiciones de base bajo las cuales se ejecutan esos ciclos. Específicamente, los efectos cognitivos crónicos </w:t>
      </w:r>
      <w:proofErr w:type="spellStart"/>
      <w:r w:rsidRPr="00203DC2">
        <w:t>reparametrizan</w:t>
      </w:r>
      <w:proofErr w:type="spellEnd"/>
      <w:r w:rsidRPr="00203DC2">
        <w:t xml:space="preserve"> el OODA al moldear (i) qué se considera relevante o creíble en la etapa de Observación, (</w:t>
      </w:r>
      <w:proofErr w:type="spellStart"/>
      <w:r w:rsidRPr="00203DC2">
        <w:t>ii</w:t>
      </w:r>
      <w:proofErr w:type="spellEnd"/>
      <w:r w:rsidRPr="00203DC2">
        <w:t>) los supuestos interpretativos y marcos de identidad aplicados durante la Orientación, (</w:t>
      </w:r>
      <w:proofErr w:type="spellStart"/>
      <w:r w:rsidRPr="00203DC2">
        <w:t>iii</w:t>
      </w:r>
      <w:proofErr w:type="spellEnd"/>
      <w:r w:rsidRPr="00203DC2">
        <w:t>) los umbrales de confianza y las percepciones de riesgo que gobiernan la Decisión, y (</w:t>
      </w:r>
      <w:proofErr w:type="spellStart"/>
      <w:r w:rsidRPr="00203DC2">
        <w:t>iv</w:t>
      </w:r>
      <w:proofErr w:type="spellEnd"/>
      <w:r w:rsidRPr="00203DC2">
        <w:t>) la legitimidad y viabilidad percibidas de las opciones en la Acción [1, 4, 10, 21]. De este modo, el condicionamiento a largo plazo aumenta la probabilidad de que las disrupciones a corto plazo se traduzcan en una degradación medible de la toma de decisiones bajo competencia.</w:t>
      </w:r>
    </w:p>
    <w:p w14:paraId="3A0FC8F1" w14:textId="77777777" w:rsidR="00203DC2" w:rsidRPr="00203DC2" w:rsidRDefault="00203DC2" w:rsidP="00203DC2">
      <w:r w:rsidRPr="00203DC2">
        <w:t>2.5 Definición de guerra cognitiva (Respuesta a RQ2)</w:t>
      </w:r>
      <w:r w:rsidRPr="00203DC2">
        <w:br/>
        <w:t xml:space="preserve">Basándonos en las definiciones de </w:t>
      </w:r>
      <w:proofErr w:type="gramStart"/>
      <w:r w:rsidRPr="00203DC2">
        <w:t>ataques cognitivos y defensas cognitivas</w:t>
      </w:r>
      <w:proofErr w:type="gramEnd"/>
      <w:r w:rsidRPr="00203DC2">
        <w:t xml:space="preserve">, ahora definimos la guerra cognitiva. Es importante destacar que la definición está informada por las tres familias de atributos introducidas en la Sección 2.1. En primer lugar, la familia de objetivos motiva una definición basada en efectos centrada en la degradación de la toma de decisiones a lo largo de horizontes agudos y crónicos (en lugar de solo exposición o mensajería). En segundo lugar, la familia de capacidades motiva modelar la guerra cognitiva como una contienda interactiva y adaptativa, ya que tanto atacantes como </w:t>
      </w:r>
      <w:r w:rsidRPr="00203DC2">
        <w:lastRenderedPageBreak/>
        <w:t>defensores emplean entrega escalable, ingeniería narrativa, mitigación y aprendizaje bajo oposición continua. En tercer lugar, la familia de coste y eficiencia motiva el énfasis en la competencia sostenida, ya que las estructuras asimétricas de recursos a menudo determinan qué actor puede mantener la presión o la resiliencia a lo largo del tiempo [1, 2, 4, 5, 7].</w:t>
      </w:r>
    </w:p>
    <w:p w14:paraId="0A9CA1DE" w14:textId="77777777" w:rsidR="00203DC2" w:rsidRPr="00203DC2" w:rsidRDefault="00203DC2" w:rsidP="00203DC2">
      <w:r w:rsidRPr="00203DC2">
        <w:t>Definición 3 (Guerra cognitiva) La guerra cognitiva es una contienda sostenida y adaptativa sobre la toma de decisiones humana en la que los adversarios buscan ventaja relativa moldeando o interrumpiendo la percepción, la interpretación, el juicio y la acción a lo largo del tiempo.</w:t>
      </w:r>
    </w:p>
    <w:p w14:paraId="35FA6CBC" w14:textId="77777777" w:rsidR="00203DC2" w:rsidRPr="00203DC2" w:rsidRDefault="00203DC2" w:rsidP="00203DC2">
      <w:r w:rsidRPr="00203DC2">
        <w:t>La Definición 3 establece que la guerra cognitiva, al igual que la guerra cibernética, es inherentemente interactiva porque atacantes y defensores cognitivos observan, responden y se adaptan continuamente entre sí a través de ciclos iterativos OODA. Este atributo distingue la guerra cognitiva de los modelos predominantemente unidireccionales de mensajería. Además, a diferencia de actividades relacionadas como las operaciones de información o las operaciones psicológicas, la guerra cognitiva se distingue no por las herramientas empleadas, sino por su objetivo principal, sus efectos y sus criterios de evaluación. Asimismo, comparamos la guerra cognitiva con las operaciones de información, las operaciones psicológicas y las actividades de influencia a través de seis dimensiones distintivas, representadas en la Tabla 3 y desarrolladas a continuación.</w:t>
      </w:r>
    </w:p>
    <w:p w14:paraId="632A2CC8" w14:textId="77777777" w:rsidR="00203DC2" w:rsidRPr="00203DC2" w:rsidRDefault="00203DC2" w:rsidP="00203DC2">
      <w:r w:rsidRPr="00203DC2">
        <w:t>Primero, la mente humana es el dominio principal en disputa. La guerra cognitiva se dirige directamente a la percepción, la orientación, la toma de decisiones y la acción, en lugar de a sistemas de información o infraestructura física [1, 10]. Aunque las capacidades cibernéticas y de información pueden utilizarse como facilitadores, el éxito se determina en última instancia por los efectos sobre la cognición humana.</w:t>
      </w:r>
    </w:p>
    <w:p w14:paraId="6404CF3E" w14:textId="77777777" w:rsidR="00203DC2" w:rsidRPr="00203DC2" w:rsidRDefault="00203DC2" w:rsidP="00203DC2">
      <w:r w:rsidRPr="00203DC2">
        <w:t>Segundo, los efectos sobre la toma de decisiones son el objetivo central. La guerra cognitiva busca degradar el juicio, distorsionar la comprensión situacional, aumentar la vacilación o el error, y restringir los cursos de acción disponibles [9, 20]. Este énfasis en la degradación de la decisión diferencia la guerra cognitiva de actividades centradas principalmente en la persuasión, la mensajería o el alcance de la audiencia.</w:t>
      </w:r>
    </w:p>
    <w:p w14:paraId="278F6E84" w14:textId="77777777" w:rsidR="00203DC2" w:rsidRPr="00203DC2" w:rsidRDefault="00203DC2" w:rsidP="00203DC2">
      <w:r w:rsidRPr="00203DC2">
        <w:t>Tercero, la guerra cognitiva es inherentemente interactiva y adaptativa. Atacantes y defensores observan, responden y ajustan continuamente sus acciones mutuamente, produciendo una contienda dinámica en lugar de un esfuerzo de influencia unidireccional [5, 7]. Como resultado, tanto la ofensiva como la defensa deben analizarse conjuntamente para comprender la ventaja cognitiva.</w:t>
      </w:r>
    </w:p>
    <w:p w14:paraId="448F947F" w14:textId="77777777" w:rsidR="00203DC2" w:rsidRPr="00203DC2" w:rsidRDefault="00203DC2" w:rsidP="00203DC2">
      <w:r w:rsidRPr="00203DC2">
        <w:t>Cuarto, los efectos cognitivos operan en múltiples niveles de análisis. La guerra cognitiva puede dirigirse a individuos y unidades a nivel táctico, a organizaciones e instituciones a nivel operativo, o a poblaciones y élites decisorias a nivel estratégico [4, 11]. Los efectos en un nivel pueden propagarse a otros con el tiempo, especialmente cuando se erosionan la confianza y la legitimidad.</w:t>
      </w:r>
    </w:p>
    <w:p w14:paraId="53409E1B" w14:textId="77777777" w:rsidR="00203DC2" w:rsidRPr="00203DC2" w:rsidRDefault="00203DC2" w:rsidP="00203DC2">
      <w:r w:rsidRPr="00203DC2">
        <w:t xml:space="preserve">Quinto, la guerra cognitiva se desarrolla a lo largo de horizontes temporales extendidos. A diferencia de acciones cibernéticas o cinéticas discretas, la guerra cognitiva suele depender de la persistencia, la repetición y efectos acumulativos que moldean creencias </w:t>
      </w:r>
      <w:r w:rsidRPr="00203DC2">
        <w:lastRenderedPageBreak/>
        <w:t>y comportamientos gradualmente [10, 21]. Esta dimensión temporal complica la detección y evaluación, pero es central para el impacto estratégico.</w:t>
      </w:r>
    </w:p>
    <w:p w14:paraId="70FE6712" w14:textId="77777777" w:rsidR="00203DC2" w:rsidRPr="00203DC2" w:rsidRDefault="00203DC2" w:rsidP="00203DC2">
      <w:r w:rsidRPr="00203DC2">
        <w:t>Sexto, la guerra cognitiva es evaluable mediante resultados centrados en la toma de decisiones. Aunque las métricas de exposición e interacción pueden indicar actividad, la guerra cognitiva se evalúa de manera más significativa por si los efectos cognitivos se traducen en cambios medibles en la calidad de la decisión, la velocidad de decisión, la confianza o el comportamiento bajo competencia [1, 2].</w:t>
      </w:r>
    </w:p>
    <w:p w14:paraId="6AC501A4" w14:textId="77777777" w:rsidR="00203DC2" w:rsidRPr="00203DC2" w:rsidRDefault="00203DC2" w:rsidP="00203DC2">
      <w:r w:rsidRPr="00203DC2">
        <w:t>Las seis dimensiones anteriores distinguen colectivamente la guerra cognitiva como una forma de conflicto centrada en la cognición en sí misma, en lugar de ser simplemente una extensión de las operaciones de información, las operaciones psicológicas o la actividad cibernética, dando respuesta a la RQ2.</w:t>
      </w:r>
    </w:p>
    <w:p w14:paraId="1620BCA3" w14:textId="77777777" w:rsidR="00203DC2" w:rsidRDefault="00203DC2" w:rsidP="00203DC2"/>
    <w:p w14:paraId="0D864D61" w14:textId="77777777" w:rsidR="00203DC2" w:rsidRPr="00203DC2" w:rsidRDefault="00203DC2" w:rsidP="00203DC2">
      <w:r w:rsidRPr="00203DC2">
        <w:t>2.6 Definición de superioridad cognitiva (Respuesta a RQ3)</w:t>
      </w:r>
      <w:r w:rsidRPr="00203DC2">
        <w:br/>
        <w:t>El concepto de superioridad cognitiva se basa en la noción establecida de superioridad aérea, que describe una condición en la que un actor posee suficiente ventaja para operar sin interferencias prohibitivas [23]. La superioridad aérea no implica control absoluto ni la eliminación de las capacidades del adversario, sino más bien una libertad de acción relativa y dependiente del contexto. Adaptar esta lógica al dominio cognitivo proporciona una base analítica para definir la ventaja en una contienda cognitiva sostenida.</w:t>
      </w:r>
    </w:p>
    <w:p w14:paraId="74533569" w14:textId="77777777" w:rsidR="00203DC2" w:rsidRPr="00203DC2" w:rsidRDefault="00203DC2" w:rsidP="00203DC2">
      <w:r w:rsidRPr="00203DC2">
        <w:t>Los atributos anteriores proporcionan una base estructural para definir la superioridad cognitiva. Intuitivamente, la superioridad no se determina por un único indicador, sino por el desempeño comparativo a través de los atributos durante un periodo definido de competencia. Un actor demuestra superioridad cognitiva cuando su desempeño en la toma de decisiones se mantiene resiliente mientras su adversario experimenta una degradación sostenida, cuando se adapta más rápidamente a tácticas en evolución y cuando genera o niega efectos cognitivos a una velocidad, escala y coste que el oponente no puede contrarrestar eficazmente. Es decir, la superioridad no es estática; emerge de la velocidad de adaptación comparativa, la capacidad de detección y la resiliencia bajo competencia sostenida.</w:t>
      </w:r>
    </w:p>
    <w:p w14:paraId="3734FFAC" w14:textId="77777777" w:rsidR="00203DC2" w:rsidRPr="00203DC2" w:rsidRDefault="00203DC2" w:rsidP="00203DC2">
      <w:r w:rsidRPr="00203DC2">
        <w:t>Definición 4 (Superioridad cognitiva) La superioridad cognitiva es una condición en la que un actor mantiene una ventaja comparativa sostenida en el dominio cognitivo, manifestada por las capacidades cognitivas para lograr sus objetivos cognitivos (a lo largo de horizontes temporales definidos, preservando o degradando el desempeño en la toma de decisiones dentro del ciclo OODA) a voluntad y a mayor velocidad, con una eficacia de coste mucho mayor que su oponente.</w:t>
      </w:r>
    </w:p>
    <w:p w14:paraId="07412D26" w14:textId="77777777" w:rsidR="00203DC2" w:rsidRPr="00203DC2" w:rsidRDefault="00203DC2" w:rsidP="00203DC2">
      <w:r w:rsidRPr="00203DC2">
        <w:t xml:space="preserve">La Definición 4 establece que la superioridad ocurre cuando los objetivos del atacante en horizontes de corto y largo plazo persisten a pesar de las acciones del defensor y degradan de manera medible el desempeño OODA del defensor (por ejemplo, aumento de la latencia de decisión, aumento del error de decisión o deterioro de la calibración de la confianza en canales autoritativos). Fundamenta la superioridad en el desempeño medible del OODA a través de efectos de corto y largo plazo, incorpora la interacción adaptativa entre atacante y defensor y tiene en cuenta la velocidad, la escalabilidad y la eficiencia de coste bajo competencia sostenida. La superioridad cognitiva no requiere el control de la percepción o la creencia; existe cuando un actor mantiene una ventaja </w:t>
      </w:r>
      <w:r w:rsidRPr="00203DC2">
        <w:lastRenderedPageBreak/>
        <w:t>relativa en la toma de decisiones bajo competencia. La superioridad se pierde cuando la influencia adversaria introduce suficiente fricción cognitiva para retrasar decisiones, distorsionar el juicio o restringir cursos de acción viables, incluso en ausencia de persuasión abierta [2].</w:t>
      </w:r>
    </w:p>
    <w:p w14:paraId="6A6DBF1A" w14:textId="77777777" w:rsidR="00203DC2" w:rsidRPr="00203DC2" w:rsidRDefault="00203DC2" w:rsidP="00203DC2">
      <w:r w:rsidRPr="00203DC2">
        <w:t>La Definición 4 no establece que la superioridad cognitiva requiera el control de la percepción o la creencia; existe cuando un actor mantiene una ventaja relativa en la toma de decisiones bajo competencia. Un actor puede conservar la superioridad a pesar de la exposición a narrativas adversarias siempre que sus procesos OODA permanezcan resilientes y efectivos. Por el contrario, la superioridad se pierde cuando la influencia adversaria introduce suficiente fricción cognitiva para retrasar decisiones, distorsionar el juicio o restringir cursos de acción viables, incluso sin persuasión abierta o cambio de creencias. A diferencia de las métricas tradicionales de influencia que enfatizan el alcance o los cambios actitudinales, la superioridad cognitiva se evalúa mediante resultados centrados en la toma de decisiones: si los actores pueden observar con precisión, orientarse de manera coherente, decidir con confianza y actuar eficazmente bajo presión [2]. Este enfoque proporciona una base práctica para evaluar la ventaja cognitiva en la interacción dinámica entre atacante y defensor y motiva el siguiente estudio de caso.</w:t>
      </w:r>
    </w:p>
    <w:p w14:paraId="1C92D8C9" w14:textId="77777777" w:rsidR="00203DC2" w:rsidRPr="00203DC2" w:rsidRDefault="00203DC2" w:rsidP="00203DC2">
      <w:r w:rsidRPr="00203DC2">
        <w:t xml:space="preserve">3 </w:t>
      </w:r>
      <w:proofErr w:type="gramStart"/>
      <w:r w:rsidRPr="00203DC2">
        <w:t>Estudio</w:t>
      </w:r>
      <w:proofErr w:type="gramEnd"/>
      <w:r w:rsidRPr="00203DC2">
        <w:t xml:space="preserve"> de caso: guerra cognitiva en un entorno informativo disputado hipotético</w:t>
      </w:r>
      <w:r w:rsidRPr="00203DC2">
        <w:br/>
        <w:t>Para demostrar la utilidad del marco, presentamos un estudio de caso hipotético de guerra cognitiva en un entorno informativo disputado. El propósito no es replicar una operación real específica, sino ilustrar cómo un analista podría especificar los objetivos/capacidades del atacante y del defensor, mapear los efectos agudos a las etapas del OODA, considerar el condicionamiento crónico y evaluar la superioridad cognitiva utilizando indicadores centrados en la toma de decisiones.</w:t>
      </w:r>
    </w:p>
    <w:p w14:paraId="489350F0" w14:textId="77777777" w:rsidR="00203DC2" w:rsidRPr="00203DC2" w:rsidRDefault="00203DC2" w:rsidP="00203DC2">
      <w:r w:rsidRPr="00203DC2">
        <w:t>Notación del estudio de caso. Para simplificar la presentación, utilizamos etiquetas compactas a lo largo del estudio: AAO# (Objetivo Agudo del Atacante), ACO# (Objetivo Crónico del Atacante), AC# (Capacidad del Atacante), ACE# (Coste y Eficiencia del Atacante), DAO# (Objetivo Agudo del Defensor), DCO# (Objetivo Crónico del Defensor), DC# (Capacidad del Defensor) y DCE# (Coste y Eficiencia del Defensor).</w:t>
      </w:r>
    </w:p>
    <w:p w14:paraId="5694F0AF" w14:textId="77777777" w:rsidR="00203DC2" w:rsidRPr="00203DC2" w:rsidRDefault="00203DC2" w:rsidP="00203DC2">
      <w:r w:rsidRPr="00203DC2">
        <w:t>3.1 Configuración del escenario</w:t>
      </w:r>
      <w:r w:rsidRPr="00203DC2">
        <w:br/>
        <w:t xml:space="preserve">Contexto operativo. Una fuerza de tarea conjunta (JTF) se despliega para apoyar operaciones de estabilidad en la nación ficticia asociada de Norland. El gobierno de Norland está negociando un acuerdo de acceso logístico que permitiría el establecimiento de bases aliadas y el tránsito humanitario. Un adversario de capacidades similares (Rojo) busca impedir la ratificación degradando la confianza en la JTF y en el gobierno de Norland, al tiempo que crea fricción decisional aguda durante una ventana operativa breve y de alto riesgo. Presentamos nuestro estudio de caso en línea en </w:t>
      </w:r>
      <w:hyperlink r:id="rId7" w:tgtFrame="_new" w:history="1">
        <w:r w:rsidRPr="00203DC2">
          <w:rPr>
            <w:rStyle w:val="Hipervnculo"/>
          </w:rPr>
          <w:t>https://sites.google.com/view/cognitivewarfarecasestudy/</w:t>
        </w:r>
      </w:hyperlink>
      <w:r w:rsidRPr="00203DC2">
        <w:t>.</w:t>
      </w:r>
    </w:p>
    <w:p w14:paraId="2AE26030" w14:textId="77777777" w:rsidR="00203DC2" w:rsidRPr="00203DC2" w:rsidRDefault="00203DC2" w:rsidP="00203DC2">
      <w:r w:rsidRPr="00203DC2">
        <w:t>Actores clave y nodos de decisión. El defensor (Azul) incluye: (i) el comandante de la JTF y su estado mayor, (</w:t>
      </w:r>
      <w:proofErr w:type="spellStart"/>
      <w:r w:rsidRPr="00203DC2">
        <w:t>ii</w:t>
      </w:r>
      <w:proofErr w:type="spellEnd"/>
      <w:r w:rsidRPr="00203DC2">
        <w:t>) el Ministerio de Transporte e Interior de Norland, (</w:t>
      </w:r>
      <w:proofErr w:type="spellStart"/>
      <w:r w:rsidRPr="00203DC2">
        <w:t>iii</w:t>
      </w:r>
      <w:proofErr w:type="spellEnd"/>
      <w:r w:rsidRPr="00203DC2">
        <w:t>) gestores locales de emergencias y (</w:t>
      </w:r>
      <w:proofErr w:type="spellStart"/>
      <w:r w:rsidRPr="00203DC2">
        <w:t>iv</w:t>
      </w:r>
      <w:proofErr w:type="spellEnd"/>
      <w:r w:rsidRPr="00203DC2">
        <w:t>) una audiencia pública de Norland cuya cooperación afecta la libertad de maniobra. El atacante (Rojo) incluye: (i) operadores de influencia, (</w:t>
      </w:r>
      <w:proofErr w:type="spellStart"/>
      <w:r w:rsidRPr="00203DC2">
        <w:t>ii</w:t>
      </w:r>
      <w:proofErr w:type="spellEnd"/>
      <w:r w:rsidRPr="00203DC2">
        <w:t>) equipos de acceso habilitados por medios cibernéticos y (</w:t>
      </w:r>
      <w:proofErr w:type="spellStart"/>
      <w:r w:rsidRPr="00203DC2">
        <w:t>iii</w:t>
      </w:r>
      <w:proofErr w:type="spellEnd"/>
      <w:r w:rsidRPr="00203DC2">
        <w:t>) redes coordinadas no auténticas utilizadas para amplificar narrativas.</w:t>
      </w:r>
    </w:p>
    <w:p w14:paraId="4990D985" w14:textId="77777777" w:rsidR="00203DC2" w:rsidRPr="00203DC2" w:rsidRDefault="00203DC2" w:rsidP="00203DC2">
      <w:r w:rsidRPr="00203DC2">
        <w:lastRenderedPageBreak/>
        <w:t>Horizontes temporales y fases de la campaña. Enmarcamos la contienda en dos horizontes:</w:t>
      </w:r>
      <w:r w:rsidRPr="00203DC2">
        <w:br/>
        <w:t>• Fase aguda (72 horas). Rojo desencadena una oleada de contenido engañoso y saturante sincronizado con un incidente logístico (real pero ambiguo) para crear una disrupción inmediata del OODA dentro del ciclo de decisión de la JTF/Norland.</w:t>
      </w:r>
      <w:r w:rsidRPr="00203DC2">
        <w:br/>
        <w:t>• Fase crónica (semanas–meses). Rojo lleva a cabo un condicionamiento persistente para erosionar la confianza en las instituciones y aumentar la receptividad a narrativas de crisis.</w:t>
      </w:r>
    </w:p>
    <w:p w14:paraId="54F5931D" w14:textId="77777777" w:rsidR="00203DC2" w:rsidRPr="00203DC2" w:rsidRDefault="00203DC2" w:rsidP="00203DC2">
      <w:r w:rsidRPr="00203DC2">
        <w:t>Decisiones críticas (ejemplos). Durante la ventana aguda de 72 horas, Azul debe decidir rápidamente: (D1) si detener el movimiento de convoyes, (D2) si imponer toques de queda, (D3) si atribuir públicamente el incidente y (D4) si continuar con el calendario de ratificación del acuerdo de bases. Estas decisiones crean oportunidades medibles para latencia en la decisión, error de decisión y acciones desalineadas bajo presión cognitiva.</w:t>
      </w:r>
    </w:p>
    <w:p w14:paraId="6C19AA88" w14:textId="77777777" w:rsidR="00203DC2" w:rsidRPr="00203DC2" w:rsidRDefault="00203DC2" w:rsidP="00203DC2">
      <w:r w:rsidRPr="00203DC2">
        <w:t>Flujos de datos hipotéticos disponibles para evaluación. La célula de evaluación tiene acceso a: (i) registros de mando y control (C2) con marcas temporales (tiempos de decisión, cadencia de reuniones), (</w:t>
      </w:r>
      <w:proofErr w:type="spellStart"/>
      <w:r w:rsidRPr="00203DC2">
        <w:t>ii</w:t>
      </w:r>
      <w:proofErr w:type="spellEnd"/>
      <w:r w:rsidRPr="00203DC2">
        <w:t>) informes de incidentes y notas posteriores a la acción, (</w:t>
      </w:r>
      <w:proofErr w:type="spellStart"/>
      <w:r w:rsidRPr="00203DC2">
        <w:t>iii</w:t>
      </w:r>
      <w:proofErr w:type="spellEnd"/>
      <w:r w:rsidRPr="00203DC2">
        <w:t>) resúmenes de monitoreo de redes sociales (indicadores de volumen/velocidad) y (</w:t>
      </w:r>
      <w:proofErr w:type="spellStart"/>
      <w:r w:rsidRPr="00203DC2">
        <w:t>iv</w:t>
      </w:r>
      <w:proofErr w:type="spellEnd"/>
      <w:r w:rsidRPr="00203DC2">
        <w:t>) sondeos limitados de opinión pública (indicadores generales de confianza). Esto permite una evaluación centrada en la toma de decisiones sin depender únicamente de métricas de exposición.</w:t>
      </w:r>
    </w:p>
    <w:p w14:paraId="2FB00BEF" w14:textId="77777777" w:rsidR="00203DC2" w:rsidRPr="00203DC2" w:rsidRDefault="00203DC2" w:rsidP="00203DC2">
      <w:r w:rsidRPr="00203DC2">
        <w:t>3.2 Objetivos, capacidades, coste y eficiencia del atacante</w:t>
      </w:r>
    </w:p>
    <w:p w14:paraId="0FC6924A" w14:textId="77777777" w:rsidR="00203DC2" w:rsidRPr="00203DC2" w:rsidRDefault="00203DC2" w:rsidP="00203DC2">
      <w:r w:rsidRPr="00203DC2">
        <w:t>3.2.1 Objetivos del atacante (agudos y crónicos)</w:t>
      </w:r>
      <w:r w:rsidRPr="00203DC2">
        <w:br/>
        <w:t>Especificamos los objetivos del atacante por horizonte temporal y por consecuencias previstas en la toma de decisiones.</w:t>
      </w:r>
    </w:p>
    <w:p w14:paraId="4FE6D8C7" w14:textId="77777777" w:rsidR="00203DC2" w:rsidRPr="00203DC2" w:rsidRDefault="00203DC2" w:rsidP="00203DC2">
      <w:r w:rsidRPr="00203DC2">
        <w:t>Objetivos agudos (corto plazo) del atacante. Durante la ventana de 72 horas, Rojo busca una disrupción inmediata del OODA:</w:t>
      </w:r>
      <w:r w:rsidRPr="00203DC2">
        <w:br/>
        <w:t>• AAO1 (Observar): Crear saturación informativa y engaño selectivo de modo que los responsables de decisión de Azul/Norland no puedan establecer rápidamente una conciencia situacional compartida.</w:t>
      </w:r>
      <w:r w:rsidRPr="00203DC2">
        <w:br/>
        <w:t>• AAO2 (Orientar): Inducir ambigüedad en la atribución y encuadres emocionalmente relevantes (miedo/ira) para sesgar la interpretación hacia escenarios de peor caso.</w:t>
      </w:r>
      <w:r w:rsidRPr="00203DC2">
        <w:br/>
        <w:t>• AAO3 (Decidir): Aumentar la latencia de decisión (retrasos, replanteamiento de supuestos) y el riesgo de error (pausas prematuras, atribución incorrecta, sobrerreacción).</w:t>
      </w:r>
      <w:r w:rsidRPr="00203DC2">
        <w:br/>
        <w:t>• AAO4 (Actuar): Provocar acciones desalineadas o inacción (por ejemplo, restricciones innecesarias que reduzcan la libertad de maniobra; retrasos en convoyes que socaven la confianza).</w:t>
      </w:r>
    </w:p>
    <w:p w14:paraId="66173776" w14:textId="77777777" w:rsidR="00203DC2" w:rsidRPr="00203DC2" w:rsidRDefault="00203DC2" w:rsidP="00203DC2">
      <w:r w:rsidRPr="00203DC2">
        <w:t>Objetivos crónicos (largo plazo) del atacante. A lo largo de semanas o meses, Rojo busca modificar los supuestos interpretativos y la calibración de la confianza en Norland:</w:t>
      </w:r>
      <w:r w:rsidRPr="00203DC2">
        <w:br/>
        <w:t>• ACO1: Erosión de la confianza institucional. Reducir la confianza en las instituciones de Norland y en la presencia aliada, aumentando el escepticismo hacia declaraciones oficiales.</w:t>
      </w:r>
      <w:r w:rsidRPr="00203DC2">
        <w:br/>
        <w:t>• ACO2: Polarización de marcos identitarios. Reforzar señales de identidad (“nosotros vs. ellos”) que sesgan la orientación y aumentan la receptividad a narrativas en situaciones de crisis.</w:t>
      </w:r>
      <w:r w:rsidRPr="00203DC2">
        <w:br/>
      </w:r>
      <w:r w:rsidRPr="00203DC2">
        <w:lastRenderedPageBreak/>
        <w:t xml:space="preserve">• ACO3: Inversión de credibilidad. Incrementar la credibilidad percibida de canales no autoritativos frente a los oficiales, </w:t>
      </w:r>
      <w:proofErr w:type="spellStart"/>
      <w:r w:rsidRPr="00203DC2">
        <w:t>reparametrizando</w:t>
      </w:r>
      <w:proofErr w:type="spellEnd"/>
      <w:r w:rsidRPr="00203DC2">
        <w:t xml:space="preserve"> así la observación y la orientación bajo incertidumbre.</w:t>
      </w:r>
    </w:p>
    <w:p w14:paraId="23B79CA9" w14:textId="77777777" w:rsidR="00203DC2" w:rsidRPr="00203DC2" w:rsidRDefault="00203DC2" w:rsidP="00203DC2">
      <w:r w:rsidRPr="00203DC2">
        <w:t>3.2.2 Capacidades del atacante (aplicadas bajo competencia)</w:t>
      </w:r>
      <w:r w:rsidRPr="00203DC2">
        <w:br/>
        <w:t>Rojo emplea cuatro categorías de capacidades (Sección 2.2.1): acceso/entrega, ingeniería narrativa, amplificación y adaptación.</w:t>
      </w:r>
    </w:p>
    <w:p w14:paraId="5601BD5C" w14:textId="77777777" w:rsidR="00203DC2" w:rsidRPr="00203DC2" w:rsidRDefault="00203DC2" w:rsidP="00203DC2">
      <w:r w:rsidRPr="00203DC2">
        <w:t>AC1: Acceso y entrega. Rojo mantiene acceso persistente a vías clave de información:</w:t>
      </w:r>
      <w:r w:rsidRPr="00203DC2">
        <w:br/>
        <w:t>• Acceso a canales: medios locales sembrados, intermediarios influyentes y cuentas preparadas para suplantación.</w:t>
      </w:r>
      <w:r w:rsidRPr="00203DC2">
        <w:br/>
        <w:t xml:space="preserve">• Entrega dirigida: contenido </w:t>
      </w:r>
      <w:proofErr w:type="spellStart"/>
      <w:r w:rsidRPr="00203DC2">
        <w:t>microsegmentado</w:t>
      </w:r>
      <w:proofErr w:type="spellEnd"/>
      <w:r w:rsidRPr="00203DC2">
        <w:t xml:space="preserve"> dirigido a gestores de emergencias y nodos de la sociedad civil.</w:t>
      </w:r>
      <w:r w:rsidRPr="00203DC2">
        <w:br/>
        <w:t xml:space="preserve">Operativamente, esta capacidad se implementa mediante identidades </w:t>
      </w:r>
      <w:proofErr w:type="spellStart"/>
      <w:r w:rsidRPr="00203DC2">
        <w:t>preposicionadas</w:t>
      </w:r>
      <w:proofErr w:type="spellEnd"/>
      <w:r w:rsidRPr="00203DC2">
        <w:t>, redes intermediarias, canales de contenido localizados y siembra rutinaria que normaliza fuentes alineadas con Rojo antes de la fase aguda [4, 5].</w:t>
      </w:r>
    </w:p>
    <w:p w14:paraId="1BCA5495" w14:textId="77777777" w:rsidR="00203DC2" w:rsidRPr="00203DC2" w:rsidRDefault="00203DC2" w:rsidP="00203DC2">
      <w:r w:rsidRPr="00203DC2">
        <w:t>AC2: Ingeniería de contenido y narrativa. Rojo prepara variantes narrativas predefinidas asociadas a incidentes probables:</w:t>
      </w:r>
      <w:r w:rsidRPr="00203DC2">
        <w:br/>
        <w:t>• Motivos narrativos: “las tropas extranjeras causaron el incidente”, “el gobierno oculta la verdad”, “la ayuda está siendo desviada”.</w:t>
      </w:r>
      <w:r w:rsidRPr="00203DC2">
        <w:br/>
        <w:t>• Palancas cognitivas: activación del miedo, asignación de culpa, falsos dilemas y secuestro de credibilidad mediante fuentes similares.</w:t>
      </w:r>
      <w:r w:rsidRPr="00203DC2">
        <w:br/>
        <w:t>Operativamente, esta capacidad se implementa mediante pruebas A/B rápidas de encuadres, reutilización de motivos probados y adaptación a señales de identidad y factores de estrés situacional para aumentar plausibilidad y relevancia [4, 9, 22].</w:t>
      </w:r>
    </w:p>
    <w:p w14:paraId="3C1B89A8" w14:textId="77777777" w:rsidR="00203DC2" w:rsidRPr="00203DC2" w:rsidRDefault="00203DC2" w:rsidP="00203DC2">
      <w:r w:rsidRPr="00203DC2">
        <w:t>AC3: Amplificación y optimización. Rojo utiliza redes coordinadas para maximizar la relevancia inicial:</w:t>
      </w:r>
      <w:r w:rsidRPr="00203DC2">
        <w:br/>
        <w:t>• Velocidad: alta tasa de publicación en las primeras horas para influir en lo que las audiencias perciben como “lo que todo el mundo está viendo”.</w:t>
      </w:r>
      <w:r w:rsidRPr="00203DC2">
        <w:br/>
        <w:t>• Consenso percibido: republicación sincronizada para simular acuerdo e inevitabilidad.</w:t>
      </w:r>
      <w:r w:rsidRPr="00203DC2">
        <w:br/>
        <w:t xml:space="preserve">Operativamente, esta capacidad se implementa mediante comportamiento coordinado no auténtico (por ejemplo, uso de </w:t>
      </w:r>
      <w:proofErr w:type="spellStart"/>
      <w:r w:rsidRPr="00203DC2">
        <w:t>bots</w:t>
      </w:r>
      <w:proofErr w:type="spellEnd"/>
      <w:r w:rsidRPr="00203DC2">
        <w:t xml:space="preserve"> y cuentas sincronizadas), estrategias de temporización y redistribución multiplataforma para sostener la visibilidad durante la ventana decisional aguda [4, 5].</w:t>
      </w:r>
    </w:p>
    <w:p w14:paraId="077CCE59" w14:textId="77777777" w:rsidR="00203DC2" w:rsidRPr="00203DC2" w:rsidRDefault="00203DC2" w:rsidP="00203DC2">
      <w:r w:rsidRPr="00203DC2">
        <w:t>AC4: Adaptación y resiliencia. Rojo ajusta variantes narrativas en respuesta a la mitigación de Azul:</w:t>
      </w:r>
      <w:r w:rsidRPr="00203DC2">
        <w:br/>
        <w:t>• Cambio de enfoque: pasar de “ocurrió” a “lo están encubriendo” cuando aparecen desmentidos.</w:t>
      </w:r>
      <w:r w:rsidRPr="00203DC2">
        <w:br/>
        <w:t>• Reintroducción: volver a difundir afirmaciones mediante nuevas cuentas tras eliminaciones.</w:t>
      </w:r>
      <w:r w:rsidRPr="00203DC2">
        <w:br/>
        <w:t>Operativamente, esta capacidad se implementa mediante manuales que vinculan respuestas probables del defensor con ajustes preparados, además de regeneración rápida de cuentas y contenido cuando las plataformas eliminan material [5, 7, 24].</w:t>
      </w:r>
    </w:p>
    <w:p w14:paraId="5A04D76A" w14:textId="77777777" w:rsidR="00203DC2" w:rsidRPr="00203DC2" w:rsidRDefault="00203DC2" w:rsidP="00203DC2">
      <w:r w:rsidRPr="00203DC2">
        <w:t>3.2.3 Coste y eficiencia del atacante</w:t>
      </w:r>
      <w:r w:rsidRPr="00203DC2">
        <w:br/>
        <w:t>La inversión de recursos de Rojo es modesta en relación con la posible disrupción operativa:</w:t>
      </w:r>
      <w:r w:rsidRPr="00203DC2">
        <w:br/>
        <w:t xml:space="preserve">• ACE1: Bajo coste marginal por variante narrativa debido a la reutilización de plantillas y </w:t>
      </w:r>
      <w:r w:rsidRPr="00203DC2">
        <w:lastRenderedPageBreak/>
        <w:t>la generación de contenido asistida por automatización.</w:t>
      </w:r>
      <w:r w:rsidRPr="00203DC2">
        <w:br/>
        <w:t>• ACE2: Alto apalancamiento mediante amplificación algorítmica y retransmisión social: una siembra inicial limitada puede generar grandes efectos posteriores.</w:t>
      </w:r>
      <w:r w:rsidRPr="00203DC2">
        <w:br/>
        <w:t>• ACE3: Transferencia asimétrica de carga: Azul debe verificar, coordinar, comunicar y gestionar efectos de segundo orden, a menudo con mayor coste y menor velocidad.</w:t>
      </w:r>
    </w:p>
    <w:p w14:paraId="3A7DAD2B" w14:textId="77777777" w:rsidR="00203DC2" w:rsidRDefault="00203DC2" w:rsidP="00203DC2"/>
    <w:p w14:paraId="13D267D0" w14:textId="77777777" w:rsidR="00203DC2" w:rsidRPr="00203DC2" w:rsidRDefault="00203DC2" w:rsidP="00203DC2">
      <w:r w:rsidRPr="00203DC2">
        <w:t>3.3 Objetivos, capacidades, coste y eficiencia del defensor</w:t>
      </w:r>
    </w:p>
    <w:p w14:paraId="09E54360" w14:textId="77777777" w:rsidR="00203DC2" w:rsidRPr="00203DC2" w:rsidRDefault="00203DC2" w:rsidP="00203DC2">
      <w:r w:rsidRPr="00203DC2">
        <w:t>3.3.1 Objetivos del defensor (agudos y crónicos)</w:t>
      </w:r>
      <w:r w:rsidRPr="00203DC2">
        <w:br/>
        <w:t>Los objetivos defensivos de Azul son simétricos a los objetivos de ataque de Rojo.</w:t>
      </w:r>
    </w:p>
    <w:p w14:paraId="3B565ED1" w14:textId="77777777" w:rsidR="00203DC2" w:rsidRPr="00203DC2" w:rsidRDefault="00203DC2" w:rsidP="00203DC2">
      <w:r w:rsidRPr="00203DC2">
        <w:t>Objetivos defensivos agudos (corto plazo).</w:t>
      </w:r>
      <w:r w:rsidRPr="00203DC2">
        <w:br/>
        <w:t>• DAO1 (Observar): Mantener una observación precisa y juicios de credibilidad a pesar del uso por parte del atacante de capacidades de acceso, engaño y saturación (AC1, AC3 en este estudio de caso), asegurando que la conciencia situacional compartida converja dentro de ventanas de tiempo relevantes para la misión.</w:t>
      </w:r>
    </w:p>
    <w:p w14:paraId="7B804074" w14:textId="77777777" w:rsidR="00203DC2" w:rsidRPr="00203DC2" w:rsidRDefault="00203DC2" w:rsidP="00203DC2">
      <w:r w:rsidRPr="00203DC2">
        <w:t>• DAO2 (Orientar): Preservar una interpretación coherente a pesar del uso por parte del atacante de capacidades de ingeniería narrativa y activación emocional (AC2 en este estudio de caso), evitando que la ambigüedad en la atribución y el sesgo de encuadre fragmenten la interpretación del estado mayor.</w:t>
      </w:r>
    </w:p>
    <w:p w14:paraId="02359BC1" w14:textId="77777777" w:rsidR="00203DC2" w:rsidRPr="00203DC2" w:rsidRDefault="00203DC2" w:rsidP="00203DC2">
      <w:r w:rsidRPr="00203DC2">
        <w:t xml:space="preserve">• DAO3 (Decidir): Preservar el ritmo y la calidad de la toma de decisiones y evitar la sobrerreacción o la </w:t>
      </w:r>
      <w:proofErr w:type="spellStart"/>
      <w:r w:rsidRPr="00203DC2">
        <w:t>subreacción</w:t>
      </w:r>
      <w:proofErr w:type="spellEnd"/>
      <w:r w:rsidRPr="00203DC2">
        <w:t xml:space="preserve"> a pesar de las tácticas de amplificación y generación de ambigüedad del atacante (AC2–AC3), incluidas las tentativas de provocar pausas precautorias, atribuciones prematuras o señales de escalada.</w:t>
      </w:r>
    </w:p>
    <w:p w14:paraId="5DA4E718" w14:textId="77777777" w:rsidR="00203DC2" w:rsidRPr="00203DC2" w:rsidRDefault="00203DC2" w:rsidP="00203DC2">
      <w:r w:rsidRPr="00203DC2">
        <w:t>• DAO4 (Actuar): Preservar la fidelidad en la ejecución y prevenir acciones desalineadas o inacción paralizante inducidas por el atacante a pesar de oleadas narrativas coordinadas y efectos de consenso percibido (AC3), asegurando que las actividades operativas permanezcan alineadas con la intención de la misión.</w:t>
      </w:r>
    </w:p>
    <w:p w14:paraId="1A427577" w14:textId="77777777" w:rsidR="00203DC2" w:rsidRPr="00203DC2" w:rsidRDefault="00203DC2" w:rsidP="00203DC2">
      <w:r w:rsidRPr="00203DC2">
        <w:t>Objetivos defensivos crónicos (largo plazo).</w:t>
      </w:r>
      <w:r w:rsidRPr="00203DC2">
        <w:br/>
        <w:t>• DCO1: Preservar la confianza calibrada. Mantener la confianza en los procesos autoritativos sin requerir creencia unánime, a pesar del uso sostenido por parte del atacante de narrativas de inversión de credibilidad y erosión de la confianza (ACO1 y AC2 en este estudio de caso).</w:t>
      </w:r>
    </w:p>
    <w:p w14:paraId="02A11660" w14:textId="77777777" w:rsidR="00203DC2" w:rsidRPr="00203DC2" w:rsidRDefault="00203DC2" w:rsidP="00203DC2">
      <w:r w:rsidRPr="00203DC2">
        <w:t>• DCO2: Mantener la cohesión. Reducir la polarización y preservar los supuestos interpretativos compartidos necesarios para la respuesta a crisis, a pesar de la amplificación de marcos identitarios y el condicionamiento “nosotros contra ellos” del atacante (ACO2 y AC3 en este estudio de caso).</w:t>
      </w:r>
    </w:p>
    <w:p w14:paraId="78E40091" w14:textId="77777777" w:rsidR="00203DC2" w:rsidRPr="00203DC2" w:rsidRDefault="00203DC2" w:rsidP="00203DC2">
      <w:r w:rsidRPr="00203DC2">
        <w:t xml:space="preserve">• DCO3: Fortalecer la canalización de credibilidad. </w:t>
      </w:r>
      <w:proofErr w:type="gramStart"/>
      <w:r w:rsidRPr="00203DC2">
        <w:t>Asegurar</w:t>
      </w:r>
      <w:proofErr w:type="gramEnd"/>
      <w:r w:rsidRPr="00203DC2">
        <w:t xml:space="preserve"> que los responsables de decisión y el público sepan dónde y cómo verificar afirmaciones críticas a pesar de las tácticas sostenidas del atacante de reintroducción, suplantación y manipulación de relevancia (AC1–AC4), reduciendo así la susceptibilidad a largo plazo durante futuros eventos agudos.</w:t>
      </w:r>
    </w:p>
    <w:p w14:paraId="5DF6B483" w14:textId="77777777" w:rsidR="00203DC2" w:rsidRPr="00203DC2" w:rsidRDefault="00203DC2" w:rsidP="00203DC2">
      <w:r w:rsidRPr="00203DC2">
        <w:t>3.3.2 Capacidades del defensor (aplicadas bajo competencia)</w:t>
      </w:r>
    </w:p>
    <w:p w14:paraId="5C77DD7B" w14:textId="77777777" w:rsidR="00203DC2" w:rsidRPr="00203DC2" w:rsidRDefault="00203DC2" w:rsidP="00203DC2">
      <w:r w:rsidRPr="00203DC2">
        <w:lastRenderedPageBreak/>
        <w:t>DC1: Detección y evaluación. Azul mantiene una pequeña célula de evaluación responsable de identificar indicadores de ataques cognitivos, incluidos picos de velocidad narrativa, patrones de publicación coordinados, comportamientos anómalos de fuentes y convergencia repentina de encuadres en distintas plataformas. La célula integra monitoreo de fuentes abiertas, informes de inteligencia y registros de incidentes para evaluar el impacto potencial en las etapas del OODA (por ejemplo, distorsión en la observación o divergencia en la orientación). Sin embargo, la confianza en la atribución es limitada, los canales de reporte están fragmentados y los responsables de decisión superiores reciben evaluaciones de calidad desigual o tardías. Como resultado, la detección no siempre se traduce en protección oportuna de la orientación [4, 5].</w:t>
      </w:r>
    </w:p>
    <w:p w14:paraId="7D7893FE" w14:textId="77777777" w:rsidR="00203DC2" w:rsidRPr="00203DC2" w:rsidRDefault="00203DC2" w:rsidP="00203DC2">
      <w:r w:rsidRPr="00203DC2">
        <w:t xml:space="preserve">DC2: Resiliencia cognitiva. Azul ha implementado programas de formación centrados en el reconocimiento de desinformación, la canalización de credibilidad y la disciplina de verificación. Estos programas se basan en enfoques de tipo inoculación y en conocimientos de la ciencia de la decisión destinados a reducir la susceptibilidad a encuadres manipuladores y atajos cognitivos [16, 19, 25]. Sin embargo, la penetración del entrenamiento es desigual entre las secciones del estado mayor y los homólogos de la nación asociada. Durante situaciones de crisis, la presión temporal y el estrés reducen el cumplimiento de los protocolos de verificación, aumentando la dependencia de heurísticas y creencias previas. Por lo tanto, la resiliencia </w:t>
      </w:r>
      <w:proofErr w:type="gramStart"/>
      <w:r w:rsidRPr="00203DC2">
        <w:t>existe</w:t>
      </w:r>
      <w:proofErr w:type="gramEnd"/>
      <w:r w:rsidRPr="00203DC2">
        <w:t xml:space="preserve"> pero se aplica de forma inconsistente bajo presión aguda.</w:t>
      </w:r>
    </w:p>
    <w:p w14:paraId="15D26F16" w14:textId="77777777" w:rsidR="00203DC2" w:rsidRPr="00203DC2" w:rsidRDefault="00203DC2" w:rsidP="00203DC2">
      <w:r w:rsidRPr="00203DC2">
        <w:t xml:space="preserve">DC3: Respuesta y mitigación. Azul posee la capacidad de emitir declaraciones autoritativas, sincronizar mensajes con los funcionarios de Norland y aplicar </w:t>
      </w:r>
      <w:proofErr w:type="spellStart"/>
      <w:r w:rsidRPr="00203DC2">
        <w:t>contra-encuadres</w:t>
      </w:r>
      <w:proofErr w:type="spellEnd"/>
      <w:r w:rsidRPr="00203DC2">
        <w:t xml:space="preserve"> para estabilizar la orientación. Los mecanismos de respuesta incluyen declaraciones preliminares preelaboradas, canales designados de portavoces y salvaguardas procedimentales para la validación de hechos. No obstante, los procesos de autorización, la revisión legal y la coordinación interinstitucional introducen latencia durante la ventana aguda. Además, el </w:t>
      </w:r>
      <w:proofErr w:type="spellStart"/>
      <w:r w:rsidRPr="00203DC2">
        <w:t>contra-encuadre</w:t>
      </w:r>
      <w:proofErr w:type="spellEnd"/>
      <w:r w:rsidRPr="00203DC2">
        <w:t xml:space="preserve"> se implementa con cautela para evitar amplificar narrativas adversarias, lo que puede ralentizar la relevancia correctiva [4]. En consecuencia, la mitigación reduce la persistencia narrativa a largo plazo, pero puede no prevenir la fricción decisional a corto plazo.</w:t>
      </w:r>
    </w:p>
    <w:p w14:paraId="44FC638D" w14:textId="77777777" w:rsidR="00203DC2" w:rsidRPr="00203DC2" w:rsidRDefault="00203DC2" w:rsidP="00203DC2">
      <w:r w:rsidRPr="00203DC2">
        <w:t>DC4: Adaptación y aprendizaje. Azul realiza ejercicios periódicos de simulación y juegos de guerra cognitivos diseñados para poner a prueba los procesos de toma de decisiones bajo competencia informativa [7]. Las revisiones posteriores identifican vulnerabilidades en la canalización de credibilidad, el ritmo de coordinación y los umbrales de decisión. Sin embargo, los ciclos de aprendizaje institucional son más lentos que el ritmo de adaptación narrativa de Rojo. Aunque las lecciones se integran finalmente en procedimientos y actualizaciones de formación, la adaptación es episódica en lugar de continua. Como resultado, Azul mejora a lo largo de horizontes largos, pero le cuesta igualar la velocidad de adaptación del atacante durante fases agudas.</w:t>
      </w:r>
    </w:p>
    <w:p w14:paraId="2183F9C8" w14:textId="77777777" w:rsidR="00203DC2" w:rsidRPr="00203DC2" w:rsidRDefault="00203DC2" w:rsidP="00203DC2">
      <w:r w:rsidRPr="00203DC2">
        <w:t>3.3.3 Coste y eficiencia del defensor</w:t>
      </w:r>
    </w:p>
    <w:p w14:paraId="5F12342A" w14:textId="77777777" w:rsidR="00203DC2" w:rsidRPr="00203DC2" w:rsidRDefault="00203DC2" w:rsidP="00203DC2">
      <w:r w:rsidRPr="00203DC2">
        <w:t>Coste y eficiencia del defensor. Azul enfrenta un perfil de costes estructuralmente asimétrico en el que las acciones defensivas requieren coordinación, verificación y personal sostenido.</w:t>
      </w:r>
    </w:p>
    <w:p w14:paraId="5868062C" w14:textId="77777777" w:rsidR="00203DC2" w:rsidRPr="00203DC2" w:rsidRDefault="00203DC2" w:rsidP="00203DC2">
      <w:r w:rsidRPr="00203DC2">
        <w:t xml:space="preserve">• DCE1: Carga de verificación. Establecer la verdad requiere coordinación entre organizaciones, revisión forense y autorización legal. Esta carga puede medirse </w:t>
      </w:r>
      <w:r w:rsidRPr="00203DC2">
        <w:lastRenderedPageBreak/>
        <w:t>intuitivamente mediante el tiempo hasta la confirmación, el número de puntos de coordinación necesarios y las horas de personal invertidas por incidente.</w:t>
      </w:r>
    </w:p>
    <w:p w14:paraId="29C1BACD" w14:textId="77777777" w:rsidR="00203DC2" w:rsidRPr="00203DC2" w:rsidRDefault="00203DC2" w:rsidP="00203DC2">
      <w:r w:rsidRPr="00203DC2">
        <w:t>• DCE2: Sobrecarga de coordinación. Alinear la mensajería pública y las respuestas operativas entre la JTF, los ministerios de Norland y las entidades asociadas incrementa la latencia. Esto puede medirse por el tiempo desde la detección hasta la declaración pública sincronizada, el número de niveles de aprobación y la divergencia entre los tiempos de comunicación interna y externa.</w:t>
      </w:r>
    </w:p>
    <w:p w14:paraId="082804C5" w14:textId="77777777" w:rsidR="00203DC2" w:rsidRPr="00203DC2" w:rsidRDefault="00203DC2" w:rsidP="00203DC2">
      <w:r w:rsidRPr="00203DC2">
        <w:t>• DCE3: Costes de personal sostenido. El monitoreo continuo, las herramientas analíticas y los ciclos de ensayo requieren personal e infraestructura dedicados. Esto puede medirse mediante la asignación sostenida de recursos humanos, la frecuencia de los ciclos de formación, los costes de mantenimiento de herramientas analíticas y los costes de oportunidad frente a otras prioridades de la misión.</w:t>
      </w:r>
    </w:p>
    <w:p w14:paraId="4224176F" w14:textId="77777777" w:rsidR="00203DC2" w:rsidRPr="00203DC2" w:rsidRDefault="00203DC2" w:rsidP="00203DC2">
      <w:r w:rsidRPr="00203DC2">
        <w:t>3.4 Evaluación de la superioridad cognitiva</w:t>
      </w:r>
      <w:r w:rsidRPr="00203DC2">
        <w:br/>
        <w:t>Ahora evaluamos la contienda utilizando las tres familias de atributos del marco (objetivos, capacidades y coste y eficiencia) y una interpretación centrada en la toma de decisiones de la superioridad cognitiva (Definición 4). El objetivo es mostrar cómo un analista puede llegar a un juicio defendible de superioridad sin reducir la evaluación a métricas basadas únicamente en la interacción o el alcance.</w:t>
      </w:r>
    </w:p>
    <w:p w14:paraId="7DA3DE0E" w14:textId="77777777" w:rsidR="00203DC2" w:rsidRPr="00203DC2" w:rsidRDefault="00203DC2" w:rsidP="00203DC2">
      <w:r w:rsidRPr="00203DC2">
        <w:t>3.4.1 Efectos agudos en las etapas del OODA e indicadores observables</w:t>
      </w:r>
      <w:r w:rsidRPr="00203DC2">
        <w:br/>
        <w:t>La Tabla 4 proporciona un mapeo hipotético de los efectos agudos del atacante a observables centrados en la toma de decisiones que una célula de evaluación de la JTF podría monitorizar de forma realista.</w:t>
      </w:r>
    </w:p>
    <w:p w14:paraId="128AAC09" w14:textId="77777777" w:rsidR="00203DC2" w:rsidRPr="00203DC2" w:rsidRDefault="00203DC2" w:rsidP="00203DC2">
      <w:r w:rsidRPr="00203DC2">
        <w:t>3.4.2 Condicionamiento crónico y su interacción con la disrupción aguda</w:t>
      </w:r>
      <w:r w:rsidRPr="00203DC2">
        <w:br/>
        <w:t>En este escenario hipotético, los objetivos crónicos de Rojo (AC1-AC3) moldean los supuestos previos que alimentan los ciclos OODA agudos. Por ejemplo, si la inversión de credibilidad y la erosión de la confianza han progresado, entonces durante el incidente agudo de 72 horas las correcciones autoritativas de Azul tardan más en restaurar la coherencia de la orientación. Esto produce un efecto acumulativo: el condicionamiento crónico aumenta la probabilidad de que el engaño agudo genere una degradación medible de la toma de decisiones (por ejemplo, mayor latencia y mayor riesgo de acciones desalineadas).</w:t>
      </w:r>
    </w:p>
    <w:p w14:paraId="6CF68CF0" w14:textId="77777777" w:rsidR="00203DC2" w:rsidRPr="00203DC2" w:rsidRDefault="00203DC2" w:rsidP="00203DC2">
      <w:r w:rsidRPr="00203DC2">
        <w:t>3.4.3 Por qué el atacante logra superioridad cognitiva en el escenario hipotético</w:t>
      </w:r>
      <w:r w:rsidRPr="00203DC2">
        <w:br/>
        <w:t>Sostenemos que Rojo logra superioridad cognitiva en este estudio de caso porque supera a Azul en las tres familias de atributos:</w:t>
      </w:r>
    </w:p>
    <w:p w14:paraId="4989D1D1" w14:textId="77777777" w:rsidR="00203DC2" w:rsidRPr="00203DC2" w:rsidRDefault="00203DC2" w:rsidP="00203DC2">
      <w:r w:rsidRPr="00203DC2">
        <w:t>(1) Objetivos logrados (degradación de la toma de decisiones a lo largo de los horizontes). Durante la ventana aguda, el defensor experimenta una degradación medible consistente con AAO1–AAO4: convergencia retrasada en la conciencia situacional compartida, interpretación disputada, ralentización del ritmo de decisión y al menos una pausa operativa desalineada. En el horizonte crónico, la erosión de la confianza y la inversión de credibilidad aumentan la receptividad a las narrativas de Rojo, elevando la dificultad base para la restauración rápida.</w:t>
      </w:r>
    </w:p>
    <w:p w14:paraId="474317DE" w14:textId="77777777" w:rsidR="00203DC2" w:rsidRPr="00203DC2" w:rsidRDefault="00203DC2" w:rsidP="00203DC2">
      <w:r w:rsidRPr="00203DC2">
        <w:t xml:space="preserve">(2) Dominio de capacidades bajo competencia (adaptación + amplificación). La velocidad de amplificación de Rojo en las primeras horas moldea lo que es relevante antes de que </w:t>
      </w:r>
      <w:r w:rsidRPr="00203DC2">
        <w:lastRenderedPageBreak/>
        <w:t xml:space="preserve">los procesos de coordinación y autorización de Azul puedan responder. Rojo también pivota narrativas más rápido de lo que Azul puede sincronizar </w:t>
      </w:r>
      <w:proofErr w:type="spellStart"/>
      <w:r w:rsidRPr="00203DC2">
        <w:t>contra-encuadres</w:t>
      </w:r>
      <w:proofErr w:type="spellEnd"/>
      <w:r w:rsidRPr="00203DC2">
        <w:t>, manteniendo presión de competencia a través de las etapas observar–orientar–decidir. La detección de Azul existe, pero no se traduce en una mitigación lo suficientemente rápida como para preservar el ritmo de decisión.</w:t>
      </w:r>
    </w:p>
    <w:p w14:paraId="73F76A6D" w14:textId="77777777" w:rsidR="00203DC2" w:rsidRPr="00203DC2" w:rsidRDefault="00203DC2" w:rsidP="00203DC2">
      <w:r w:rsidRPr="00203DC2">
        <w:t>(3) Coste y eficiencia favorecen al atacante (transferencia asimétrica de carga). El coste marginal de Rojo para generar variantes narrativas y reintroducirlas tras eliminaciones es bajo en comparación con los costes operativos y de coordinación impuestos a Azul (verificación, alineación, comunicación pública y gestión de efectos de segundo orden). Bajo competencia sostenida, esta asimetría permite a Rojo mantener la presión durante más tiempo del que Azul puede sostener la mitigación de alto ritmo sin compromisos.</w:t>
      </w:r>
    </w:p>
    <w:p w14:paraId="75BABC13" w14:textId="77777777" w:rsidR="00203DC2" w:rsidRPr="00203DC2" w:rsidRDefault="00203DC2" w:rsidP="00203DC2">
      <w:r w:rsidRPr="00203DC2">
        <w:t>3.4.4 Resumen comparativo compacto</w:t>
      </w:r>
      <w:r w:rsidRPr="00203DC2">
        <w:br/>
        <w:t>La Tabla 5 resume el juicio de superioridad utilizando la estructura de tres familias. Se extraen dos conclusiones. Primero, dados los objetivos establecidos, el rendimiento de capacidades bajo competencia y la estructura de costes asimétrica, el atacante satisface la condición central de superioridad cognitiva (Definición 4): Rojo mantiene una ventaja comparativa sostenida al lograr sus objetivos cognitivos a mayor velocidad y con mayor eficiencia de coste que Azul, produciendo degradación centrada en la toma de decisiones (latencia, pérdida de coherencia y desalineación de acciones) durante la ventana relevante de la misión.</w:t>
      </w:r>
    </w:p>
    <w:p w14:paraId="17CE1513" w14:textId="77777777" w:rsidR="00203DC2" w:rsidRPr="00203DC2" w:rsidRDefault="00203DC2" w:rsidP="00203DC2">
      <w:r w:rsidRPr="00203DC2">
        <w:t>3.5 Discusión</w:t>
      </w:r>
    </w:p>
    <w:p w14:paraId="580B2A3B" w14:textId="77777777" w:rsidR="00203DC2" w:rsidRPr="00203DC2" w:rsidRDefault="00203DC2" w:rsidP="00203DC2">
      <w:r w:rsidRPr="00203DC2">
        <w:t>3.5.1 Discusión adicional sobre el estudio de caso</w:t>
      </w:r>
      <w:r w:rsidRPr="00203DC2">
        <w:br/>
        <w:t>El estudio de caso demuestra cómo el marco permite un análisis sistemático de la guerra cognitiva más allá de modelos centrados en mensajes o en la exposición. Surgen varias observaciones del escenario.</w:t>
      </w:r>
    </w:p>
    <w:p w14:paraId="3F5FF958" w14:textId="77777777" w:rsidR="00203DC2" w:rsidRPr="00203DC2" w:rsidRDefault="00203DC2" w:rsidP="00203DC2">
      <w:r w:rsidRPr="00203DC2">
        <w:t>Primero, el estudio refuerza que la guerra cognitiva es fundamentalmente centrada en la toma de decisiones. Los objetivos agudos del atacante no eran simplemente moldear narrativas, sino introducir fricción medible en el ciclo OODA del defensor. La latencia de decisión aumentó, la coherencia interpretativa disminuyó y al menos una pausa operativa reflejó desalineación en la etapa de acción. Estos resultados ilustran que los efectos cognitivos se vuelven operativamente relevantes cuando se traducen en percepción degradada, orientación retrasada, juicio distorsionado o acción desalineada.</w:t>
      </w:r>
    </w:p>
    <w:p w14:paraId="5FED6BA0" w14:textId="77777777" w:rsidR="00203DC2" w:rsidRPr="00203DC2" w:rsidRDefault="00203DC2" w:rsidP="00203DC2">
      <w:r w:rsidRPr="00203DC2">
        <w:t xml:space="preserve">Segundo, el escenario destaca la interacción entre el condicionamiento crónico y la disrupción aguda. La erosión crónica de la confianza institucional y la inversión de credibilidad reconfiguraron los supuestos interpretativos que alimentaban los ciclos de decisión agudos del defensor. Como resultado, la mensajería correctiva autoritativa requirió más tiempo para restaurar la coherencia de la orientación. El caso ilustra cómo el condicionamiento de largo plazo </w:t>
      </w:r>
      <w:proofErr w:type="spellStart"/>
      <w:r w:rsidRPr="00203DC2">
        <w:t>reparametriza</w:t>
      </w:r>
      <w:proofErr w:type="spellEnd"/>
      <w:r w:rsidRPr="00203DC2">
        <w:t xml:space="preserve"> el rendimiento OODA de corto plazo, aumentando la probabilidad de que el engaño agudo produzca degradación operativa medible.</w:t>
      </w:r>
    </w:p>
    <w:p w14:paraId="3246BDFB" w14:textId="77777777" w:rsidR="00203DC2" w:rsidRPr="00203DC2" w:rsidRDefault="00203DC2" w:rsidP="00203DC2">
      <w:r w:rsidRPr="00203DC2">
        <w:t xml:space="preserve">Tercero, el caso revela la centralidad de la velocidad de adaptación para determinar la ventaja relativa. Aunque el defensor poseía mecanismos de detección y mitigación, la latencia de coordinación y los procedimientos de autorización redujeron la eficacia de la mitigación durante la ventana aguda. En contraste, el atacante mostró pivoteo narrativo </w:t>
      </w:r>
      <w:r w:rsidRPr="00203DC2">
        <w:lastRenderedPageBreak/>
        <w:t>rápido y optimización de amplificación. Por lo tanto, la superioridad cognitiva emergió no del control de la creencia, sino del rendimiento comparativo bajo competencia sostenida.</w:t>
      </w:r>
    </w:p>
    <w:p w14:paraId="5EF30C64" w14:textId="77777777" w:rsidR="00203DC2" w:rsidRPr="00203DC2" w:rsidRDefault="00203DC2" w:rsidP="00203DC2">
      <w:r w:rsidRPr="00203DC2">
        <w:t>Cuarto, la estructura de costes asimétrica de la guerra cognitiva influyó significativamente en la dinámica de la contienda. El coste marginal del atacante para generar y reintroducir variantes narrativas era relativamente bajo, mientras que el defensor incurría en cargas sustanciales de verificación, sincronización y comunicación. Esta asimetría de costes prolongó la presión cognitiva y redujo la agilidad del defensor. El caso subraya que la ventaja cognitiva sostenible depende no solo de lograr efectos, sino de lograrlos de manera eficiente bajo competencia prolongada.</w:t>
      </w:r>
    </w:p>
    <w:p w14:paraId="2D2F39BD" w14:textId="77777777" w:rsidR="00203DC2" w:rsidRPr="00203DC2" w:rsidRDefault="00203DC2" w:rsidP="00203DC2">
      <w:r w:rsidRPr="00203DC2">
        <w:t>Deben reconocerse varias limitaciones. Este estudio de caso es hipotético y no se basa en datos operacionales reales. Los indicadores observables como la latencia de decisión y la divergencia de orientación se presentan de forma ilustrativa y no como mediciones empíricas. Además, el escenario simplifica dinámicas interinstitucionales, aliadas y sociopolíticas complejas que influirían en resultados del mundo real. La investigación futura debería probar empíricamente las familias de atributos propuestas frente a casos históricos y experimentos basados en simulación para validar umbrales medibles de superioridad cognitiva.</w:t>
      </w:r>
    </w:p>
    <w:p w14:paraId="07C6C03C" w14:textId="77777777" w:rsidR="00203DC2" w:rsidRPr="00203DC2" w:rsidRDefault="00203DC2" w:rsidP="00203DC2">
      <w:r w:rsidRPr="00203DC2">
        <w:t xml:space="preserve">A pesar de estas limitaciones, el estudio de caso demuestra la utilidad analítica del marco OODA Cognitivo </w:t>
      </w:r>
      <w:proofErr w:type="spellStart"/>
      <w:r w:rsidRPr="00203DC2">
        <w:t>Multihorizonte</w:t>
      </w:r>
      <w:proofErr w:type="spellEnd"/>
      <w:r w:rsidRPr="00203DC2">
        <w:t xml:space="preserve"> y aclara cómo la guerra cognitiva puede evaluarse de manera sistemática en lugar de descriptiva.</w:t>
      </w:r>
    </w:p>
    <w:p w14:paraId="6EC97697" w14:textId="77777777" w:rsidR="00203DC2" w:rsidRPr="00203DC2" w:rsidRDefault="00203DC2" w:rsidP="00203DC2">
      <w:r w:rsidRPr="00203DC2">
        <w:t>3.5.2 Implicaciones para la Fuerza Conjunta</w:t>
      </w:r>
      <w:r w:rsidRPr="00203DC2">
        <w:br/>
        <w:t>El marco, tal como se manifiesta en el estudio de caso, tiene las siguientes implicaciones para la doctrina, el diseño de fuerzas, el entrenamiento y la evaluación operativa, que sugieren que la ventaja cognitiva no se logra mediante la dominancia de la información por sí sola, sino mediante procesos de decisión resilientes y rendimiento organizacional adaptativo bajo competencia sostenida.</w:t>
      </w:r>
    </w:p>
    <w:p w14:paraId="41D772EB" w14:textId="77777777" w:rsidR="00203DC2" w:rsidRPr="00203DC2" w:rsidRDefault="00203DC2" w:rsidP="00203DC2">
      <w:pPr>
        <w:numPr>
          <w:ilvl w:val="0"/>
          <w:numId w:val="2"/>
        </w:numPr>
      </w:pPr>
      <w:r w:rsidRPr="00203DC2">
        <w:t xml:space="preserve">Institucionalizar la guerra cognitiva como un concepto operativo centrado en la toma de decisiones. La guerra cognitiva no debe tratarse como un elemento subordinado de misiones como asuntos públicos o </w:t>
      </w:r>
      <w:proofErr w:type="spellStart"/>
      <w:r w:rsidRPr="00203DC2">
        <w:t>ciberoperaciones</w:t>
      </w:r>
      <w:proofErr w:type="spellEnd"/>
      <w:r w:rsidRPr="00203DC2">
        <w:t xml:space="preserve">. Más bien, representa una contienda sostenida por la ventaja en la toma de decisiones que afecta directamente los resultados de la misión. La doctrina debería incorporar explícitamente objetivos cognitivos, desarrollo de capacidades y evaluación de superioridad dentro de los procesos de planificación operativa. </w:t>
      </w:r>
    </w:p>
    <w:p w14:paraId="01608927" w14:textId="77777777" w:rsidR="00203DC2" w:rsidRPr="00203DC2" w:rsidRDefault="00203DC2" w:rsidP="00203DC2">
      <w:pPr>
        <w:numPr>
          <w:ilvl w:val="0"/>
          <w:numId w:val="2"/>
        </w:numPr>
      </w:pPr>
      <w:r w:rsidRPr="00203DC2">
        <w:t xml:space="preserve">Priorizar el entrenamiento en resiliencia de la toma de decisiones. Dado que la superioridad cognitiva depende de preservar la integridad del OODA bajo presión, los programas de entrenamiento deberían enfatizar la toma de decisiones bajo saturación de información, ambigüedad y encuadres adversarios. La resiliencia cognitiva, incluyendo el reconocimiento de tácticas manipuladoras, la canalización de credibilidad y los protocolos de decisión conscientes del estrés, debería integrarse en la educación militar profesional y en ejercicios en vivo. </w:t>
      </w:r>
    </w:p>
    <w:p w14:paraId="6F7A403B" w14:textId="77777777" w:rsidR="00203DC2" w:rsidRPr="00203DC2" w:rsidRDefault="00203DC2" w:rsidP="00203DC2">
      <w:pPr>
        <w:numPr>
          <w:ilvl w:val="0"/>
          <w:numId w:val="2"/>
        </w:numPr>
      </w:pPr>
      <w:r w:rsidRPr="00203DC2">
        <w:t xml:space="preserve">Incorporar factores de estrés cognitivo en simulación y juegos de guerra. Los ejercicios operativos deberían incluir dinámicas realistas de amplificación adversaria y comportamiento de pivote narrativo para probar la velocidad de adaptación y el tiempo de recuperación. Incluir estrés cognitivo en simulaciones </w:t>
      </w:r>
      <w:r w:rsidRPr="00203DC2">
        <w:lastRenderedPageBreak/>
        <w:t xml:space="preserve">permite a comandantes y estados mayores identificar vulnerabilidades en la coherencia de la orientación y el ritmo de decisión antes de su explotación en el mundo real. </w:t>
      </w:r>
    </w:p>
    <w:p w14:paraId="3FFF17F0" w14:textId="77777777" w:rsidR="00203DC2" w:rsidRPr="00203DC2" w:rsidRDefault="00203DC2" w:rsidP="00203DC2">
      <w:pPr>
        <w:numPr>
          <w:ilvl w:val="0"/>
          <w:numId w:val="2"/>
        </w:numPr>
      </w:pPr>
      <w:r w:rsidRPr="00203DC2">
        <w:t xml:space="preserve">Reducir la latencia organizativa. El estudio de caso ilustra cómo la sobrecarga de coordinación puede degradar el rendimiento defensivo. Equipos de defensa cognitiva interfuncionales que integren inteligencia, operaciones, análisis conductual y comunicación podrían reducir los retrasos de respuesta y mejorar la eficacia de la mitigación durante ventanas agudas. </w:t>
      </w:r>
    </w:p>
    <w:p w14:paraId="384624FC" w14:textId="77777777" w:rsidR="00203DC2" w:rsidRPr="00203DC2" w:rsidRDefault="00203DC2" w:rsidP="00203DC2">
      <w:pPr>
        <w:numPr>
          <w:ilvl w:val="0"/>
          <w:numId w:val="2"/>
        </w:numPr>
      </w:pPr>
      <w:r w:rsidRPr="00203DC2">
        <w:t xml:space="preserve">Adoptar medidas de eficacia centradas en la toma de decisiones. Los marcos de evaluación deberían ir más allá de métricas de alcance e interacción e incorporar latencia de decisión, frecuencia de error de decisión, tiempo de recuperación e indicadores de calibración de confianza. Integrar estas medidas en revisiones posteriores a la acción y evaluaciones de preparación permitirá una evaluación sistemática de la superioridad cognitiva. </w:t>
      </w:r>
    </w:p>
    <w:p w14:paraId="48F0123C" w14:textId="77777777" w:rsidR="00203DC2" w:rsidRDefault="00203DC2" w:rsidP="00203DC2"/>
    <w:p w14:paraId="191382E8" w14:textId="77777777" w:rsidR="00203DC2" w:rsidRPr="00203DC2" w:rsidRDefault="00203DC2" w:rsidP="00203DC2">
      <w:r w:rsidRPr="00203DC2">
        <w:t xml:space="preserve">4 </w:t>
      </w:r>
      <w:proofErr w:type="gramStart"/>
      <w:r w:rsidRPr="00203DC2">
        <w:t>Conclusión</w:t>
      </w:r>
      <w:proofErr w:type="gramEnd"/>
    </w:p>
    <w:p w14:paraId="1C91AE76" w14:textId="77777777" w:rsidR="00203DC2" w:rsidRPr="00203DC2" w:rsidRDefault="00203DC2" w:rsidP="00203DC2">
      <w:r w:rsidRPr="00203DC2">
        <w:t xml:space="preserve">Este artículo introdujo el marco OODA Cognitivo </w:t>
      </w:r>
      <w:proofErr w:type="spellStart"/>
      <w:r w:rsidRPr="00203DC2">
        <w:t>Multihorizonte</w:t>
      </w:r>
      <w:proofErr w:type="spellEnd"/>
      <w:r w:rsidRPr="00203DC2">
        <w:t>, incluida una nueva definición de guerra cognitiva y de superioridad cognitiva, para modelar la interacción atacante–</w:t>
      </w:r>
      <w:proofErr w:type="gramStart"/>
      <w:r w:rsidRPr="00203DC2">
        <w:t>defensor cognitiva</w:t>
      </w:r>
      <w:proofErr w:type="gramEnd"/>
      <w:r w:rsidRPr="00203DC2">
        <w:t xml:space="preserve"> como una contienda dinámica por la ventaja en la toma de decisiones. Al distinguir la disrupción aguda (corto plazo) del condicionamiento crónico (largo plazo) y organizar el análisis en torno a objetivos, capacidades y coste y eficiencia, el marco proporciona una base sistemática para evaluar la superioridad cognitiva.</w:t>
      </w:r>
    </w:p>
    <w:p w14:paraId="1BDEB6D7" w14:textId="77777777" w:rsidR="00203DC2" w:rsidRPr="00203DC2" w:rsidRDefault="00203DC2" w:rsidP="00203DC2">
      <w:r w:rsidRPr="00203DC2">
        <w:t>Un estudio de caso hipotético demostró la utilidad del marco y cómo la guerra cognitiva se manifiesta operativamente cuando las actividades adversarias se traducen en una degradación medible de la precisión de la observación, la coherencia de la orientación, el ritmo de decisión y la fidelidad de la acción. También ilustró que la superioridad cognitiva no requiere el control de la percepción o la creencia. Más bien, la superioridad emerge cuando un actor mantiene una ventaja comparativa en preservar o degradar el rendimiento OODA a mayor velocidad y con mayor eficiencia de coste que su oponente. Como resultado, la resiliencia en la toma de decisiones bajo condiciones de información en disputa se convertirá en un determinante clave del éxito operativo y estratégico.</w:t>
      </w:r>
    </w:p>
    <w:p w14:paraId="4A192501" w14:textId="77777777" w:rsidR="00203DC2" w:rsidRPr="00203DC2" w:rsidRDefault="00203DC2" w:rsidP="00203DC2">
      <w:r w:rsidRPr="00203DC2">
        <w:t>El trabajo futuro debería validar empíricamente los indicadores medibles de superioridad cognitiva, desarrollar modelos cuantitativos de dinámicas de ataque-defensa cognitiva análogos a los modelos de dinámicas de ciberseguridad, e integrar métricas de rendimiento cognitivo en los marcos de evaluación operativa conjunta.</w:t>
      </w:r>
    </w:p>
    <w:p w14:paraId="5940D13D" w14:textId="77777777" w:rsidR="00203DC2" w:rsidRDefault="00203DC2" w:rsidP="00203DC2"/>
    <w:p w14:paraId="3A6F71AB" w14:textId="77777777" w:rsidR="00203DC2" w:rsidRDefault="00203DC2" w:rsidP="00203DC2"/>
    <w:p w14:paraId="243F665A" w14:textId="77777777" w:rsidR="00203DC2" w:rsidRPr="00203DC2" w:rsidRDefault="00203DC2" w:rsidP="00203DC2"/>
    <w:p w14:paraId="29289D73" w14:textId="77777777" w:rsidR="00B8269E" w:rsidRDefault="00B8269E"/>
    <w:sectPr w:rsidR="00B8269E">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13516F" w14:textId="77777777" w:rsidR="00F46B44" w:rsidRDefault="00F46B44" w:rsidP="00D0728B">
      <w:pPr>
        <w:spacing w:after="0" w:line="240" w:lineRule="auto"/>
      </w:pPr>
      <w:r>
        <w:separator/>
      </w:r>
    </w:p>
  </w:endnote>
  <w:endnote w:type="continuationSeparator" w:id="0">
    <w:p w14:paraId="09E67966" w14:textId="77777777" w:rsidR="00F46B44" w:rsidRDefault="00F46B44" w:rsidP="00D072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A02249" w14:textId="77777777" w:rsidR="00F46B44" w:rsidRDefault="00F46B44" w:rsidP="00D0728B">
      <w:pPr>
        <w:spacing w:after="0" w:line="240" w:lineRule="auto"/>
      </w:pPr>
      <w:r>
        <w:separator/>
      </w:r>
    </w:p>
  </w:footnote>
  <w:footnote w:type="continuationSeparator" w:id="0">
    <w:p w14:paraId="0555DAAA" w14:textId="77777777" w:rsidR="00F46B44" w:rsidRDefault="00F46B44" w:rsidP="00D0728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537B66"/>
    <w:multiLevelType w:val="multilevel"/>
    <w:tmpl w:val="B9D47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FF962CF"/>
    <w:multiLevelType w:val="multilevel"/>
    <w:tmpl w:val="B7A60C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6842396">
    <w:abstractNumId w:val="1"/>
  </w:num>
  <w:num w:numId="2" w16cid:durableId="18647797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3DC2"/>
    <w:rsid w:val="00011567"/>
    <w:rsid w:val="00203DC2"/>
    <w:rsid w:val="004E59A6"/>
    <w:rsid w:val="00A659A4"/>
    <w:rsid w:val="00B8269E"/>
    <w:rsid w:val="00D0728B"/>
    <w:rsid w:val="00F335FC"/>
    <w:rsid w:val="00F46B4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5D40B"/>
  <w15:chartTrackingRefBased/>
  <w15:docId w15:val="{D4C96EE1-8292-4462-A998-273E704760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03D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03D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03DC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03DC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03DC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03DC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03DC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03DC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03DC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03DC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03DC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03DC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03DC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03DC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03DC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03DC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03DC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03DC2"/>
    <w:rPr>
      <w:rFonts w:eastAsiaTheme="majorEastAsia" w:cstheme="majorBidi"/>
      <w:color w:val="272727" w:themeColor="text1" w:themeTint="D8"/>
    </w:rPr>
  </w:style>
  <w:style w:type="paragraph" w:styleId="Ttulo">
    <w:name w:val="Title"/>
    <w:basedOn w:val="Normal"/>
    <w:next w:val="Normal"/>
    <w:link w:val="TtuloCar"/>
    <w:uiPriority w:val="10"/>
    <w:qFormat/>
    <w:rsid w:val="00203D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03DC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03DC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03DC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03DC2"/>
    <w:pPr>
      <w:spacing w:before="160"/>
      <w:jc w:val="center"/>
    </w:pPr>
    <w:rPr>
      <w:i/>
      <w:iCs/>
      <w:color w:val="404040" w:themeColor="text1" w:themeTint="BF"/>
    </w:rPr>
  </w:style>
  <w:style w:type="character" w:customStyle="1" w:styleId="CitaCar">
    <w:name w:val="Cita Car"/>
    <w:basedOn w:val="Fuentedeprrafopredeter"/>
    <w:link w:val="Cita"/>
    <w:uiPriority w:val="29"/>
    <w:rsid w:val="00203DC2"/>
    <w:rPr>
      <w:i/>
      <w:iCs/>
      <w:color w:val="404040" w:themeColor="text1" w:themeTint="BF"/>
    </w:rPr>
  </w:style>
  <w:style w:type="paragraph" w:styleId="Prrafodelista">
    <w:name w:val="List Paragraph"/>
    <w:basedOn w:val="Normal"/>
    <w:uiPriority w:val="34"/>
    <w:qFormat/>
    <w:rsid w:val="00203DC2"/>
    <w:pPr>
      <w:ind w:left="720"/>
      <w:contextualSpacing/>
    </w:pPr>
  </w:style>
  <w:style w:type="character" w:styleId="nfasisintenso">
    <w:name w:val="Intense Emphasis"/>
    <w:basedOn w:val="Fuentedeprrafopredeter"/>
    <w:uiPriority w:val="21"/>
    <w:qFormat/>
    <w:rsid w:val="00203DC2"/>
    <w:rPr>
      <w:i/>
      <w:iCs/>
      <w:color w:val="0F4761" w:themeColor="accent1" w:themeShade="BF"/>
    </w:rPr>
  </w:style>
  <w:style w:type="paragraph" w:styleId="Citadestacada">
    <w:name w:val="Intense Quote"/>
    <w:basedOn w:val="Normal"/>
    <w:next w:val="Normal"/>
    <w:link w:val="CitadestacadaCar"/>
    <w:uiPriority w:val="30"/>
    <w:qFormat/>
    <w:rsid w:val="00203D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03DC2"/>
    <w:rPr>
      <w:i/>
      <w:iCs/>
      <w:color w:val="0F4761" w:themeColor="accent1" w:themeShade="BF"/>
    </w:rPr>
  </w:style>
  <w:style w:type="character" w:styleId="Referenciaintensa">
    <w:name w:val="Intense Reference"/>
    <w:basedOn w:val="Fuentedeprrafopredeter"/>
    <w:uiPriority w:val="32"/>
    <w:qFormat/>
    <w:rsid w:val="00203DC2"/>
    <w:rPr>
      <w:b/>
      <w:bCs/>
      <w:smallCaps/>
      <w:color w:val="0F4761" w:themeColor="accent1" w:themeShade="BF"/>
      <w:spacing w:val="5"/>
    </w:rPr>
  </w:style>
  <w:style w:type="character" w:styleId="Hipervnculo">
    <w:name w:val="Hyperlink"/>
    <w:basedOn w:val="Fuentedeprrafopredeter"/>
    <w:uiPriority w:val="99"/>
    <w:unhideWhenUsed/>
    <w:rsid w:val="00203DC2"/>
    <w:rPr>
      <w:color w:val="467886" w:themeColor="hyperlink"/>
      <w:u w:val="single"/>
    </w:rPr>
  </w:style>
  <w:style w:type="character" w:styleId="Mencinsinresolver">
    <w:name w:val="Unresolved Mention"/>
    <w:basedOn w:val="Fuentedeprrafopredeter"/>
    <w:uiPriority w:val="99"/>
    <w:semiHidden/>
    <w:unhideWhenUsed/>
    <w:rsid w:val="00203DC2"/>
    <w:rPr>
      <w:color w:val="605E5C"/>
      <w:shd w:val="clear" w:color="auto" w:fill="E1DFDD"/>
    </w:rPr>
  </w:style>
  <w:style w:type="paragraph" w:styleId="Encabezado">
    <w:name w:val="header"/>
    <w:basedOn w:val="Normal"/>
    <w:link w:val="EncabezadoCar"/>
    <w:uiPriority w:val="99"/>
    <w:unhideWhenUsed/>
    <w:rsid w:val="00D0728B"/>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0728B"/>
  </w:style>
  <w:style w:type="paragraph" w:styleId="Piedepgina">
    <w:name w:val="footer"/>
    <w:basedOn w:val="Normal"/>
    <w:link w:val="PiedepginaCar"/>
    <w:uiPriority w:val="99"/>
    <w:unhideWhenUsed/>
    <w:rsid w:val="00D0728B"/>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072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sites.google.com/view/cognitivewarfarecasestud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707</TotalTime>
  <Pages>20</Pages>
  <Words>10164</Words>
  <Characters>55903</Characters>
  <Application>Microsoft Office Word</Application>
  <DocSecurity>0</DocSecurity>
  <Lines>465</Lines>
  <Paragraphs>131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65936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Jorge Enebral Alonso</dc:creator>
  <cp:keywords/>
  <dc:description/>
  <cp:lastModifiedBy>Jorge Enebral Alonso</cp:lastModifiedBy>
  <cp:revision>2</cp:revision>
  <dcterms:created xsi:type="dcterms:W3CDTF">2026-04-20T04:56:00Z</dcterms:created>
  <dcterms:modified xsi:type="dcterms:W3CDTF">2026-04-20T17:16:00Z</dcterms:modified>
</cp:coreProperties>
</file>