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numPr>
          <w:ilvl w:val="1"/>
          <w:numId w:val="1"/>
        </w:numPr>
        <w:spacing w:before="200" w:after="120"/>
        <w:jc w:val="center"/>
        <w:rPr/>
      </w:pPr>
      <w:r>
        <w:rPr/>
        <w:t>Experimento Daya Bay (DB)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rFonts w:ascii="Liberation Serif" w:hAnsi="Liberation Serif"/>
        </w:rPr>
        <w:t xml:space="preserve">En el último artículo del experimento DB unicamente se muestra el espectro esperado FAR sin oscilaciones y el espectro observado FAR. Por lo tanto, se propone reproducir el espectro esperado sin oscilaciones FAR a partir de un modelo de flujo de neutrinos de reactor debidamente calibrado. </w:t>
      </w:r>
      <w:r>
        <w:rPr>
          <w:rFonts w:ascii="Liberation Serif" w:hAnsi="Liberation Serif"/>
        </w:rPr>
        <w:t>En la gráfica anterior se muestra en color naranja el espectro esperado  FAR sin oscilaciones calibrado por un factor global α y en color azul el mismo espectro publicado por la colaboración DB.</w:t>
      </w:r>
    </w:p>
    <w:p>
      <w:pPr>
        <w:pStyle w:val="Normal"/>
        <w:jc w:val="both"/>
        <w:rPr>
          <w:rFonts w:ascii="Liberation Serif" w:hAnsi="Liberation Serif"/>
        </w:rPr>
      </w:pPr>
      <w:r>
        <w:rPr/>
        <w:drawing>
          <wp:inline distT="0" distB="0" distL="0" distR="0">
            <wp:extent cx="5409565" cy="2959100"/>
            <wp:effectExtent l="0" t="0" r="0" b="0"/>
            <wp:docPr id="1" name="Objeto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jc w:val="both"/>
        <w:rPr/>
      </w:pPr>
      <w:r>
        <w:rPr>
          <w:rFonts w:ascii="Liberation Serif" w:hAnsi="Liberation Serif"/>
        </w:rPr>
        <w:t>En el proceso para calibrar los bines simultáneamente por una cantidad proporcional, se obtiene el espectro mostrado a continuación.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drawing>
          <wp:inline distT="0" distB="0" distL="0" distR="0">
            <wp:extent cx="5198745" cy="2933700"/>
            <wp:effectExtent l="0" t="0" r="0" b="0"/>
            <wp:docPr id="2" name="Objeto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s-ES" w:eastAsia="zh-CN" w:bidi="hi-IN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latin typeface="Arial"/>
              </a:defRPr>
            </a:pPr>
            <a:r>
              <a:rPr b="0" sz="1300" spc="-1" strike="noStrike">
                <a:latin typeface="Arial"/>
              </a:rPr>
              <a:t>Espectro FAR esperado de neutrinos sin oscilaciones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Columna D</c:v>
                </c:pt>
              </c:strCache>
            </c:strRef>
          </c:tx>
          <c:spPr>
            <a:solidFill>
              <a:srgbClr val="004586"/>
            </a:solidFill>
            <a:ln w="28800">
              <a:noFill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numFmt formatCode="General" sourceLinked="1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6"/>
                <c:pt idx="0">
                  <c:v>25550</c:v>
                </c:pt>
                <c:pt idx="1">
                  <c:v>66354</c:v>
                </c:pt>
                <c:pt idx="2">
                  <c:v>89498</c:v>
                </c:pt>
                <c:pt idx="3">
                  <c:v>109188</c:v>
                </c:pt>
                <c:pt idx="4">
                  <c:v>125023</c:v>
                </c:pt>
                <c:pt idx="5">
                  <c:v>138287</c:v>
                </c:pt>
                <c:pt idx="6">
                  <c:v>145099</c:v>
                </c:pt>
                <c:pt idx="7">
                  <c:v>145967</c:v>
                </c:pt>
                <c:pt idx="8">
                  <c:v>144211</c:v>
                </c:pt>
                <c:pt idx="9">
                  <c:v>137797</c:v>
                </c:pt>
                <c:pt idx="10">
                  <c:v>126643</c:v>
                </c:pt>
                <c:pt idx="11">
                  <c:v>114205</c:v>
                </c:pt>
                <c:pt idx="12">
                  <c:v>104337</c:v>
                </c:pt>
                <c:pt idx="13">
                  <c:v>95754</c:v>
                </c:pt>
                <c:pt idx="14">
                  <c:v>86769</c:v>
                </c:pt>
                <c:pt idx="15">
                  <c:v>76018</c:v>
                </c:pt>
                <c:pt idx="16">
                  <c:v>65293</c:v>
                </c:pt>
                <c:pt idx="17">
                  <c:v>54139</c:v>
                </c:pt>
                <c:pt idx="18">
                  <c:v>43441</c:v>
                </c:pt>
                <c:pt idx="19">
                  <c:v>34858</c:v>
                </c:pt>
                <c:pt idx="20">
                  <c:v>27533</c:v>
                </c:pt>
                <c:pt idx="21">
                  <c:v>20209</c:v>
                </c:pt>
                <c:pt idx="22">
                  <c:v>14196</c:v>
                </c:pt>
                <c:pt idx="23">
                  <c:v>7678</c:v>
                </c:pt>
                <c:pt idx="24">
                  <c:v>6455</c:v>
                </c:pt>
                <c:pt idx="25">
                  <c:v>252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Columna H</c:v>
                </c:pt>
              </c:strCache>
            </c:strRef>
          </c:tx>
          <c:spPr>
            <a:solidFill>
              <a:srgbClr val="ff420e"/>
            </a:solidFill>
            <a:ln w="28800">
              <a:noFill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numFmt formatCode="General" sourceLinked="1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26"/>
                <c:pt idx="0">
                  <c:v>26265.5911650381</c:v>
                </c:pt>
                <c:pt idx="1">
                  <c:v>58297.32080152</c:v>
                </c:pt>
                <c:pt idx="2">
                  <c:v>85890.57473913</c:v>
                </c:pt>
                <c:pt idx="3">
                  <c:v>110530.180460642</c:v>
                </c:pt>
                <c:pt idx="4">
                  <c:v>130529.36935911</c:v>
                </c:pt>
                <c:pt idx="5">
                  <c:v>144803.207807866</c:v>
                </c:pt>
                <c:pt idx="6">
                  <c:v>152627.710590781</c:v>
                </c:pt>
                <c:pt idx="7">
                  <c:v>154330.601684844</c:v>
                </c:pt>
                <c:pt idx="8">
                  <c:v>150542.730826414</c:v>
                </c:pt>
                <c:pt idx="9">
                  <c:v>142572.889183001</c:v>
                </c:pt>
                <c:pt idx="10">
                  <c:v>131646.666067947</c:v>
                </c:pt>
                <c:pt idx="11">
                  <c:v>119068.732011045</c:v>
                </c:pt>
                <c:pt idx="12">
                  <c:v>105833.017417768</c:v>
                </c:pt>
                <c:pt idx="13">
                  <c:v>92700.8822304047</c:v>
                </c:pt>
                <c:pt idx="14">
                  <c:v>80168.2359832289</c:v>
                </c:pt>
                <c:pt idx="15">
                  <c:v>68483.2053899019</c:v>
                </c:pt>
                <c:pt idx="16">
                  <c:v>57774.4431728657</c:v>
                </c:pt>
                <c:pt idx="17">
                  <c:v>47654.583772532</c:v>
                </c:pt>
                <c:pt idx="18">
                  <c:v>38853.9576349767</c:v>
                </c:pt>
                <c:pt idx="19">
                  <c:v>30929.7830029298</c:v>
                </c:pt>
                <c:pt idx="20">
                  <c:v>23836.9124118751</c:v>
                </c:pt>
                <c:pt idx="21">
                  <c:v>17624.4127961017</c:v>
                </c:pt>
                <c:pt idx="22">
                  <c:v>12338.9689259411</c:v>
                </c:pt>
                <c:pt idx="23">
                  <c:v>8090.80503014411</c:v>
                </c:pt>
                <c:pt idx="24">
                  <c:v>4894.37142953272</c:v>
                </c:pt>
                <c:pt idx="25">
                  <c:v>288.834308803627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25032075"/>
        <c:axId val="15792217"/>
      </c:lineChart>
      <c:catAx>
        <c:axId val="25032075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Número de bin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15792217"/>
        <c:crosses val="autoZero"/>
        <c:auto val="1"/>
        <c:lblAlgn val="ctr"/>
        <c:lblOffset val="100"/>
      </c:catAx>
      <c:valAx>
        <c:axId val="15792217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Eventos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25032075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latin typeface="Arial"/>
              </a:defRPr>
            </a:pPr>
            <a:r>
              <a:rPr b="0" sz="1300" spc="-1" strike="noStrike">
                <a:latin typeface="Arial"/>
              </a:rPr>
              <a:t>Espectros FAR sin oscilaciones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Columna D</c:v>
                </c:pt>
              </c:strCache>
            </c:strRef>
          </c:tx>
          <c:spPr>
            <a:solidFill>
              <a:srgbClr val="004586"/>
            </a:solidFill>
            <a:ln w="28800">
              <a:noFill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numFmt formatCode="General" sourceLinked="1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6"/>
                <c:pt idx="0">
                  <c:v>25550</c:v>
                </c:pt>
                <c:pt idx="1">
                  <c:v>66354</c:v>
                </c:pt>
                <c:pt idx="2">
                  <c:v>89498</c:v>
                </c:pt>
                <c:pt idx="3">
                  <c:v>109188</c:v>
                </c:pt>
                <c:pt idx="4">
                  <c:v>125023</c:v>
                </c:pt>
                <c:pt idx="5">
                  <c:v>138287</c:v>
                </c:pt>
                <c:pt idx="6">
                  <c:v>145099</c:v>
                </c:pt>
                <c:pt idx="7">
                  <c:v>145967</c:v>
                </c:pt>
                <c:pt idx="8">
                  <c:v>144211</c:v>
                </c:pt>
                <c:pt idx="9">
                  <c:v>137797</c:v>
                </c:pt>
                <c:pt idx="10">
                  <c:v>126643</c:v>
                </c:pt>
                <c:pt idx="11">
                  <c:v>114205</c:v>
                </c:pt>
                <c:pt idx="12">
                  <c:v>104337</c:v>
                </c:pt>
                <c:pt idx="13">
                  <c:v>95754</c:v>
                </c:pt>
                <c:pt idx="14">
                  <c:v>86769</c:v>
                </c:pt>
                <c:pt idx="15">
                  <c:v>76018</c:v>
                </c:pt>
                <c:pt idx="16">
                  <c:v>65293</c:v>
                </c:pt>
                <c:pt idx="17">
                  <c:v>54139</c:v>
                </c:pt>
                <c:pt idx="18">
                  <c:v>43441</c:v>
                </c:pt>
                <c:pt idx="19">
                  <c:v>34858</c:v>
                </c:pt>
                <c:pt idx="20">
                  <c:v>27533</c:v>
                </c:pt>
                <c:pt idx="21">
                  <c:v>20209</c:v>
                </c:pt>
                <c:pt idx="22">
                  <c:v>14196</c:v>
                </c:pt>
                <c:pt idx="23">
                  <c:v>7678</c:v>
                </c:pt>
                <c:pt idx="24">
                  <c:v>6455</c:v>
                </c:pt>
                <c:pt idx="25">
                  <c:v>252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Columna R</c:v>
                </c:pt>
              </c:strCache>
            </c:strRef>
          </c:tx>
          <c:spPr>
            <a:solidFill>
              <a:srgbClr val="ff420e"/>
            </a:solidFill>
            <a:ln w="28800">
              <a:noFill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numFmt formatCode="General" sourceLinked="1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26"/>
                <c:pt idx="0">
                  <c:v>25621.5591215811</c:v>
                </c:pt>
                <c:pt idx="1">
                  <c:v>65548.3320319887</c:v>
                </c:pt>
                <c:pt idx="2">
                  <c:v>89137.2573563175</c:v>
                </c:pt>
                <c:pt idx="3">
                  <c:v>109322.218058298</c:v>
                </c:pt>
                <c:pt idx="4">
                  <c:v>125573.636937235</c:v>
                </c:pt>
                <c:pt idx="5">
                  <c:v>138938.620893803</c:v>
                </c:pt>
                <c:pt idx="6">
                  <c:v>145851.871235312</c:v>
                </c:pt>
                <c:pt idx="7">
                  <c:v>146803.359985625</c:v>
                </c:pt>
                <c:pt idx="8">
                  <c:v>144844.173209227</c:v>
                </c:pt>
                <c:pt idx="9">
                  <c:v>138274.588890032</c:v>
                </c:pt>
                <c:pt idx="10">
                  <c:v>127143.366751541</c:v>
                </c:pt>
                <c:pt idx="11">
                  <c:v>114691.373124326</c:v>
                </c:pt>
                <c:pt idx="12">
                  <c:v>104486.601768354</c:v>
                </c:pt>
                <c:pt idx="13">
                  <c:v>95448.6881386079</c:v>
                </c:pt>
                <c:pt idx="14">
                  <c:v>86108.9234832289</c:v>
                </c:pt>
                <c:pt idx="15">
                  <c:v>75264.5203313082</c:v>
                </c:pt>
                <c:pt idx="16">
                  <c:v>64541.1443447407</c:v>
                </c:pt>
                <c:pt idx="17">
                  <c:v>53490.558381907</c:v>
                </c:pt>
                <c:pt idx="18">
                  <c:v>42982.2955256017</c:v>
                </c:pt>
                <c:pt idx="19">
                  <c:v>34465.1782666017</c:v>
                </c:pt>
                <c:pt idx="20">
                  <c:v>27163.3911716408</c:v>
                </c:pt>
                <c:pt idx="21">
                  <c:v>19950.5412140704</c:v>
                </c:pt>
                <c:pt idx="22">
                  <c:v>14010.2969288708</c:v>
                </c:pt>
                <c:pt idx="23">
                  <c:v>7719.2804940113</c:v>
                </c:pt>
                <c:pt idx="24">
                  <c:v>6298.93710336085</c:v>
                </c:pt>
                <c:pt idx="25">
                  <c:v>255.683429897377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58783453"/>
        <c:axId val="26063420"/>
      </c:lineChart>
      <c:catAx>
        <c:axId val="58783453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Número de bin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26063420"/>
        <c:crosses val="autoZero"/>
        <c:auto val="1"/>
        <c:lblAlgn val="ctr"/>
        <c:lblOffset val="100"/>
      </c:catAx>
      <c:valAx>
        <c:axId val="2606342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Eventos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58783453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102</Words>
  <Characters>541</Characters>
  <CharactersWithSpaces>641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2019-06-28T15:40:12Z</dcterms:created>
  <dc:creator/>
  <dc:description/>
  <dc:language>es-ES</dc:language>
  <cp:lastModifiedBy/>
  <dcterms:modified xsi:type="dcterms:W3CDTF">2019-06-28T16:02:47Z</dcterms:modified>
  <cp:revision>1</cp:revision>
  <dc:subject/>
  <dc:title/>
</cp:coreProperties>
</file>