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b/>
          <w:i w:val="0"/>
        </w:rPr>
        <w:t>LEY 2209 DE 2022</w:t>
      </w:r>
    </w:p>
    <w:p>
      <w:pPr>
        <w:spacing w:after="200"/>
        <w:jc w:val="center"/>
      </w:pPr>
      <w:r>
        <w:rPr>
          <w:b w:val="0"/>
          <w:i w:val="0"/>
        </w:rPr>
        <w:t>(Mayo 23)</w:t>
      </w:r>
    </w:p>
    <w:p>
      <w:pPr>
        <w:spacing w:after="280"/>
        <w:jc w:val="center"/>
      </w:pPr>
      <w:r>
        <w:rPr>
          <w:b/>
          <w:i w:val="0"/>
        </w:rPr>
        <w:t>“POR MEDIO DE LA CUAL SE MODIFICA EL ARTICULO 18 DE LA LEY 1010 DE 2006”</w:t>
      </w:r>
    </w:p>
    <w:p>
      <w:pPr>
        <w:spacing w:after="200"/>
        <w:jc w:val="center"/>
      </w:pPr>
      <w:r>
        <w:rPr>
          <w:b/>
          <w:i w:val="0"/>
        </w:rPr>
        <w:t>EL CONGRESO DE COLOMBIA</w:t>
      </w:r>
    </w:p>
    <w:p>
      <w:pPr>
        <w:spacing w:after="280"/>
        <w:jc w:val="center"/>
      </w:pPr>
      <w:r>
        <w:rPr>
          <w:b/>
          <w:i w:val="0"/>
        </w:rPr>
        <w:t>DECRETA:</w:t>
      </w:r>
    </w:p>
    <w:p>
      <w:pPr>
        <w:spacing w:after="200"/>
      </w:pPr>
      <w:r>
        <w:rPr>
          <w:b/>
        </w:rPr>
        <w:t>ARTICULO 1.</w:t>
      </w:r>
      <w:r>
        <w:t xml:space="preserve"> Modifíquese el artículo 18 de la Ley 1010 de 2006, el cual quedará así:</w:t>
      </w:r>
    </w:p>
    <w:p>
      <w:pPr>
        <w:spacing w:after="200"/>
      </w:pPr>
      <w:r>
        <w:rPr>
          <w:b/>
        </w:rPr>
        <w:t>ARTÍCULO 18. Caducidad.</w:t>
      </w:r>
      <w:r>
        <w:t xml:space="preserve"> Las acciones derivadas del acoso laboral caducarán en tres (3) años a partir de la fecha en que hayan ocurrido las conductas a que hace referencia esta Ley.</w:t>
      </w:r>
    </w:p>
    <w:p>
      <w:pPr>
        <w:spacing w:after="200"/>
      </w:pPr>
      <w:r>
        <w:rPr>
          <w:b/>
        </w:rPr>
        <w:t>ARTICULO 2.</w:t>
      </w:r>
      <w:r>
        <w:t xml:space="preserve"> La presente Iey rige a partir de la fecha de su promulgación.</w:t>
      </w:r>
    </w:p>
    <w:p>
      <w:pPr>
        <w:spacing w:after="60"/>
        <w:jc w:val="center"/>
      </w:pPr>
      <w:r>
        <w:rPr>
          <w:b/>
          <w:i w:val="0"/>
        </w:rPr>
        <w:t>EL PRESIDENTE DEL HONORABLE SENADO DE LA REPÚBLICA</w:t>
      </w:r>
    </w:p>
    <w:p>
      <w:pPr>
        <w:spacing w:after="240"/>
        <w:jc w:val="center"/>
      </w:pPr>
      <w:r>
        <w:rPr>
          <w:b w:val="0"/>
          <w:i w:val="0"/>
        </w:rPr>
        <w:t>JUAN DIEGO GÓMEZ JIMÉNEZ</w:t>
      </w:r>
    </w:p>
    <w:p>
      <w:pPr>
        <w:spacing w:after="60"/>
        <w:jc w:val="center"/>
      </w:pPr>
      <w:r>
        <w:rPr>
          <w:b/>
          <w:i w:val="0"/>
        </w:rPr>
        <w:t>EL SECRETARIO GENERAL DEL HONORABLE SENADO DE LA REPUBLICA</w:t>
      </w:r>
    </w:p>
    <w:p>
      <w:pPr>
        <w:spacing w:after="240"/>
        <w:jc w:val="center"/>
      </w:pPr>
      <w:r>
        <w:rPr>
          <w:b w:val="0"/>
          <w:i w:val="0"/>
        </w:rPr>
        <w:t>GREGORIO ELJACH PACHECO</w:t>
      </w:r>
    </w:p>
    <w:p>
      <w:pPr>
        <w:spacing w:after="60"/>
        <w:jc w:val="center"/>
      </w:pPr>
      <w:r>
        <w:rPr>
          <w:b/>
          <w:i w:val="0"/>
        </w:rPr>
        <w:t>LA PRESIDENTE DE LA HONORABLE CÁMARA DE REPRESENTANTES</w:t>
      </w:r>
    </w:p>
    <w:p>
      <w:pPr>
        <w:spacing w:after="240"/>
        <w:jc w:val="center"/>
      </w:pPr>
      <w:r>
        <w:rPr>
          <w:b w:val="0"/>
          <w:i w:val="0"/>
        </w:rPr>
        <w:t>JENNIFER KRISTIN ARIAS FALLA</w:t>
      </w:r>
    </w:p>
    <w:p>
      <w:pPr>
        <w:spacing w:after="60"/>
        <w:jc w:val="center"/>
      </w:pPr>
      <w:r>
        <w:rPr>
          <w:b/>
          <w:i w:val="0"/>
        </w:rPr>
        <w:t>EL SECRETARIO GENERAL DE LA HONORABLE CÁMARA DE REPRESENTANTES</w:t>
      </w:r>
    </w:p>
    <w:p>
      <w:pPr>
        <w:spacing w:after="240"/>
        <w:jc w:val="center"/>
      </w:pPr>
      <w:r>
        <w:rPr>
          <w:b w:val="0"/>
          <w:i w:val="0"/>
        </w:rPr>
        <w:t>JORGE HUMBERTO MANTILLA SERRANO</w:t>
      </w:r>
    </w:p>
    <w:p>
      <w:pPr>
        <w:spacing w:after="200"/>
        <w:jc w:val="center"/>
      </w:pPr>
      <w:r>
        <w:rPr>
          <w:b w:val="0"/>
          <w:i w:val="0"/>
        </w:rPr>
        <w:t>“POR MEDIO DE LA CUAL SE MODIFICA EL ARTICULO 18 DE LA LEY 1010 DE 2006”</w:t>
      </w:r>
    </w:p>
    <w:p>
      <w:pPr>
        <w:spacing w:after="180"/>
        <w:jc w:val="center"/>
      </w:pPr>
      <w:r>
        <w:rPr>
          <w:b/>
          <w:i w:val="0"/>
        </w:rPr>
        <w:t>REPÚBLICA DE COLOMBIA - GOBIERNO NACIONAL</w:t>
      </w:r>
    </w:p>
    <w:p>
      <w:pPr>
        <w:spacing w:after="240"/>
        <w:jc w:val="center"/>
      </w:pPr>
      <w:r>
        <w:rPr>
          <w:b/>
          <w:i w:val="0"/>
        </w:rPr>
        <w:t>PUBLÍQUESE Y CÚMPLASE</w:t>
      </w:r>
    </w:p>
    <w:p>
      <w:pPr>
        <w:spacing w:after="200"/>
        <w:jc w:val="center"/>
      </w:pPr>
      <w:r>
        <w:rPr>
          <w:b w:val="0"/>
          <w:i w:val="0"/>
        </w:rPr>
        <w:t>Dado en Bogotá D. C., a los 23 días de mayo de 2022</w:t>
      </w:r>
    </w:p>
    <w:p>
      <w:pPr>
        <w:spacing w:after="280"/>
      </w:pPr>
      <w:r>
        <w:rPr>
          <w:b w:val="0"/>
          <w:i w:val="0"/>
        </w:rPr>
        <w:t>El ministro del Interior de la República de Colombia, delegatario de funciones presidenciales, en virtud del Decreto 803 del 16 de mayo de 2022.</w:t>
      </w:r>
    </w:p>
    <w:p>
      <w:pPr>
        <w:spacing w:after="60"/>
        <w:jc w:val="center"/>
      </w:pPr>
      <w:r>
        <w:rPr>
          <w:b/>
          <w:i w:val="0"/>
        </w:rPr>
        <w:t>EL MINISTRO DEL INTERIOR</w:t>
      </w:r>
    </w:p>
    <w:p>
      <w:pPr>
        <w:spacing w:after="240"/>
        <w:jc w:val="center"/>
      </w:pPr>
      <w:r>
        <w:rPr>
          <w:b w:val="0"/>
          <w:i w:val="0"/>
        </w:rPr>
        <w:t>DANIEL ANDRÉS PALACIOS MARTÍNEZ</w:t>
      </w:r>
    </w:p>
    <w:p>
      <w:pPr>
        <w:spacing w:after="60"/>
        <w:jc w:val="center"/>
      </w:pPr>
      <w:r>
        <w:rPr>
          <w:b/>
          <w:i w:val="0"/>
        </w:rPr>
        <w:t>EL MINISTRO DE JUSTICIA Y DEL DERECHO,</w:t>
      </w:r>
    </w:p>
    <w:p>
      <w:pPr>
        <w:spacing w:after="240"/>
        <w:jc w:val="center"/>
      </w:pPr>
      <w:r>
        <w:rPr>
          <w:b w:val="0"/>
          <w:i w:val="0"/>
        </w:rPr>
        <w:t>WILSON RUÍZ OREJUELA</w:t>
      </w:r>
    </w:p>
    <w:p>
      <w:pPr>
        <w:spacing w:after="60"/>
        <w:jc w:val="center"/>
      </w:pPr>
      <w:r>
        <w:rPr>
          <w:b/>
          <w:i w:val="0"/>
        </w:rPr>
        <w:t>EL DIRECTOR DEL DEPARTAMENTO ADMINISTRATIVO DE LA FUNCIÓN PÚBLICA,</w:t>
      </w:r>
    </w:p>
    <w:p>
      <w:pPr>
        <w:spacing w:after="240"/>
        <w:jc w:val="center"/>
      </w:pPr>
      <w:r>
        <w:rPr>
          <w:b w:val="0"/>
          <w:i w:val="0"/>
        </w:rPr>
        <w:t>NERIO JOSÉ ALVIS BARRANCO</w:t>
      </w:r>
    </w:p>
    <w:sectPr w:rsidR="00FC693F" w:rsidRPr="0006063C" w:rsidSect="00034616">
      <w:pgSz w:w="12240" w:h="15840"/>
      <w:pgMar w:top="1304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