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EE58" w14:textId="77777777" w:rsidR="00FD6CD7" w:rsidRPr="00DB56E5" w:rsidRDefault="00FD6CD7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outlineLvl w:val="0"/>
        <w:rPr>
          <w:rFonts w:eastAsiaTheme="majorEastAsia"/>
          <w:spacing w:val="5"/>
          <w:kern w:val="28"/>
          <w:sz w:val="52"/>
          <w:szCs w:val="52"/>
          <w:lang w:val="es-ES" w:eastAsia="es-ES"/>
        </w:rPr>
      </w:pPr>
      <w:r w:rsidRPr="00DB56E5">
        <w:rPr>
          <w:rFonts w:eastAsiaTheme="majorEastAsia"/>
          <w:spacing w:val="5"/>
          <w:kern w:val="28"/>
          <w:sz w:val="52"/>
          <w:szCs w:val="52"/>
          <w:lang w:val="es-ES" w:eastAsia="es-ES"/>
        </w:rPr>
        <w:t>Universidad de Buenos Aires</w:t>
      </w:r>
    </w:p>
    <w:p w14:paraId="79FD9A7B" w14:textId="77777777" w:rsidR="00FD6CD7" w:rsidRPr="00DB56E5" w:rsidRDefault="00FD6CD7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eastAsiaTheme="majorEastAsia"/>
          <w:spacing w:val="5"/>
          <w:kern w:val="28"/>
          <w:sz w:val="52"/>
          <w:szCs w:val="52"/>
          <w:lang w:val="es-ES" w:eastAsia="es-ES"/>
        </w:rPr>
      </w:pPr>
      <w:r w:rsidRPr="00DB56E5">
        <w:rPr>
          <w:rFonts w:eastAsiaTheme="majorEastAsia"/>
          <w:spacing w:val="5"/>
          <w:kern w:val="28"/>
          <w:sz w:val="52"/>
          <w:szCs w:val="52"/>
          <w:lang w:val="es-ES" w:eastAsia="es-ES"/>
        </w:rPr>
        <w:t>Facultad de Ciencias Económicas</w:t>
      </w:r>
    </w:p>
    <w:p w14:paraId="111C4BD6" w14:textId="77777777" w:rsidR="00FD6CD7" w:rsidRPr="00DB56E5" w:rsidRDefault="00FD6CD7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eastAsiaTheme="majorEastAsia"/>
          <w:spacing w:val="5"/>
          <w:kern w:val="28"/>
          <w:sz w:val="52"/>
          <w:szCs w:val="52"/>
          <w:lang w:val="es-ES" w:eastAsia="es-ES"/>
        </w:rPr>
      </w:pPr>
      <w:r w:rsidRPr="00DB56E5">
        <w:rPr>
          <w:rFonts w:eastAsiaTheme="majorEastAsia"/>
          <w:spacing w:val="5"/>
          <w:kern w:val="28"/>
          <w:sz w:val="52"/>
          <w:szCs w:val="52"/>
          <w:lang w:val="es-ES" w:eastAsia="es-ES"/>
        </w:rPr>
        <w:t>Escuela de Estudios de Posgrado</w:t>
      </w:r>
    </w:p>
    <w:p w14:paraId="0595FAA2" w14:textId="77777777" w:rsidR="00FD6CD7" w:rsidRPr="00DB56E5" w:rsidRDefault="00FD6CD7" w:rsidP="00FD6CD7">
      <w:pPr>
        <w:spacing w:line="240" w:lineRule="auto"/>
        <w:rPr>
          <w:lang w:val="es-ES" w:eastAsia="es-ES"/>
        </w:rPr>
      </w:pPr>
    </w:p>
    <w:p w14:paraId="65BCBA91" w14:textId="77777777" w:rsidR="00FD6CD7" w:rsidRPr="00295294" w:rsidRDefault="00FD6CD7" w:rsidP="00FD6CD7">
      <w:pPr>
        <w:spacing w:line="240" w:lineRule="auto"/>
        <w:rPr>
          <w:lang w:val="es-ES" w:eastAsia="es-ES"/>
        </w:rPr>
      </w:pPr>
    </w:p>
    <w:p w14:paraId="144E42D7" w14:textId="77777777" w:rsidR="00FD6CD7" w:rsidRPr="00295294" w:rsidRDefault="00FD6CD7" w:rsidP="00FD6CD7">
      <w:pPr>
        <w:spacing w:line="240" w:lineRule="auto"/>
        <w:rPr>
          <w:lang w:val="es-ES" w:eastAsia="es-ES"/>
        </w:rPr>
      </w:pPr>
    </w:p>
    <w:p w14:paraId="1E149930" w14:textId="0FE105D6" w:rsidR="00FD6CD7" w:rsidRPr="00DB56E5" w:rsidRDefault="00DA59B3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eastAsiaTheme="majorEastAsia"/>
          <w:bCs/>
          <w:smallCaps/>
          <w:spacing w:val="5"/>
          <w:kern w:val="28"/>
          <w:sz w:val="40"/>
          <w:szCs w:val="40"/>
          <w:lang w:val="es-ES" w:eastAsia="es-ES"/>
        </w:rPr>
      </w:pPr>
      <w:r>
        <w:rPr>
          <w:rFonts w:eastAsiaTheme="majorEastAsia"/>
          <w:bCs/>
          <w:smallCaps/>
          <w:spacing w:val="5"/>
          <w:kern w:val="28"/>
          <w:sz w:val="40"/>
          <w:szCs w:val="40"/>
          <w:lang w:val="es-ES" w:eastAsia="es-ES"/>
        </w:rPr>
        <w:t>Trabajo Práctico 3 – Taller de Programación</w:t>
      </w:r>
    </w:p>
    <w:p w14:paraId="174588D4" w14:textId="77777777" w:rsidR="00FD6CD7" w:rsidRPr="00DA59B3" w:rsidRDefault="00FD6CD7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eastAsiaTheme="majorEastAsia"/>
          <w:bCs/>
          <w:smallCaps/>
          <w:spacing w:val="5"/>
          <w:kern w:val="28"/>
          <w:sz w:val="44"/>
          <w:szCs w:val="44"/>
          <w:lang w:val="es-CL" w:eastAsia="es-ES"/>
        </w:rPr>
      </w:pPr>
    </w:p>
    <w:p w14:paraId="619EDDF1" w14:textId="715E68D4" w:rsidR="00FD6CD7" w:rsidRPr="009B4D3E" w:rsidRDefault="00FD6CD7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outlineLvl w:val="0"/>
        <w:rPr>
          <w:rFonts w:eastAsiaTheme="majorEastAsia"/>
          <w:bCs/>
          <w:smallCaps/>
          <w:spacing w:val="5"/>
          <w:kern w:val="28"/>
          <w:sz w:val="28"/>
          <w:szCs w:val="28"/>
          <w:lang w:val="es-ES" w:eastAsia="es-ES"/>
        </w:rPr>
      </w:pPr>
      <w:r w:rsidRPr="009B4D3E">
        <w:rPr>
          <w:rFonts w:eastAsiaTheme="majorEastAsia"/>
          <w:bCs/>
          <w:smallCaps/>
          <w:spacing w:val="5"/>
          <w:kern w:val="28"/>
          <w:sz w:val="28"/>
          <w:szCs w:val="28"/>
          <w:lang w:val="es-ES" w:eastAsia="es-ES"/>
        </w:rPr>
        <w:t xml:space="preserve">Docente a cargo: Prof. </w:t>
      </w:r>
      <w:r w:rsidR="00DA59B3">
        <w:rPr>
          <w:bCs/>
          <w:smallCaps/>
          <w:spacing w:val="5"/>
          <w:sz w:val="28"/>
          <w:szCs w:val="28"/>
          <w:lang w:val="es-ES" w:eastAsia="es-ES"/>
        </w:rPr>
        <w:t>Noelia Romero</w:t>
      </w:r>
    </w:p>
    <w:p w14:paraId="26B557D8" w14:textId="77777777" w:rsidR="00FD6CD7" w:rsidRPr="00295294" w:rsidRDefault="00FD6CD7" w:rsidP="00FD6CD7">
      <w:pPr>
        <w:numPr>
          <w:ilvl w:val="1"/>
          <w:numId w:val="0"/>
        </w:numPr>
        <w:spacing w:line="240" w:lineRule="auto"/>
        <w:rPr>
          <w:rFonts w:asciiTheme="majorHAnsi" w:eastAsiaTheme="majorEastAsia" w:hAnsiTheme="majorHAnsi" w:cstheme="majorBidi"/>
          <w:iCs/>
          <w:spacing w:val="15"/>
          <w:lang w:val="es-ES" w:eastAsia="es-ES"/>
        </w:rPr>
      </w:pPr>
    </w:p>
    <w:p w14:paraId="15F7C586" w14:textId="77777777" w:rsidR="00FD6CD7" w:rsidRPr="00DA59B3" w:rsidRDefault="00FD6CD7" w:rsidP="00DA59B3">
      <w:pPr>
        <w:spacing w:line="240" w:lineRule="auto"/>
        <w:jc w:val="center"/>
        <w:rPr>
          <w:color w:val="17365D" w:themeColor="text2" w:themeShade="BF"/>
          <w:spacing w:val="5"/>
          <w:kern w:val="28"/>
          <w:sz w:val="40"/>
          <w:szCs w:val="40"/>
          <w:lang w:val="es-ES" w:eastAsia="es-ES"/>
        </w:rPr>
      </w:pPr>
    </w:p>
    <w:p w14:paraId="5D61672A" w14:textId="1442F9E4" w:rsidR="00FD6CD7" w:rsidRPr="00D54C73" w:rsidRDefault="00DA59B3" w:rsidP="00DA59B3">
      <w:pPr>
        <w:spacing w:line="240" w:lineRule="auto"/>
        <w:jc w:val="center"/>
        <w:rPr>
          <w:lang w:val="es-ES" w:eastAsia="es-ES"/>
        </w:rPr>
      </w:pPr>
      <w:r w:rsidRPr="00DA59B3">
        <w:rPr>
          <w:color w:val="17365D" w:themeColor="text2" w:themeShade="BF"/>
          <w:spacing w:val="5"/>
          <w:kern w:val="28"/>
          <w:sz w:val="40"/>
          <w:szCs w:val="40"/>
          <w:lang w:val="es-ES" w:eastAsia="es-ES"/>
        </w:rPr>
        <w:t>Análisis Descriptivo y Predicción de Desocupación</w:t>
      </w:r>
    </w:p>
    <w:p w14:paraId="7CBFAD04" w14:textId="77777777" w:rsidR="00FD6CD7" w:rsidRPr="00D54C73" w:rsidRDefault="00FD6CD7" w:rsidP="00FD6CD7">
      <w:pPr>
        <w:spacing w:line="240" w:lineRule="auto"/>
        <w:rPr>
          <w:lang w:val="es-ES" w:eastAsia="es-ES"/>
        </w:rPr>
      </w:pPr>
    </w:p>
    <w:p w14:paraId="605D6ED5" w14:textId="77777777" w:rsidR="00FD6CD7" w:rsidRPr="00D54C73" w:rsidRDefault="00FD6CD7" w:rsidP="00FD6CD7">
      <w:pPr>
        <w:spacing w:line="240" w:lineRule="auto"/>
        <w:rPr>
          <w:b/>
          <w:bCs/>
          <w:smallCaps/>
          <w:spacing w:val="5"/>
          <w:lang w:val="es-ES" w:eastAsia="es-ES"/>
        </w:rPr>
      </w:pPr>
    </w:p>
    <w:p w14:paraId="7B71CF4C" w14:textId="610E77C7" w:rsidR="00FD6CD7" w:rsidRPr="00D54C73" w:rsidRDefault="00FD6CD7" w:rsidP="00DA59B3">
      <w:pPr>
        <w:spacing w:line="240" w:lineRule="auto"/>
        <w:outlineLvl w:val="0"/>
        <w:rPr>
          <w:bCs/>
          <w:smallCaps/>
          <w:spacing w:val="5"/>
          <w:sz w:val="28"/>
          <w:szCs w:val="28"/>
          <w:lang w:val="es-ES" w:eastAsia="es-ES"/>
        </w:rPr>
      </w:pPr>
      <w:r>
        <w:rPr>
          <w:bCs/>
          <w:smallCaps/>
          <w:spacing w:val="5"/>
          <w:sz w:val="28"/>
          <w:szCs w:val="28"/>
          <w:lang w:val="es-ES" w:eastAsia="es-ES"/>
        </w:rPr>
        <w:t>Alumno</w:t>
      </w:r>
      <w:r w:rsidRPr="00D54C73">
        <w:rPr>
          <w:bCs/>
          <w:smallCaps/>
          <w:spacing w:val="5"/>
          <w:sz w:val="28"/>
          <w:szCs w:val="28"/>
          <w:lang w:val="es-ES" w:eastAsia="es-ES"/>
        </w:rPr>
        <w:t xml:space="preserve">: </w:t>
      </w:r>
      <w:r w:rsidR="00DA59B3">
        <w:rPr>
          <w:bCs/>
          <w:smallCaps/>
          <w:spacing w:val="5"/>
          <w:sz w:val="28"/>
          <w:szCs w:val="28"/>
          <w:lang w:val="es-ES" w:eastAsia="es-ES"/>
        </w:rPr>
        <w:t xml:space="preserve">Juan Ignacio Núñez, Agustín Menéndez, </w:t>
      </w:r>
      <w:r>
        <w:rPr>
          <w:bCs/>
          <w:smallCaps/>
          <w:spacing w:val="5"/>
          <w:sz w:val="28"/>
          <w:szCs w:val="28"/>
          <w:lang w:val="es-ES" w:eastAsia="es-ES"/>
        </w:rPr>
        <w:t xml:space="preserve">Jorge Jiménez </w:t>
      </w:r>
    </w:p>
    <w:p w14:paraId="582A825B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71D7BEB0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  <w:r>
        <w:rPr>
          <w:bCs/>
          <w:smallCaps/>
          <w:spacing w:val="5"/>
          <w:sz w:val="28"/>
          <w:szCs w:val="28"/>
          <w:lang w:val="es-ES" w:eastAsia="es-ES"/>
        </w:rPr>
        <w:t>Posgrado: Maestría en Economía Aplicada</w:t>
      </w:r>
    </w:p>
    <w:p w14:paraId="7CBB59C6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3A6FFA3D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74DFD2FE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49AE5C80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411F68A7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6CFE9373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7D6B993C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23E299BF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4730ED1B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3B0511E8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4C8CB6BD" w14:textId="77777777" w:rsidR="00FD6CD7" w:rsidRPr="00D54C73" w:rsidRDefault="00FD6CD7" w:rsidP="00FD6CD7">
      <w:pPr>
        <w:spacing w:line="240" w:lineRule="auto"/>
        <w:rPr>
          <w:bCs/>
          <w:smallCaps/>
          <w:spacing w:val="5"/>
          <w:sz w:val="28"/>
          <w:szCs w:val="28"/>
          <w:lang w:val="es-ES" w:eastAsia="es-ES"/>
        </w:rPr>
      </w:pPr>
    </w:p>
    <w:p w14:paraId="4D4B591C" w14:textId="35929799" w:rsidR="00FD6CD7" w:rsidRDefault="00660816" w:rsidP="00FD6CD7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eastAsiaTheme="majorEastAsia"/>
          <w:bCs/>
          <w:smallCaps/>
          <w:spacing w:val="5"/>
          <w:kern w:val="28"/>
          <w:lang w:val="es-ES" w:eastAsia="es-ES"/>
        </w:rPr>
        <w:sectPr w:rsidR="00FD6CD7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rFonts w:eastAsiaTheme="majorEastAsia"/>
          <w:bCs/>
          <w:smallCaps/>
          <w:spacing w:val="5"/>
          <w:kern w:val="28"/>
          <w:lang w:val="es-ES" w:eastAsia="es-ES"/>
        </w:rPr>
        <w:t>02</w:t>
      </w:r>
      <w:r w:rsidR="00FD6CD7">
        <w:rPr>
          <w:rFonts w:eastAsiaTheme="majorEastAsia"/>
          <w:bCs/>
          <w:smallCaps/>
          <w:spacing w:val="5"/>
          <w:kern w:val="28"/>
          <w:lang w:val="es-ES" w:eastAsia="es-ES"/>
        </w:rPr>
        <w:t>-</w:t>
      </w:r>
      <w:r>
        <w:rPr>
          <w:rFonts w:eastAsiaTheme="majorEastAsia"/>
          <w:bCs/>
          <w:smallCaps/>
          <w:spacing w:val="5"/>
          <w:kern w:val="28"/>
          <w:lang w:val="es-ES" w:eastAsia="es-ES"/>
        </w:rPr>
        <w:t>12</w:t>
      </w:r>
      <w:r w:rsidR="00FD6CD7">
        <w:rPr>
          <w:rFonts w:eastAsiaTheme="majorEastAsia"/>
          <w:bCs/>
          <w:smallCaps/>
          <w:spacing w:val="5"/>
          <w:kern w:val="28"/>
          <w:lang w:val="es-ES" w:eastAsia="es-ES"/>
        </w:rPr>
        <w:t>-202</w:t>
      </w:r>
      <w:r>
        <w:rPr>
          <w:rFonts w:eastAsiaTheme="majorEastAsia"/>
          <w:bCs/>
          <w:smallCaps/>
          <w:spacing w:val="5"/>
          <w:kern w:val="28"/>
          <w:lang w:val="es-ES" w:eastAsia="es-ES"/>
        </w:rPr>
        <w:t>4</w:t>
      </w:r>
    </w:p>
    <w:p w14:paraId="4DD1B12D" w14:textId="77777777" w:rsidR="00DC73CD" w:rsidRDefault="002A7F15" w:rsidP="006318FA">
      <w:pPr>
        <w:ind w:firstLine="0"/>
        <w:rPr>
          <w:b/>
          <w:bCs/>
          <w:lang w:val="es-AR"/>
        </w:rPr>
      </w:pPr>
      <w:r w:rsidRPr="00DA4FAB">
        <w:rPr>
          <w:b/>
          <w:bCs/>
          <w:lang w:val="es-AR"/>
        </w:rPr>
        <w:lastRenderedPageBreak/>
        <w:t>Introducción</w:t>
      </w:r>
    </w:p>
    <w:p w14:paraId="38AC8B1C" w14:textId="2C9CF5E4" w:rsidR="00306915" w:rsidRDefault="00BE0BF9" w:rsidP="002479F8">
      <w:pPr>
        <w:ind w:firstLine="0"/>
        <w:rPr>
          <w:lang w:val="es-CL"/>
        </w:rPr>
      </w:pPr>
      <w:r w:rsidRPr="00BE0BF9">
        <w:rPr>
          <w:lang w:val="es-CL"/>
        </w:rPr>
        <w:t xml:space="preserve">El presente trabajo tiene como objetivo predecir la condición de desocupación de individuos utilizando modelos de clasificación aplicados a datos de características individuales. Para ello, se analizaron dos bases de datos correspondientes a los años 2004 y 2024, empleando técnicas como Regresión Logística, Análisis Discriminante Lineal, KNN y </w:t>
      </w:r>
      <w:proofErr w:type="spellStart"/>
      <w:r w:rsidRPr="00BE0BF9">
        <w:rPr>
          <w:lang w:val="es-CL"/>
        </w:rPr>
        <w:t>Naive</w:t>
      </w:r>
      <w:proofErr w:type="spellEnd"/>
      <w:r w:rsidRPr="00BE0BF9">
        <w:rPr>
          <w:lang w:val="es-CL"/>
        </w:rPr>
        <w:t xml:space="preserve"> Bayes. Se evaluaron estos modelos mediante métricas de desempeño (matriz de confusión, AUC-ROC y </w:t>
      </w:r>
      <w:proofErr w:type="spellStart"/>
      <w:r w:rsidRPr="00BE0BF9">
        <w:rPr>
          <w:lang w:val="es-CL"/>
        </w:rPr>
        <w:t>Accuracy</w:t>
      </w:r>
      <w:proofErr w:type="spellEnd"/>
      <w:r w:rsidRPr="00BE0BF9">
        <w:rPr>
          <w:lang w:val="es-CL"/>
        </w:rPr>
        <w:t>), comparando sus resultados entre ambos periodos. Finalmente, se realizó una predicción sobre una base sin etiquetas (</w:t>
      </w:r>
      <w:proofErr w:type="spellStart"/>
      <w:r w:rsidRPr="00BE0BF9">
        <w:rPr>
          <w:rStyle w:val="CdigoHTML"/>
          <w:lang w:val="es-CL"/>
        </w:rPr>
        <w:t>norespondieron</w:t>
      </w:r>
      <w:proofErr w:type="spellEnd"/>
      <w:r w:rsidRPr="00BE0BF9">
        <w:rPr>
          <w:lang w:val="es-CL"/>
        </w:rPr>
        <w:t>), permitiendo reflexionar sobre los alcances y limitaciones de los modelos utilizados.</w:t>
      </w:r>
    </w:p>
    <w:p w14:paraId="1C91F808" w14:textId="77777777" w:rsidR="00BE0BF9" w:rsidRPr="00BE0BF9" w:rsidRDefault="00BE0BF9" w:rsidP="002479F8">
      <w:pPr>
        <w:ind w:firstLine="0"/>
        <w:rPr>
          <w:lang w:val="es-CL"/>
        </w:rPr>
      </w:pPr>
    </w:p>
    <w:p w14:paraId="27DD3E69" w14:textId="218066BB" w:rsidR="00306915" w:rsidRPr="00306915" w:rsidRDefault="00306915" w:rsidP="00306915">
      <w:pPr>
        <w:pStyle w:val="Ttulo3"/>
        <w:rPr>
          <w:lang w:val="es-CL"/>
        </w:rPr>
      </w:pPr>
      <w:r w:rsidRPr="00306915">
        <w:rPr>
          <w:lang w:val="es-CL"/>
        </w:rPr>
        <w:t>Parte I: Análisis de la Base</w:t>
      </w:r>
    </w:p>
    <w:p w14:paraId="6DAFFF6F" w14:textId="77777777" w:rsidR="00306915" w:rsidRPr="00306915" w:rsidRDefault="00306915" w:rsidP="00306915">
      <w:pPr>
        <w:pStyle w:val="Ttulo4"/>
        <w:rPr>
          <w:lang w:val="es-CL"/>
        </w:rPr>
      </w:pPr>
      <w:r w:rsidRPr="00306915">
        <w:rPr>
          <w:rStyle w:val="Textoennegrita"/>
          <w:b/>
          <w:bCs w:val="0"/>
          <w:lang w:val="es-CL"/>
        </w:rPr>
        <w:t>1. Descripción de la Encuesta Permanente de Hogares (EPH)</w:t>
      </w:r>
    </w:p>
    <w:p w14:paraId="268BF640" w14:textId="77777777" w:rsidR="0050615F" w:rsidRPr="0050615F" w:rsidRDefault="0050615F" w:rsidP="0050615F">
      <w:pPr>
        <w:spacing w:before="100" w:beforeAutospacing="1" w:after="100" w:afterAutospacing="1" w:line="240" w:lineRule="auto"/>
        <w:ind w:firstLine="0"/>
        <w:rPr>
          <w:lang w:val="es-CL" w:eastAsia="es-CL"/>
        </w:rPr>
      </w:pPr>
      <w:r w:rsidRPr="0050615F">
        <w:rPr>
          <w:lang w:val="es-CL" w:eastAsia="es-CL"/>
        </w:rPr>
        <w:t xml:space="preserve">La </w:t>
      </w:r>
      <w:r w:rsidRPr="0050615F">
        <w:rPr>
          <w:b/>
          <w:bCs/>
          <w:lang w:val="es-CL" w:eastAsia="es-CL"/>
        </w:rPr>
        <w:t>Encuesta Permanente de Hogares (EPH)</w:t>
      </w:r>
      <w:r w:rsidRPr="0050615F">
        <w:rPr>
          <w:lang w:val="es-CL" w:eastAsia="es-CL"/>
        </w:rPr>
        <w:t xml:space="preserve"> es un programa nacional implementado por el Instituto Nacional de Estadística y Censos (INDEC), diseñado para recolectar datos socioeconómicos y demográficos representativos de los hogares y las personas en diferentes regiones del país. Su principal objetivo es proporcionar información estadística confiable para el análisis de las características laborales y sociales de la población, con un enfoque en indicadores clave como la tasa de desocupación.</w:t>
      </w:r>
    </w:p>
    <w:p w14:paraId="6272AD12" w14:textId="77777777" w:rsidR="0050615F" w:rsidRPr="0050615F" w:rsidRDefault="0050615F" w:rsidP="0050615F">
      <w:pPr>
        <w:spacing w:before="100" w:beforeAutospacing="1" w:after="100" w:afterAutospacing="1" w:line="240" w:lineRule="auto"/>
        <w:ind w:firstLine="0"/>
        <w:rPr>
          <w:lang w:val="es-CL" w:eastAsia="es-CL"/>
        </w:rPr>
      </w:pPr>
      <w:r w:rsidRPr="0050615F">
        <w:rPr>
          <w:lang w:val="es-CL" w:eastAsia="es-CL"/>
        </w:rPr>
        <w:t>La identificación de las personas desocupadas se realiza siguiendo la metodología definida por el INDEC, la cual considera a toda persona que:</w:t>
      </w:r>
    </w:p>
    <w:p w14:paraId="646671BD" w14:textId="77777777" w:rsidR="0050615F" w:rsidRPr="0050615F" w:rsidRDefault="0050615F" w:rsidP="006D370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CL" w:eastAsia="es-CL"/>
        </w:rPr>
      </w:pPr>
      <w:r w:rsidRPr="0050615F">
        <w:rPr>
          <w:b/>
          <w:bCs/>
          <w:lang w:val="es-CL" w:eastAsia="es-CL"/>
        </w:rPr>
        <w:t>No trabaja</w:t>
      </w:r>
      <w:r w:rsidRPr="0050615F">
        <w:rPr>
          <w:lang w:val="es-CL" w:eastAsia="es-CL"/>
        </w:rPr>
        <w:t xml:space="preserve"> durante el período de referencia.</w:t>
      </w:r>
    </w:p>
    <w:p w14:paraId="49265692" w14:textId="77777777" w:rsidR="0050615F" w:rsidRPr="0050615F" w:rsidRDefault="0050615F" w:rsidP="006D370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CL" w:eastAsia="es-CL"/>
        </w:rPr>
      </w:pPr>
      <w:r w:rsidRPr="0050615F">
        <w:rPr>
          <w:b/>
          <w:bCs/>
          <w:lang w:val="es-CL" w:eastAsia="es-CL"/>
        </w:rPr>
        <w:t>Está disponible</w:t>
      </w:r>
      <w:r w:rsidRPr="0050615F">
        <w:rPr>
          <w:lang w:val="es-CL" w:eastAsia="es-CL"/>
        </w:rPr>
        <w:t xml:space="preserve"> para comenzar a trabajar de inmediato.</w:t>
      </w:r>
    </w:p>
    <w:p w14:paraId="5ED402FE" w14:textId="77777777" w:rsidR="0050615F" w:rsidRPr="0050615F" w:rsidRDefault="0050615F" w:rsidP="006D370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CL" w:eastAsia="es-CL"/>
        </w:rPr>
      </w:pPr>
      <w:r w:rsidRPr="0050615F">
        <w:rPr>
          <w:b/>
          <w:bCs/>
          <w:lang w:val="es-CL" w:eastAsia="es-CL"/>
        </w:rPr>
        <w:t>Realiza activamente esfuerzos</w:t>
      </w:r>
      <w:r w:rsidRPr="0050615F">
        <w:rPr>
          <w:lang w:val="es-CL" w:eastAsia="es-CL"/>
        </w:rPr>
        <w:t xml:space="preserve"> por conseguir empleo en un periodo reciente.</w:t>
      </w:r>
    </w:p>
    <w:p w14:paraId="0683AFF4" w14:textId="77777777" w:rsidR="0050615F" w:rsidRPr="0050615F" w:rsidRDefault="0050615F" w:rsidP="0050615F">
      <w:pPr>
        <w:spacing w:before="100" w:beforeAutospacing="1" w:after="100" w:afterAutospacing="1" w:line="240" w:lineRule="auto"/>
        <w:ind w:firstLine="0"/>
        <w:rPr>
          <w:lang w:val="es-CL" w:eastAsia="es-CL"/>
        </w:rPr>
      </w:pPr>
      <w:r w:rsidRPr="0050615F">
        <w:rPr>
          <w:lang w:val="es-CL" w:eastAsia="es-CL"/>
        </w:rPr>
        <w:t xml:space="preserve">El diseño de las bases de datos de la EPH permite analizar estas condiciones a partir de registros individuales y de hogar, donde cada observación está asociada a identificadores únicos como el </w:t>
      </w:r>
      <w:r w:rsidRPr="0050615F">
        <w:rPr>
          <w:b/>
          <w:bCs/>
          <w:lang w:val="es-CL" w:eastAsia="es-CL"/>
        </w:rPr>
        <w:t>CODUSU</w:t>
      </w:r>
      <w:r w:rsidRPr="0050615F">
        <w:rPr>
          <w:lang w:val="es-CL" w:eastAsia="es-CL"/>
        </w:rPr>
        <w:t xml:space="preserve"> (código del hogar) y el </w:t>
      </w:r>
      <w:r w:rsidRPr="0050615F">
        <w:rPr>
          <w:b/>
          <w:bCs/>
          <w:lang w:val="es-CL" w:eastAsia="es-CL"/>
        </w:rPr>
        <w:t>COMPONENTE</w:t>
      </w:r>
      <w:r w:rsidRPr="0050615F">
        <w:rPr>
          <w:lang w:val="es-CL" w:eastAsia="es-CL"/>
        </w:rPr>
        <w:t xml:space="preserve"> (miembro específico del hogar). Estas bases están estructuradas en torno a cuestionarios aplicados trimestralmente, lo que permite monitorear dinámicas temporales en el mercado laboral.</w:t>
      </w:r>
    </w:p>
    <w:p w14:paraId="0501E9C7" w14:textId="77777777" w:rsidR="0050615F" w:rsidRPr="0050615F" w:rsidRDefault="0050615F" w:rsidP="0050615F">
      <w:pPr>
        <w:spacing w:before="100" w:beforeAutospacing="1" w:after="100" w:afterAutospacing="1" w:line="240" w:lineRule="auto"/>
        <w:ind w:firstLine="0"/>
        <w:rPr>
          <w:lang w:val="es-CL" w:eastAsia="es-CL"/>
        </w:rPr>
      </w:pPr>
      <w:r w:rsidRPr="0050615F">
        <w:rPr>
          <w:lang w:val="es-CL" w:eastAsia="es-CL"/>
        </w:rPr>
        <w:t>Adicionalmente, el INDEC pone a disposición los microdatos y documentos metodológicos de la EPH, como el "Diseño de registro y estructura para las bases preliminares" y las especificaciones de "Ponderación de la muestra", los cuales detallan las variables y procedimientos utilizados para la generación de esta información.</w:t>
      </w:r>
    </w:p>
    <w:p w14:paraId="0DAC33B7" w14:textId="77777777" w:rsidR="0050615F" w:rsidRPr="00306915" w:rsidRDefault="0050615F" w:rsidP="0050615F">
      <w:pPr>
        <w:spacing w:before="100" w:beforeAutospacing="1" w:after="100" w:afterAutospacing="1" w:line="240" w:lineRule="auto"/>
        <w:rPr>
          <w:lang w:val="es-CL"/>
        </w:rPr>
      </w:pPr>
    </w:p>
    <w:p w14:paraId="27FBF978" w14:textId="77777777" w:rsidR="00306915" w:rsidRPr="00306915" w:rsidRDefault="00306915" w:rsidP="00306915">
      <w:pPr>
        <w:pStyle w:val="Ttulo4"/>
        <w:rPr>
          <w:lang w:val="es-CL"/>
        </w:rPr>
      </w:pPr>
      <w:r w:rsidRPr="00306915">
        <w:rPr>
          <w:rStyle w:val="Textoennegrita"/>
          <w:b/>
          <w:bCs w:val="0"/>
          <w:lang w:val="es-CL"/>
        </w:rPr>
        <w:t>2. Procesamiento de la Base de Datos</w:t>
      </w:r>
    </w:p>
    <w:p w14:paraId="46047F48" w14:textId="77777777" w:rsidR="00F60185" w:rsidRDefault="00F60185" w:rsidP="00F60185">
      <w:pPr>
        <w:pStyle w:val="Ttulo4"/>
      </w:pPr>
      <w:r>
        <w:rPr>
          <w:rStyle w:val="Textoennegrita"/>
          <w:b/>
          <w:bCs w:val="0"/>
        </w:rPr>
        <w:t xml:space="preserve">a. </w:t>
      </w:r>
      <w:proofErr w:type="spellStart"/>
      <w:r>
        <w:rPr>
          <w:rStyle w:val="Textoennegrita"/>
          <w:b/>
          <w:bCs w:val="0"/>
        </w:rPr>
        <w:t>Filtrado</w:t>
      </w:r>
      <w:proofErr w:type="spellEnd"/>
      <w:r>
        <w:rPr>
          <w:rStyle w:val="Textoennegrita"/>
          <w:b/>
          <w:bCs w:val="0"/>
        </w:rPr>
        <w:t xml:space="preserve"> de </w:t>
      </w:r>
      <w:proofErr w:type="spellStart"/>
      <w:r>
        <w:rPr>
          <w:rStyle w:val="Textoennegrita"/>
          <w:b/>
          <w:bCs w:val="0"/>
        </w:rPr>
        <w:t>Observaciones</w:t>
      </w:r>
      <w:proofErr w:type="spellEnd"/>
    </w:p>
    <w:p w14:paraId="3593BE14" w14:textId="77777777" w:rsidR="00F60185" w:rsidRDefault="00F60185" w:rsidP="006D3709">
      <w:pPr>
        <w:pStyle w:val="NormalWeb"/>
        <w:numPr>
          <w:ilvl w:val="0"/>
          <w:numId w:val="4"/>
        </w:numPr>
      </w:pPr>
      <w:r>
        <w:rPr>
          <w:rStyle w:val="Textoennegrita"/>
        </w:rPr>
        <w:t>Descripción del proceso:</w:t>
      </w:r>
    </w:p>
    <w:p w14:paraId="7FEFE5B2" w14:textId="77777777" w:rsidR="00F60185" w:rsidRPr="00F60185" w:rsidRDefault="00F60185" w:rsidP="006D3709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s-CL"/>
        </w:rPr>
      </w:pPr>
      <w:r w:rsidRPr="00F60185">
        <w:rPr>
          <w:lang w:val="es-CL"/>
        </w:rPr>
        <w:t xml:space="preserve">Se eliminan observaciones que no corresponden a los aglomerados </w:t>
      </w:r>
      <w:r w:rsidRPr="00F60185">
        <w:rPr>
          <w:rStyle w:val="Textoennegrita"/>
          <w:lang w:val="es-CL"/>
        </w:rPr>
        <w:t>Ciudad Autónoma de Buenos Aires (CABA)</w:t>
      </w:r>
      <w:r w:rsidRPr="00F60185">
        <w:rPr>
          <w:lang w:val="es-CL"/>
        </w:rPr>
        <w:t xml:space="preserve"> y </w:t>
      </w:r>
      <w:r w:rsidRPr="00F60185">
        <w:rPr>
          <w:rStyle w:val="Textoennegrita"/>
          <w:lang w:val="es-CL"/>
        </w:rPr>
        <w:t>Partidos del Gran Buenos Aires (GBA)</w:t>
      </w:r>
      <w:r w:rsidRPr="00F60185">
        <w:rPr>
          <w:lang w:val="es-CL"/>
        </w:rPr>
        <w:t xml:space="preserve">, correspondientes a los códigos </w:t>
      </w:r>
      <w:r w:rsidRPr="00F60185">
        <w:rPr>
          <w:rStyle w:val="Textoennegrita"/>
          <w:lang w:val="es-CL"/>
        </w:rPr>
        <w:t>32</w:t>
      </w:r>
      <w:r w:rsidRPr="00F60185">
        <w:rPr>
          <w:lang w:val="es-CL"/>
        </w:rPr>
        <w:t xml:space="preserve"> y </w:t>
      </w:r>
      <w:r w:rsidRPr="00F60185">
        <w:rPr>
          <w:rStyle w:val="Textoennegrita"/>
          <w:lang w:val="es-CL"/>
        </w:rPr>
        <w:t>33</w:t>
      </w:r>
      <w:r w:rsidRPr="00F60185">
        <w:rPr>
          <w:lang w:val="es-CL"/>
        </w:rPr>
        <w:t xml:space="preserve"> según la nomenclatura de la base de datos.</w:t>
      </w:r>
    </w:p>
    <w:p w14:paraId="314BD51A" w14:textId="77777777" w:rsidR="00F60185" w:rsidRPr="00F60185" w:rsidRDefault="00F60185" w:rsidP="006D3709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s-CL"/>
        </w:rPr>
      </w:pPr>
      <w:r w:rsidRPr="00F60185">
        <w:rPr>
          <w:lang w:val="es-CL"/>
        </w:rPr>
        <w:t>Limpieza de valores que no tienen sentido lógico (</w:t>
      </w:r>
      <w:proofErr w:type="spellStart"/>
      <w:r w:rsidRPr="00F60185">
        <w:rPr>
          <w:lang w:val="es-CL"/>
        </w:rPr>
        <w:t>e.g</w:t>
      </w:r>
      <w:proofErr w:type="spellEnd"/>
      <w:r w:rsidRPr="00F60185">
        <w:rPr>
          <w:lang w:val="es-CL"/>
        </w:rPr>
        <w:t>., ingresos o edades negativas).</w:t>
      </w:r>
    </w:p>
    <w:p w14:paraId="5F5EF52C" w14:textId="77777777" w:rsidR="00F60185" w:rsidRPr="00F60185" w:rsidRDefault="00F60185" w:rsidP="00306915">
      <w:pPr>
        <w:pStyle w:val="Ttulo5"/>
        <w:rPr>
          <w:rStyle w:val="Textoennegrita"/>
          <w:b/>
          <w:bCs w:val="0"/>
          <w:lang w:val="es-CL"/>
        </w:rPr>
      </w:pPr>
    </w:p>
    <w:p w14:paraId="75B08B18" w14:textId="77777777" w:rsidR="00F60185" w:rsidRDefault="00F60185" w:rsidP="00F60185">
      <w:pPr>
        <w:pStyle w:val="Ttulo4"/>
      </w:pPr>
      <w:r>
        <w:rPr>
          <w:rStyle w:val="Textoennegrita"/>
          <w:b/>
          <w:bCs w:val="0"/>
        </w:rPr>
        <w:t xml:space="preserve">b. </w:t>
      </w:r>
      <w:proofErr w:type="spellStart"/>
      <w:r>
        <w:rPr>
          <w:rStyle w:val="Textoennegrita"/>
          <w:b/>
          <w:bCs w:val="0"/>
        </w:rPr>
        <w:t>Análisis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Gráfico</w:t>
      </w:r>
      <w:proofErr w:type="spellEnd"/>
    </w:p>
    <w:p w14:paraId="10D509D6" w14:textId="77777777" w:rsidR="00F60185" w:rsidRPr="00F60185" w:rsidRDefault="00F60185" w:rsidP="006D370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CL"/>
        </w:rPr>
      </w:pPr>
      <w:r w:rsidRPr="00F60185">
        <w:rPr>
          <w:rStyle w:val="Textoennegrita"/>
          <w:lang w:val="es-CL"/>
        </w:rPr>
        <w:t>Gráfico de barras:</w:t>
      </w:r>
      <w:r w:rsidRPr="00F60185">
        <w:rPr>
          <w:lang w:val="es-CL"/>
        </w:rPr>
        <w:t xml:space="preserve"> Composición por sexo para los años 2004 y 2024.</w:t>
      </w:r>
    </w:p>
    <w:p w14:paraId="57E722CB" w14:textId="77777777" w:rsidR="00F60185" w:rsidRDefault="00F60185" w:rsidP="006D370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Resultados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comentarios</w:t>
      </w:r>
      <w:proofErr w:type="spellEnd"/>
      <w:r>
        <w:rPr>
          <w:rStyle w:val="Textoennegrita"/>
        </w:rPr>
        <w:t>:</w:t>
      </w:r>
    </w:p>
    <w:p w14:paraId="592EAD98" w14:textId="77777777" w:rsidR="00F60185" w:rsidRPr="00F60185" w:rsidRDefault="00F60185" w:rsidP="006D3709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s-CL"/>
        </w:rPr>
      </w:pPr>
      <w:r w:rsidRPr="00F60185">
        <w:rPr>
          <w:lang w:val="es-CL"/>
        </w:rPr>
        <w:t>En ambos años, se observa una proporción similar de hombres y mujeres en la muestra, aunque con un ligero aumento en el número de observaciones totales en 2024 en comparación con 2004.</w:t>
      </w:r>
    </w:p>
    <w:p w14:paraId="6EC696FA" w14:textId="77777777" w:rsidR="00F60185" w:rsidRPr="00F60185" w:rsidRDefault="00F60185" w:rsidP="006D3709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s-CL"/>
        </w:rPr>
      </w:pPr>
      <w:r w:rsidRPr="00F60185">
        <w:rPr>
          <w:lang w:val="es-CL"/>
        </w:rPr>
        <w:t>La distribución indica que no hay sesgos significativos en la representación por género.</w:t>
      </w:r>
    </w:p>
    <w:p w14:paraId="1B5EBA87" w14:textId="1A78545E" w:rsidR="00F60185" w:rsidRPr="00F60185" w:rsidRDefault="00F60185" w:rsidP="00F60185">
      <w:pPr>
        <w:spacing w:before="100" w:beforeAutospacing="1" w:after="100" w:afterAutospacing="1" w:line="240" w:lineRule="auto"/>
        <w:ind w:left="720" w:firstLine="0"/>
        <w:rPr>
          <w:rStyle w:val="Textoennegrita"/>
          <w:b w:val="0"/>
          <w:bCs w:val="0"/>
          <w:lang w:val="es-CL"/>
        </w:rPr>
      </w:pPr>
      <w:r>
        <w:rPr>
          <w:rStyle w:val="Textoennegrita"/>
          <w:noProof/>
        </w:rPr>
        <w:lastRenderedPageBreak/>
        <w:drawing>
          <wp:inline distT="0" distB="0" distL="0" distR="0" wp14:anchorId="4A3B1AD5" wp14:editId="13A47474">
            <wp:extent cx="5733415" cy="4281170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642A" w14:textId="77777777" w:rsidR="00306915" w:rsidRDefault="00306915" w:rsidP="00306915">
      <w:pPr>
        <w:pStyle w:val="Ttulo5"/>
      </w:pPr>
      <w:r>
        <w:rPr>
          <w:rStyle w:val="Textoennegrita"/>
          <w:b/>
          <w:bCs w:val="0"/>
        </w:rPr>
        <w:t xml:space="preserve">c. </w:t>
      </w:r>
      <w:proofErr w:type="spellStart"/>
      <w:r>
        <w:rPr>
          <w:rStyle w:val="Textoennegrita"/>
          <w:b/>
          <w:bCs w:val="0"/>
        </w:rPr>
        <w:t>Matriz</w:t>
      </w:r>
      <w:proofErr w:type="spellEnd"/>
      <w:r>
        <w:rPr>
          <w:rStyle w:val="Textoennegrita"/>
          <w:b/>
          <w:bCs w:val="0"/>
        </w:rPr>
        <w:t xml:space="preserve"> de </w:t>
      </w:r>
      <w:proofErr w:type="spellStart"/>
      <w:r>
        <w:rPr>
          <w:rStyle w:val="Textoennegrita"/>
          <w:b/>
          <w:bCs w:val="0"/>
        </w:rPr>
        <w:t>Correlación</w:t>
      </w:r>
      <w:proofErr w:type="spellEnd"/>
    </w:p>
    <w:p w14:paraId="2A1C677E" w14:textId="032B9C18" w:rsidR="00306915" w:rsidRDefault="00306915" w:rsidP="006D370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CL"/>
        </w:rPr>
      </w:pPr>
      <w:r w:rsidRPr="00306915">
        <w:rPr>
          <w:lang w:val="es-CL"/>
        </w:rPr>
        <w:t>Variables consideradas: CH04, CH06, CH07, CH08, NIVEL_ED, ESTADO, CAT_INAC, IPCF.</w:t>
      </w:r>
    </w:p>
    <w:p w14:paraId="3B0FE4CA" w14:textId="581B9564" w:rsidR="005112CD" w:rsidRDefault="009067B9" w:rsidP="005112CD">
      <w:pPr>
        <w:spacing w:before="100" w:beforeAutospacing="1" w:after="100" w:afterAutospacing="1" w:line="240" w:lineRule="auto"/>
        <w:ind w:left="720" w:firstLine="0"/>
        <w:rPr>
          <w:lang w:val="es-C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F4FF93" wp14:editId="18CA557C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4965065" cy="4429760"/>
            <wp:effectExtent l="0" t="0" r="698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43" cy="443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0AE1" w14:textId="60BFC421" w:rsidR="005112CD" w:rsidRDefault="005112CD" w:rsidP="005112CD">
      <w:pPr>
        <w:spacing w:before="100" w:beforeAutospacing="1" w:after="100" w:afterAutospacing="1" w:line="240" w:lineRule="auto"/>
        <w:ind w:left="720" w:firstLine="0"/>
        <w:rPr>
          <w:lang w:val="es-CL"/>
        </w:rPr>
      </w:pPr>
    </w:p>
    <w:p w14:paraId="51F58C45" w14:textId="1B599E53" w:rsidR="005112CD" w:rsidRPr="00306915" w:rsidRDefault="005112CD" w:rsidP="005112CD">
      <w:pPr>
        <w:spacing w:before="100" w:beforeAutospacing="1" w:after="100" w:afterAutospacing="1" w:line="240" w:lineRule="auto"/>
        <w:ind w:left="720" w:firstLine="0"/>
        <w:rPr>
          <w:lang w:val="es-CL"/>
        </w:rPr>
      </w:pPr>
      <w:r>
        <w:rPr>
          <w:noProof/>
        </w:rPr>
        <w:drawing>
          <wp:inline distT="0" distB="0" distL="0" distR="0" wp14:anchorId="15A5634D" wp14:editId="32AD9609">
            <wp:extent cx="4625163" cy="4126739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91" cy="41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2415" w14:textId="795D4285" w:rsidR="005112CD" w:rsidRPr="005112CD" w:rsidRDefault="005112CD" w:rsidP="005112CD">
      <w:pPr>
        <w:spacing w:before="100" w:beforeAutospacing="1" w:after="100" w:afterAutospacing="1" w:line="240" w:lineRule="auto"/>
        <w:ind w:firstLine="0"/>
        <w:rPr>
          <w:lang w:val="es-CL" w:eastAsia="es-CL"/>
        </w:rPr>
      </w:pPr>
      <w:r w:rsidRPr="005112CD">
        <w:rPr>
          <w:b/>
          <w:bCs/>
          <w:lang w:val="es-CL" w:eastAsia="es-CL"/>
        </w:rPr>
        <w:lastRenderedPageBreak/>
        <w:t>Resultados y comentarios:</w:t>
      </w:r>
    </w:p>
    <w:p w14:paraId="7C822D8A" w14:textId="77777777" w:rsidR="005112CD" w:rsidRPr="005112CD" w:rsidRDefault="005112CD" w:rsidP="006D370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CL" w:eastAsia="es-CL"/>
        </w:rPr>
      </w:pPr>
      <w:r w:rsidRPr="005112CD">
        <w:rPr>
          <w:lang w:val="es-CL" w:eastAsia="es-CL"/>
        </w:rPr>
        <w:t>En ambos años, la correlación entre NIVEL_ED e IPCF es positiva, lo que sugiere que niveles educativos más altos están asociados con mayores ingresos familiares.</w:t>
      </w:r>
    </w:p>
    <w:p w14:paraId="291A0743" w14:textId="77777777" w:rsidR="005112CD" w:rsidRPr="005112CD" w:rsidRDefault="005112CD" w:rsidP="006D370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CL" w:eastAsia="es-CL"/>
        </w:rPr>
      </w:pPr>
      <w:r w:rsidRPr="005112CD">
        <w:rPr>
          <w:lang w:val="es-CL" w:eastAsia="es-CL"/>
        </w:rPr>
        <w:t>La variable CH06 (edad) muestra una correlación negativa con algunas categorías de inactividad (CAT_INAC), lo que podría indicar patrones específicos en la estructura demográfica.</w:t>
      </w:r>
    </w:p>
    <w:p w14:paraId="4D3FAEF2" w14:textId="77777777" w:rsidR="005112CD" w:rsidRDefault="005112CD" w:rsidP="00306915">
      <w:pPr>
        <w:pStyle w:val="Ttulo5"/>
        <w:rPr>
          <w:rStyle w:val="Textoennegrita"/>
          <w:b/>
          <w:bCs w:val="0"/>
          <w:lang w:val="es-CL"/>
        </w:rPr>
      </w:pPr>
    </w:p>
    <w:p w14:paraId="6C1A9A01" w14:textId="77777777" w:rsidR="005112CD" w:rsidRDefault="005112CD" w:rsidP="005112CD">
      <w:pPr>
        <w:pStyle w:val="Ttulo4"/>
      </w:pPr>
      <w:r>
        <w:rPr>
          <w:rStyle w:val="Textoennegrita"/>
          <w:b/>
          <w:bCs w:val="0"/>
        </w:rPr>
        <w:t xml:space="preserve">d. </w:t>
      </w:r>
      <w:proofErr w:type="spellStart"/>
      <w:r>
        <w:rPr>
          <w:rStyle w:val="Textoennegrita"/>
          <w:b/>
          <w:bCs w:val="0"/>
        </w:rPr>
        <w:t>Análisis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Descriptivo</w:t>
      </w:r>
      <w:proofErr w:type="spellEnd"/>
    </w:p>
    <w:p w14:paraId="53930DB3" w14:textId="77777777" w:rsidR="005112CD" w:rsidRDefault="005112CD" w:rsidP="006D3709">
      <w:pPr>
        <w:pStyle w:val="NormalWeb"/>
        <w:numPr>
          <w:ilvl w:val="0"/>
          <w:numId w:val="8"/>
        </w:numPr>
      </w:pPr>
      <w:r>
        <w:rPr>
          <w:rStyle w:val="Textoennegrita"/>
        </w:rPr>
        <w:t>Descripción:</w:t>
      </w:r>
    </w:p>
    <w:p w14:paraId="4B817740" w14:textId="77777777" w:rsidR="005112CD" w:rsidRPr="005112CD" w:rsidRDefault="005112CD" w:rsidP="006D3709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s-CL"/>
        </w:rPr>
      </w:pPr>
      <w:r w:rsidRPr="005112CD">
        <w:rPr>
          <w:lang w:val="es-CL"/>
        </w:rPr>
        <w:t>Se analizan tres categorías: desocupados, inactivos y la media del IPCF por estado (ocupado, desocupado, inactivo).</w:t>
      </w:r>
    </w:p>
    <w:p w14:paraId="40C8A951" w14:textId="77777777" w:rsidR="005112CD" w:rsidRDefault="005112CD" w:rsidP="006D3709">
      <w:pPr>
        <w:pStyle w:val="NormalWeb"/>
        <w:numPr>
          <w:ilvl w:val="0"/>
          <w:numId w:val="8"/>
        </w:numPr>
      </w:pPr>
      <w:r>
        <w:rPr>
          <w:rStyle w:val="Textoennegrita"/>
        </w:rPr>
        <w:t>Resultados y comentarios:</w:t>
      </w:r>
    </w:p>
    <w:p w14:paraId="6D1464CF" w14:textId="77777777" w:rsidR="005112CD" w:rsidRPr="005112CD" w:rsidRDefault="005112CD" w:rsidP="006D3709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s-CL"/>
        </w:rPr>
      </w:pPr>
      <w:r w:rsidRPr="005112CD">
        <w:rPr>
          <w:lang w:val="es-CL"/>
        </w:rPr>
        <w:t>Los ingresos promedio (IPCF) son más altos entre las personas ocupadas en comparación con las desocupadas e inactivas.</w:t>
      </w:r>
    </w:p>
    <w:p w14:paraId="426C57FA" w14:textId="77777777" w:rsidR="005112CD" w:rsidRPr="005112CD" w:rsidRDefault="005112CD" w:rsidP="006D3709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s-CL"/>
        </w:rPr>
      </w:pPr>
      <w:r w:rsidRPr="005112CD">
        <w:rPr>
          <w:lang w:val="es-CL"/>
        </w:rPr>
        <w:t>La proporción de desocupados es relativamente constante entre 2004 y 2024, aunque se observan ligeras variaciones en la proporción de inactivos, probablemente debido a cambios demográficos.</w:t>
      </w:r>
    </w:p>
    <w:p w14:paraId="7D31C0C7" w14:textId="77777777" w:rsidR="005112CD" w:rsidRPr="00B96957" w:rsidRDefault="005112CD" w:rsidP="005112CD">
      <w:pPr>
        <w:spacing w:before="100" w:beforeAutospacing="1" w:after="100" w:afterAutospacing="1" w:line="240" w:lineRule="auto"/>
        <w:ind w:left="1440" w:firstLine="0"/>
        <w:rPr>
          <w:lang w:val="es-CL"/>
        </w:rPr>
      </w:pPr>
    </w:p>
    <w:p w14:paraId="5C57CA83" w14:textId="77777777" w:rsidR="007E2335" w:rsidRPr="007E2335" w:rsidRDefault="007E2335" w:rsidP="007E2335">
      <w:pPr>
        <w:pStyle w:val="Ttulo3"/>
        <w:rPr>
          <w:lang w:val="es-CL"/>
        </w:rPr>
      </w:pPr>
      <w:r w:rsidRPr="007E2335">
        <w:rPr>
          <w:rStyle w:val="Textoennegrita"/>
          <w:b/>
          <w:bCs w:val="0"/>
          <w:lang w:val="es-CL"/>
        </w:rPr>
        <w:t>3. Análisis de Observaciones No Respondidas</w:t>
      </w:r>
    </w:p>
    <w:p w14:paraId="2F00F9FA" w14:textId="77777777" w:rsidR="007E2335" w:rsidRPr="007E2335" w:rsidRDefault="007E2335" w:rsidP="007E2335">
      <w:pPr>
        <w:pStyle w:val="Ttulo4"/>
        <w:rPr>
          <w:lang w:val="es-CL"/>
        </w:rPr>
      </w:pPr>
      <w:r w:rsidRPr="007E2335">
        <w:rPr>
          <w:rStyle w:val="Textoennegrita"/>
          <w:b/>
          <w:bCs w:val="0"/>
          <w:lang w:val="es-CL"/>
        </w:rPr>
        <w:t>Contexto y Objetivo</w:t>
      </w:r>
    </w:p>
    <w:p w14:paraId="5382C55C" w14:textId="77777777" w:rsidR="007E2335" w:rsidRDefault="007E2335" w:rsidP="007E2335">
      <w:pPr>
        <w:pStyle w:val="NormalWeb"/>
      </w:pPr>
      <w:r>
        <w:t xml:space="preserve">Uno de los problemas más comunes en la Encuesta Permanente de Hogares (EPH) es la cantidad de encuestados que no responden a preguntas clave, como su </w:t>
      </w:r>
      <w:r>
        <w:rPr>
          <w:rStyle w:val="Textoennegrita"/>
        </w:rPr>
        <w:t>condición de actividad</w:t>
      </w:r>
      <w:r>
        <w:t>. Estas respuestas faltantes pueden generar sesgos en el análisis y deben manejarse adecuadamente.</w:t>
      </w:r>
    </w:p>
    <w:p w14:paraId="5ADA3695" w14:textId="77777777" w:rsidR="007E2335" w:rsidRDefault="007E2335" w:rsidP="007E2335">
      <w:pPr>
        <w:pStyle w:val="Ttulo4"/>
      </w:pPr>
      <w:proofErr w:type="spellStart"/>
      <w:r>
        <w:rPr>
          <w:rStyle w:val="Textoennegrita"/>
          <w:b/>
          <w:bCs w:val="0"/>
        </w:rPr>
        <w:t>Análisis</w:t>
      </w:r>
      <w:proofErr w:type="spellEnd"/>
    </w:p>
    <w:p w14:paraId="006CDC02" w14:textId="77777777" w:rsidR="007E2335" w:rsidRPr="007E2335" w:rsidRDefault="007E2335" w:rsidP="006D3709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rStyle w:val="Textoennegrita"/>
          <w:lang w:val="es-CL"/>
        </w:rPr>
        <w:t>Pregunta:</w:t>
      </w:r>
      <w:r w:rsidRPr="007E2335">
        <w:rPr>
          <w:lang w:val="es-CL"/>
        </w:rPr>
        <w:t xml:space="preserve"> ¿Cuántas personas no respondieron cuál es su condición de actividad?</w:t>
      </w:r>
    </w:p>
    <w:p w14:paraId="6B40DF16" w14:textId="77777777" w:rsidR="007E2335" w:rsidRDefault="007E2335" w:rsidP="006D37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Bases </w:t>
      </w:r>
      <w:proofErr w:type="spellStart"/>
      <w:r>
        <w:rPr>
          <w:rStyle w:val="Textoennegrita"/>
        </w:rPr>
        <w:t>creadas</w:t>
      </w:r>
      <w:proofErr w:type="spellEnd"/>
      <w:r>
        <w:rPr>
          <w:rStyle w:val="Textoennegrita"/>
        </w:rPr>
        <w:t>:</w:t>
      </w:r>
    </w:p>
    <w:p w14:paraId="32BB4F32" w14:textId="77777777" w:rsidR="007E2335" w:rsidRPr="007E2335" w:rsidRDefault="007E2335" w:rsidP="006D3709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rStyle w:val="CdigoHTML"/>
          <w:lang w:val="es-CL"/>
        </w:rPr>
        <w:t>respondiendo</w:t>
      </w:r>
      <w:r w:rsidRPr="007E2335">
        <w:rPr>
          <w:lang w:val="es-CL"/>
        </w:rPr>
        <w:t>: Incluye observaciones donde la condición de actividad (</w:t>
      </w:r>
      <w:r w:rsidRPr="007E2335">
        <w:rPr>
          <w:rStyle w:val="CdigoHTML"/>
          <w:lang w:val="es-CL"/>
        </w:rPr>
        <w:t>ESTADO</w:t>
      </w:r>
      <w:r w:rsidRPr="007E2335">
        <w:rPr>
          <w:lang w:val="es-CL"/>
        </w:rPr>
        <w:t>) fue respondida (≠ 0).</w:t>
      </w:r>
    </w:p>
    <w:p w14:paraId="56DA0E73" w14:textId="77777777" w:rsidR="007E2335" w:rsidRPr="007E2335" w:rsidRDefault="007E2335" w:rsidP="006D3709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s-CL"/>
        </w:rPr>
      </w:pPr>
      <w:proofErr w:type="spellStart"/>
      <w:r w:rsidRPr="007E2335">
        <w:rPr>
          <w:rStyle w:val="CdigoHTML"/>
          <w:lang w:val="es-CL"/>
        </w:rPr>
        <w:t>norespondieron</w:t>
      </w:r>
      <w:proofErr w:type="spellEnd"/>
      <w:r w:rsidRPr="007E2335">
        <w:rPr>
          <w:lang w:val="es-CL"/>
        </w:rPr>
        <w:t>: Incluye observaciones donde no se reportó esta información (</w:t>
      </w:r>
      <w:r w:rsidRPr="007E2335">
        <w:rPr>
          <w:rStyle w:val="CdigoHTML"/>
          <w:lang w:val="es-CL"/>
        </w:rPr>
        <w:t>ESTADO</w:t>
      </w:r>
      <w:r w:rsidRPr="007E2335">
        <w:rPr>
          <w:lang w:val="es-CL"/>
        </w:rPr>
        <w:t xml:space="preserve"> = 0).</w:t>
      </w:r>
    </w:p>
    <w:p w14:paraId="6687121E" w14:textId="77777777" w:rsidR="007E2335" w:rsidRDefault="007E2335" w:rsidP="007E2335">
      <w:pPr>
        <w:pStyle w:val="Ttulo4"/>
      </w:pPr>
      <w:proofErr w:type="spellStart"/>
      <w:r>
        <w:rPr>
          <w:rStyle w:val="Textoennegrita"/>
          <w:b/>
          <w:bCs w:val="0"/>
        </w:rPr>
        <w:t>Resultados</w:t>
      </w:r>
      <w:proofErr w:type="spellEnd"/>
    </w:p>
    <w:p w14:paraId="66CF00A2" w14:textId="77777777" w:rsidR="007E2335" w:rsidRPr="007E2335" w:rsidRDefault="007E2335" w:rsidP="006D370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rStyle w:val="Textoennegrita"/>
          <w:lang w:val="es-CL"/>
        </w:rPr>
        <w:t>Cantidad de observaciones sin respuesta:</w:t>
      </w:r>
      <w:r w:rsidRPr="007E2335">
        <w:rPr>
          <w:lang w:val="es-CL"/>
        </w:rPr>
        <w:t xml:space="preserve"> 81 encuestados no respondieron su condición de actividad.</w:t>
      </w:r>
    </w:p>
    <w:p w14:paraId="2E583632" w14:textId="77777777" w:rsidR="007E2335" w:rsidRPr="007E2335" w:rsidRDefault="007E2335" w:rsidP="006D370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lang w:val="es-CL"/>
        </w:rPr>
        <w:lastRenderedPageBreak/>
        <w:t xml:space="preserve">Estas observaciones fueron separadas y almacenadas en una nueva base llamada </w:t>
      </w:r>
      <w:proofErr w:type="spellStart"/>
      <w:r w:rsidRPr="007E2335">
        <w:rPr>
          <w:rStyle w:val="CdigoHTML"/>
          <w:lang w:val="es-CL"/>
        </w:rPr>
        <w:t>norespondieron</w:t>
      </w:r>
      <w:proofErr w:type="spellEnd"/>
      <w:r w:rsidRPr="007E2335">
        <w:rPr>
          <w:lang w:val="es-CL"/>
        </w:rPr>
        <w:t>.</w:t>
      </w:r>
    </w:p>
    <w:p w14:paraId="0923F2DC" w14:textId="77777777" w:rsidR="007E2335" w:rsidRDefault="007E2335" w:rsidP="007E2335">
      <w:pPr>
        <w:pStyle w:val="Ttulo4"/>
      </w:pPr>
      <w:proofErr w:type="spellStart"/>
      <w:r>
        <w:rPr>
          <w:rStyle w:val="Textoennegrita"/>
          <w:b/>
          <w:bCs w:val="0"/>
        </w:rPr>
        <w:t>Acciones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Realizadas</w:t>
      </w:r>
      <w:proofErr w:type="spellEnd"/>
    </w:p>
    <w:p w14:paraId="43289B78" w14:textId="77777777" w:rsidR="007E2335" w:rsidRPr="007E2335" w:rsidRDefault="007E2335" w:rsidP="006D370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rStyle w:val="Textoennegrita"/>
          <w:lang w:val="es-CL"/>
        </w:rPr>
        <w:t>Creación de dos bases de datos:</w:t>
      </w:r>
    </w:p>
    <w:p w14:paraId="07E11141" w14:textId="77777777" w:rsidR="007E2335" w:rsidRPr="007E2335" w:rsidRDefault="007E2335" w:rsidP="006D370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rStyle w:val="CdigoHTML"/>
          <w:b/>
          <w:bCs/>
          <w:lang w:val="es-CL"/>
        </w:rPr>
        <w:t>respondiendo</w:t>
      </w:r>
      <w:r w:rsidRPr="007E2335">
        <w:rPr>
          <w:rStyle w:val="Textoennegrita"/>
          <w:lang w:val="es-CL"/>
        </w:rPr>
        <w:t>:</w:t>
      </w:r>
      <w:r w:rsidRPr="007E2335">
        <w:rPr>
          <w:lang w:val="es-CL"/>
        </w:rPr>
        <w:t xml:space="preserve"> Contiene los datos útiles para el análisis (condición de actividad reportada).</w:t>
      </w:r>
    </w:p>
    <w:p w14:paraId="605FA91A" w14:textId="77777777" w:rsidR="007E2335" w:rsidRPr="007E2335" w:rsidRDefault="007E2335" w:rsidP="006D370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s-CL"/>
        </w:rPr>
      </w:pPr>
      <w:proofErr w:type="spellStart"/>
      <w:r w:rsidRPr="007E2335">
        <w:rPr>
          <w:rStyle w:val="CdigoHTML"/>
          <w:b/>
          <w:bCs/>
          <w:lang w:val="es-CL"/>
        </w:rPr>
        <w:t>norespondieron</w:t>
      </w:r>
      <w:proofErr w:type="spellEnd"/>
      <w:r w:rsidRPr="007E2335">
        <w:rPr>
          <w:rStyle w:val="Textoennegrita"/>
          <w:lang w:val="es-CL"/>
        </w:rPr>
        <w:t>:</w:t>
      </w:r>
      <w:r w:rsidRPr="007E2335">
        <w:rPr>
          <w:lang w:val="es-CL"/>
        </w:rPr>
        <w:t xml:space="preserve"> Se reservó para evaluar posibles impactos o características de los casos faltantes.</w:t>
      </w:r>
    </w:p>
    <w:p w14:paraId="50E73704" w14:textId="77777777" w:rsidR="007E2335" w:rsidRDefault="007E2335" w:rsidP="006D370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Consideraciones</w:t>
      </w:r>
      <w:proofErr w:type="spellEnd"/>
      <w:r>
        <w:rPr>
          <w:rStyle w:val="Textoennegrita"/>
        </w:rPr>
        <w:t>:</w:t>
      </w:r>
    </w:p>
    <w:p w14:paraId="513675DC" w14:textId="77777777" w:rsidR="007E2335" w:rsidRPr="007E2335" w:rsidRDefault="007E2335" w:rsidP="006D370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lang w:val="es-CL"/>
        </w:rPr>
        <w:t xml:space="preserve">Las observaciones en la base </w:t>
      </w:r>
      <w:proofErr w:type="spellStart"/>
      <w:r w:rsidRPr="007E2335">
        <w:rPr>
          <w:rStyle w:val="CdigoHTML"/>
          <w:lang w:val="es-CL"/>
        </w:rPr>
        <w:t>norespondieron</w:t>
      </w:r>
      <w:proofErr w:type="spellEnd"/>
      <w:r w:rsidRPr="007E2335">
        <w:rPr>
          <w:lang w:val="es-CL"/>
        </w:rPr>
        <w:t xml:space="preserve"> no serán incluidas en análisis estadísticos posteriores, salvo que se necesiten para estudiar patrones en los datos faltantes.</w:t>
      </w:r>
    </w:p>
    <w:p w14:paraId="315457DB" w14:textId="77777777" w:rsidR="007E2335" w:rsidRDefault="007E2335" w:rsidP="007E2335">
      <w:pPr>
        <w:pStyle w:val="Ttulo4"/>
      </w:pPr>
      <w:proofErr w:type="spellStart"/>
      <w:r>
        <w:rPr>
          <w:rStyle w:val="Textoennegrita"/>
          <w:b/>
          <w:bCs w:val="0"/>
        </w:rPr>
        <w:t>Comentarios</w:t>
      </w:r>
      <w:proofErr w:type="spellEnd"/>
    </w:p>
    <w:p w14:paraId="0BBB4BB9" w14:textId="77777777" w:rsidR="007E2335" w:rsidRPr="007E2335" w:rsidRDefault="007E2335" w:rsidP="006D370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lang w:val="es-CL"/>
        </w:rPr>
        <w:t>La proporción de observaciones faltantes es relativamente baja, pero su impacto en indicadores sensibles (como la tasa de desocupación) podría ser significativo dependiendo de las características de estas personas.</w:t>
      </w:r>
    </w:p>
    <w:p w14:paraId="2B549F8C" w14:textId="77777777" w:rsidR="007E2335" w:rsidRPr="007E2335" w:rsidRDefault="007E2335" w:rsidP="006D370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CL"/>
        </w:rPr>
      </w:pPr>
      <w:r w:rsidRPr="007E2335">
        <w:rPr>
          <w:lang w:val="es-CL"/>
        </w:rPr>
        <w:t xml:space="preserve">Se recomienda analizar si las observaciones en </w:t>
      </w:r>
      <w:proofErr w:type="spellStart"/>
      <w:r w:rsidRPr="007E2335">
        <w:rPr>
          <w:rStyle w:val="CdigoHTML"/>
          <w:lang w:val="es-CL"/>
        </w:rPr>
        <w:t>norespondieron</w:t>
      </w:r>
      <w:proofErr w:type="spellEnd"/>
      <w:r w:rsidRPr="007E2335">
        <w:rPr>
          <w:lang w:val="es-CL"/>
        </w:rPr>
        <w:t xml:space="preserve"> tienen patrones comunes que puedan ser relevantes para el diseño de políticas o la mejora de la encuesta.</w:t>
      </w:r>
    </w:p>
    <w:p w14:paraId="6C4B647C" w14:textId="77777777" w:rsidR="007E2335" w:rsidRDefault="007E2335" w:rsidP="007E2335">
      <w:pPr>
        <w:pStyle w:val="Ttulo4"/>
        <w:ind w:firstLine="0"/>
        <w:rPr>
          <w:rStyle w:val="Textoennegrita"/>
          <w:b/>
          <w:bCs w:val="0"/>
          <w:lang w:val="es-CL"/>
        </w:rPr>
      </w:pPr>
    </w:p>
    <w:p w14:paraId="714E7272" w14:textId="77777777" w:rsidR="007E2335" w:rsidRDefault="007E2335" w:rsidP="00306915">
      <w:pPr>
        <w:pStyle w:val="Ttulo4"/>
        <w:rPr>
          <w:rStyle w:val="Textoennegrita"/>
          <w:b/>
          <w:bCs w:val="0"/>
          <w:lang w:val="es-CL"/>
        </w:rPr>
      </w:pPr>
    </w:p>
    <w:p w14:paraId="0BFE4A0F" w14:textId="77777777" w:rsidR="00A57619" w:rsidRPr="00A57619" w:rsidRDefault="00A57619" w:rsidP="00A57619">
      <w:pPr>
        <w:pStyle w:val="Ttulo3"/>
        <w:rPr>
          <w:lang w:val="es-CL"/>
        </w:rPr>
      </w:pPr>
      <w:r w:rsidRPr="00A57619">
        <w:rPr>
          <w:rStyle w:val="Textoennegrita"/>
          <w:b/>
          <w:bCs w:val="0"/>
          <w:lang w:val="es-CL"/>
        </w:rPr>
        <w:t>4. Análisis de la Población Económicamente Activa (PEA)</w:t>
      </w:r>
    </w:p>
    <w:p w14:paraId="067AE6C3" w14:textId="77777777" w:rsidR="00A57619" w:rsidRDefault="00A57619" w:rsidP="00A57619">
      <w:pPr>
        <w:pStyle w:val="NormalWeb"/>
      </w:pPr>
      <w:r>
        <w:t xml:space="preserve">La </w:t>
      </w:r>
      <w:r>
        <w:rPr>
          <w:rStyle w:val="Textoennegrita"/>
        </w:rPr>
        <w:t>Población Económicamente Activa (PEA)</w:t>
      </w:r>
      <w:r>
        <w:t xml:space="preserve"> representa a las personas que están </w:t>
      </w:r>
      <w:r>
        <w:rPr>
          <w:rStyle w:val="Textoennegrita"/>
        </w:rPr>
        <w:t>ocupadas</w:t>
      </w:r>
      <w:r>
        <w:t xml:space="preserve"> o </w:t>
      </w:r>
      <w:r>
        <w:rPr>
          <w:rStyle w:val="Textoennegrita"/>
        </w:rPr>
        <w:t>desocupadas</w:t>
      </w:r>
      <w:r>
        <w:t>, pero disponibles para trabajar. Este análisis busca determinar la composición de la PEA en los años 2004 y 2024, y explorar sus cambios a lo largo del tiempo.</w:t>
      </w:r>
    </w:p>
    <w:p w14:paraId="33F381E2" w14:textId="77777777" w:rsidR="00A57619" w:rsidRDefault="00A57619" w:rsidP="00A57619">
      <w:pPr>
        <w:pStyle w:val="Ttulo4"/>
      </w:pPr>
      <w:proofErr w:type="spellStart"/>
      <w:r>
        <w:rPr>
          <w:rStyle w:val="Textoennegrita"/>
          <w:b/>
          <w:bCs w:val="0"/>
        </w:rPr>
        <w:t>Creación</w:t>
      </w:r>
      <w:proofErr w:type="spellEnd"/>
      <w:r>
        <w:rPr>
          <w:rStyle w:val="Textoennegrita"/>
          <w:b/>
          <w:bCs w:val="0"/>
        </w:rPr>
        <w:t xml:space="preserve"> de la </w:t>
      </w:r>
      <w:proofErr w:type="spellStart"/>
      <w:r>
        <w:rPr>
          <w:rStyle w:val="Textoennegrita"/>
          <w:b/>
          <w:bCs w:val="0"/>
        </w:rPr>
        <w:t>Columna</w:t>
      </w:r>
      <w:proofErr w:type="spellEnd"/>
      <w:r>
        <w:rPr>
          <w:rStyle w:val="Textoennegrita"/>
          <w:b/>
          <w:bCs w:val="0"/>
        </w:rPr>
        <w:t xml:space="preserve"> PEA</w:t>
      </w:r>
    </w:p>
    <w:p w14:paraId="1FCA9A0A" w14:textId="77777777" w:rsidR="00A57619" w:rsidRDefault="00A57619" w:rsidP="006D3709">
      <w:pPr>
        <w:pStyle w:val="NormalWeb"/>
        <w:numPr>
          <w:ilvl w:val="0"/>
          <w:numId w:val="13"/>
        </w:numPr>
      </w:pPr>
      <w:r>
        <w:rPr>
          <w:rStyle w:val="Textoennegrita"/>
        </w:rPr>
        <w:t>Criterio:</w:t>
      </w:r>
    </w:p>
    <w:p w14:paraId="3A842A6E" w14:textId="77777777" w:rsidR="00A57619" w:rsidRPr="00A57619" w:rsidRDefault="00A57619" w:rsidP="006D370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CL"/>
        </w:rPr>
      </w:pPr>
      <w:r w:rsidRPr="00A57619">
        <w:rPr>
          <w:lang w:val="es-CL"/>
        </w:rPr>
        <w:t>Una persona pertenece a la PEA si su estado es:</w:t>
      </w:r>
    </w:p>
    <w:p w14:paraId="7B5C8BA9" w14:textId="77777777" w:rsidR="00A57619" w:rsidRDefault="00A57619" w:rsidP="006D3709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</w:rPr>
        <w:t>Ocupado</w:t>
      </w:r>
      <w:proofErr w:type="spellEnd"/>
      <w:r>
        <w:t xml:space="preserve"> (ESTADO = 1)</w:t>
      </w:r>
    </w:p>
    <w:p w14:paraId="2866BA19" w14:textId="77777777" w:rsidR="00A57619" w:rsidRDefault="00A57619" w:rsidP="006D3709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</w:rPr>
        <w:t>Desocupado</w:t>
      </w:r>
      <w:proofErr w:type="spellEnd"/>
      <w:r>
        <w:t xml:space="preserve"> (ESTADO = 2)</w:t>
      </w:r>
    </w:p>
    <w:p w14:paraId="07FE138C" w14:textId="6186795D" w:rsidR="00A57619" w:rsidRDefault="00A57619" w:rsidP="006D370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CL"/>
        </w:rPr>
      </w:pPr>
      <w:r w:rsidRPr="00A57619">
        <w:rPr>
          <w:lang w:val="es-CL"/>
        </w:rPr>
        <w:t xml:space="preserve">El resto de las personas son clasificadas como </w:t>
      </w:r>
      <w:r w:rsidRPr="00A57619">
        <w:rPr>
          <w:rStyle w:val="Textoennegrita"/>
          <w:lang w:val="es-CL"/>
        </w:rPr>
        <w:t>No PEA</w:t>
      </w:r>
      <w:r w:rsidRPr="00A57619">
        <w:rPr>
          <w:lang w:val="es-CL"/>
        </w:rPr>
        <w:t>.</w:t>
      </w:r>
    </w:p>
    <w:p w14:paraId="7EEACA6C" w14:textId="77777777" w:rsidR="005A3F6D" w:rsidRPr="00A57619" w:rsidRDefault="005A3F6D" w:rsidP="005A3F6D">
      <w:pPr>
        <w:spacing w:before="100" w:beforeAutospacing="1" w:after="100" w:afterAutospacing="1" w:line="240" w:lineRule="auto"/>
        <w:ind w:left="1440" w:firstLine="0"/>
        <w:rPr>
          <w:lang w:val="es-CL"/>
        </w:rPr>
      </w:pPr>
    </w:p>
    <w:p w14:paraId="12DC0BED" w14:textId="77777777" w:rsidR="005A3F6D" w:rsidRDefault="005A3F6D" w:rsidP="005A3F6D">
      <w:pPr>
        <w:pStyle w:val="Ttulo4"/>
      </w:pPr>
      <w:proofErr w:type="spellStart"/>
      <w:r>
        <w:rPr>
          <w:rStyle w:val="Textoennegrita"/>
          <w:b/>
          <w:bCs w:val="0"/>
        </w:rPr>
        <w:lastRenderedPageBreak/>
        <w:t>Análisis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Gráfico</w:t>
      </w:r>
      <w:proofErr w:type="spellEnd"/>
    </w:p>
    <w:p w14:paraId="1EC23860" w14:textId="77777777" w:rsidR="005A3F6D" w:rsidRDefault="005A3F6D" w:rsidP="006D3709">
      <w:pPr>
        <w:pStyle w:val="NormalWeb"/>
        <w:numPr>
          <w:ilvl w:val="0"/>
          <w:numId w:val="14"/>
        </w:numPr>
      </w:pPr>
      <w:r>
        <w:rPr>
          <w:rStyle w:val="Textoennegrita"/>
        </w:rPr>
        <w:t>Descripción:</w:t>
      </w:r>
    </w:p>
    <w:p w14:paraId="1BF973F9" w14:textId="77777777" w:rsidR="005A3F6D" w:rsidRPr="005A3F6D" w:rsidRDefault="005A3F6D" w:rsidP="006D3709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CL"/>
        </w:rPr>
      </w:pPr>
      <w:r w:rsidRPr="005A3F6D">
        <w:rPr>
          <w:lang w:val="es-CL"/>
        </w:rPr>
        <w:t>Se generó un gráfico de barras apiladas para visualizar la proporción de la PEA (1) frente a los que no pertenecen a la PEA (0) en 2004 y 2024.</w:t>
      </w:r>
    </w:p>
    <w:p w14:paraId="4BE2DAAB" w14:textId="5C3E0DB7" w:rsidR="005A3F6D" w:rsidRDefault="005A3F6D" w:rsidP="005A3F6D">
      <w:pPr>
        <w:pStyle w:val="NormalWeb"/>
        <w:ind w:left="720"/>
      </w:pPr>
    </w:p>
    <w:p w14:paraId="1892B2A0" w14:textId="2310A82A" w:rsidR="00A57619" w:rsidRDefault="00A57619" w:rsidP="00A57619">
      <w:pPr>
        <w:spacing w:before="100" w:beforeAutospacing="1" w:after="100" w:afterAutospacing="1" w:line="240" w:lineRule="auto"/>
        <w:ind w:left="720" w:firstLine="0"/>
        <w:rPr>
          <w:lang w:val="es-CL"/>
        </w:rPr>
      </w:pPr>
      <w:r>
        <w:rPr>
          <w:noProof/>
        </w:rPr>
        <w:drawing>
          <wp:inline distT="0" distB="0" distL="0" distR="0" wp14:anchorId="5AFE421C" wp14:editId="22F1C8ED">
            <wp:extent cx="5733415" cy="4281170"/>
            <wp:effectExtent l="0" t="0" r="63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Elaboración propia. </w:t>
      </w:r>
      <w:r w:rsidRPr="00306915">
        <w:rPr>
          <w:lang w:val="es-CL"/>
        </w:rPr>
        <w:t>Composición de la PEA en 2004 y 2024.</w:t>
      </w:r>
    </w:p>
    <w:p w14:paraId="51D9A8F9" w14:textId="77777777" w:rsidR="00A57619" w:rsidRPr="00306915" w:rsidRDefault="00A57619" w:rsidP="00A57619">
      <w:pPr>
        <w:spacing w:before="100" w:beforeAutospacing="1" w:after="100" w:afterAutospacing="1" w:line="240" w:lineRule="auto"/>
        <w:ind w:left="720" w:firstLine="0"/>
        <w:rPr>
          <w:lang w:val="es-CL"/>
        </w:rPr>
      </w:pPr>
    </w:p>
    <w:p w14:paraId="38F0DA19" w14:textId="77777777" w:rsidR="005A3F6D" w:rsidRDefault="005A3F6D" w:rsidP="005A3F6D">
      <w:pPr>
        <w:pStyle w:val="Ttulo4"/>
      </w:pPr>
      <w:proofErr w:type="spellStart"/>
      <w:r>
        <w:rPr>
          <w:rStyle w:val="Textoennegrita"/>
          <w:b/>
          <w:bCs w:val="0"/>
        </w:rPr>
        <w:t>Resultados</w:t>
      </w:r>
      <w:proofErr w:type="spellEnd"/>
      <w:r>
        <w:rPr>
          <w:rStyle w:val="Textoennegrita"/>
          <w:b/>
          <w:bCs w:val="0"/>
        </w:rPr>
        <w:t xml:space="preserve"> y </w:t>
      </w:r>
      <w:proofErr w:type="spellStart"/>
      <w:r>
        <w:rPr>
          <w:rStyle w:val="Textoennegrita"/>
          <w:b/>
          <w:bCs w:val="0"/>
        </w:rPr>
        <w:t>Comentarios</w:t>
      </w:r>
      <w:proofErr w:type="spellEnd"/>
    </w:p>
    <w:p w14:paraId="0AEBB8B8" w14:textId="77777777" w:rsidR="005A3F6D" w:rsidRDefault="005A3F6D" w:rsidP="006D3709">
      <w:pPr>
        <w:pStyle w:val="NormalWeb"/>
        <w:numPr>
          <w:ilvl w:val="0"/>
          <w:numId w:val="15"/>
        </w:numPr>
      </w:pPr>
      <w:r>
        <w:rPr>
          <w:rStyle w:val="Textoennegrita"/>
        </w:rPr>
        <w:t>Resultados Observados:</w:t>
      </w:r>
    </w:p>
    <w:p w14:paraId="101A10D6" w14:textId="77777777" w:rsidR="005A3F6D" w:rsidRPr="005A3F6D" w:rsidRDefault="005A3F6D" w:rsidP="006D370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CL"/>
        </w:rPr>
      </w:pPr>
      <w:r w:rsidRPr="005A3F6D">
        <w:rPr>
          <w:lang w:val="es-CL"/>
        </w:rPr>
        <w:t>En 2004, aproximadamente el 50% de la población pertenece a la PEA.</w:t>
      </w:r>
    </w:p>
    <w:p w14:paraId="530498BD" w14:textId="77777777" w:rsidR="005A3F6D" w:rsidRPr="005A3F6D" w:rsidRDefault="005A3F6D" w:rsidP="006D370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CL"/>
        </w:rPr>
      </w:pPr>
      <w:r w:rsidRPr="005A3F6D">
        <w:rPr>
          <w:lang w:val="es-CL"/>
        </w:rPr>
        <w:t>En 2024, la composición de la PEA se mantiene estable en términos proporcionales.</w:t>
      </w:r>
    </w:p>
    <w:p w14:paraId="726470EF" w14:textId="77777777" w:rsidR="005A3F6D" w:rsidRPr="005A3F6D" w:rsidRDefault="005A3F6D" w:rsidP="006D370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CL"/>
        </w:rPr>
      </w:pPr>
      <w:r w:rsidRPr="005A3F6D">
        <w:rPr>
          <w:lang w:val="es-CL"/>
        </w:rPr>
        <w:t>El número total de observaciones creció entre 2004 y 2024, reflejando un incremento en la base de datos.</w:t>
      </w:r>
    </w:p>
    <w:p w14:paraId="124D7EB5" w14:textId="77777777" w:rsidR="005A3F6D" w:rsidRDefault="005A3F6D" w:rsidP="006D3709">
      <w:pPr>
        <w:pStyle w:val="NormalWeb"/>
        <w:numPr>
          <w:ilvl w:val="0"/>
          <w:numId w:val="15"/>
        </w:numPr>
      </w:pPr>
      <w:r>
        <w:rPr>
          <w:rStyle w:val="Textoennegrita"/>
        </w:rPr>
        <w:t>Comentarios:</w:t>
      </w:r>
    </w:p>
    <w:p w14:paraId="42029F39" w14:textId="77777777" w:rsidR="005A3F6D" w:rsidRPr="005A3F6D" w:rsidRDefault="005A3F6D" w:rsidP="006D370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CL"/>
        </w:rPr>
      </w:pPr>
      <w:r w:rsidRPr="005A3F6D">
        <w:rPr>
          <w:lang w:val="es-CL"/>
        </w:rPr>
        <w:t>La estabilidad en la proporción de la PEA podría estar asociada a tendencias macroeconómicas, cambios en la estructura demográfica o la metodología de la encuesta.</w:t>
      </w:r>
    </w:p>
    <w:p w14:paraId="79A333C2" w14:textId="77777777" w:rsidR="005A3F6D" w:rsidRPr="005A3F6D" w:rsidRDefault="005A3F6D" w:rsidP="006D370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CL"/>
        </w:rPr>
      </w:pPr>
      <w:r w:rsidRPr="005A3F6D">
        <w:rPr>
          <w:lang w:val="es-CL"/>
        </w:rPr>
        <w:lastRenderedPageBreak/>
        <w:t>Este análisis es clave para entender la dinámica del mercado laboral y diseñar políticas públicas que fomenten la participación económica.</w:t>
      </w:r>
    </w:p>
    <w:p w14:paraId="6242E824" w14:textId="6F405241" w:rsidR="00306915" w:rsidRPr="00B96957" w:rsidRDefault="00306915" w:rsidP="005A3F6D">
      <w:pPr>
        <w:spacing w:before="100" w:beforeAutospacing="1" w:after="100" w:afterAutospacing="1" w:line="240" w:lineRule="auto"/>
        <w:ind w:left="1440" w:firstLine="0"/>
        <w:rPr>
          <w:lang w:val="es-CL"/>
        </w:rPr>
      </w:pPr>
    </w:p>
    <w:p w14:paraId="4043AB9A" w14:textId="77777777" w:rsidR="00C62510" w:rsidRPr="00C62510" w:rsidRDefault="00C62510" w:rsidP="00C62510">
      <w:pPr>
        <w:pStyle w:val="Ttulo3"/>
        <w:rPr>
          <w:lang w:val="es-CL"/>
        </w:rPr>
      </w:pPr>
      <w:r w:rsidRPr="00C62510">
        <w:rPr>
          <w:rStyle w:val="Textoennegrita"/>
          <w:b/>
          <w:bCs w:val="0"/>
          <w:lang w:val="es-CL"/>
        </w:rPr>
        <w:t>5. Análisis de la Población en Edad para Trabajar (PET)</w:t>
      </w:r>
    </w:p>
    <w:p w14:paraId="4CF9DEDA" w14:textId="77777777" w:rsidR="00C62510" w:rsidRDefault="00C62510" w:rsidP="00C62510">
      <w:pPr>
        <w:pStyle w:val="NormalWeb"/>
      </w:pPr>
      <w:r>
        <w:t xml:space="preserve">La </w:t>
      </w:r>
      <w:r>
        <w:rPr>
          <w:rStyle w:val="Textoennegrita"/>
        </w:rPr>
        <w:t>Población en Edad para Trabajar (PET)</w:t>
      </w:r>
      <w:r>
        <w:t xml:space="preserve"> incluye a todas las personas entre 15 y 65 años. Este grupo es un subconjunto relevante para entender el potencial de participación económica y laboral. El análisis tiene como objetivo comparar la PET con la PEA y observar cambios entre 2004 y 2024.</w:t>
      </w:r>
    </w:p>
    <w:p w14:paraId="28E73E11" w14:textId="2B550674" w:rsidR="00C62510" w:rsidRPr="00B96957" w:rsidRDefault="00C62510" w:rsidP="00C62510">
      <w:pPr>
        <w:rPr>
          <w:lang w:val="es-CL"/>
        </w:rPr>
      </w:pPr>
    </w:p>
    <w:p w14:paraId="4A44E918" w14:textId="77777777" w:rsidR="00C62510" w:rsidRPr="001D0773" w:rsidRDefault="00C62510" w:rsidP="00C62510">
      <w:pPr>
        <w:pStyle w:val="Ttulo4"/>
        <w:rPr>
          <w:lang w:val="es-CL"/>
        </w:rPr>
      </w:pPr>
      <w:r w:rsidRPr="001D0773">
        <w:rPr>
          <w:rStyle w:val="Textoennegrita"/>
          <w:b/>
          <w:bCs w:val="0"/>
          <w:lang w:val="es-CL"/>
        </w:rPr>
        <w:t>Creación de la Columna PET</w:t>
      </w:r>
    </w:p>
    <w:p w14:paraId="50AF0C2B" w14:textId="77777777" w:rsidR="00C62510" w:rsidRDefault="00C62510" w:rsidP="006D3709">
      <w:pPr>
        <w:pStyle w:val="NormalWeb"/>
        <w:numPr>
          <w:ilvl w:val="0"/>
          <w:numId w:val="16"/>
        </w:numPr>
      </w:pPr>
      <w:r>
        <w:rPr>
          <w:rStyle w:val="Textoennegrita"/>
        </w:rPr>
        <w:t>Criterio:</w:t>
      </w:r>
    </w:p>
    <w:p w14:paraId="6672AE47" w14:textId="77777777" w:rsidR="00C62510" w:rsidRPr="00C62510" w:rsidRDefault="00C62510" w:rsidP="006D3709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s-CL"/>
        </w:rPr>
      </w:pPr>
      <w:r w:rsidRPr="00C62510">
        <w:rPr>
          <w:lang w:val="es-CL"/>
        </w:rPr>
        <w:t>Una persona pertenece a la PET si su edad (</w:t>
      </w:r>
      <w:r w:rsidRPr="00C62510">
        <w:rPr>
          <w:rStyle w:val="CdigoHTML"/>
          <w:lang w:val="es-CL"/>
        </w:rPr>
        <w:t>CH06</w:t>
      </w:r>
      <w:r w:rsidRPr="00C62510">
        <w:rPr>
          <w:lang w:val="es-CL"/>
        </w:rPr>
        <w:t xml:space="preserve">) está entre </w:t>
      </w:r>
      <w:r w:rsidRPr="00C62510">
        <w:rPr>
          <w:rStyle w:val="Textoennegrita"/>
          <w:lang w:val="es-CL"/>
        </w:rPr>
        <w:t>15 y 65 años</w:t>
      </w:r>
      <w:r w:rsidRPr="00C62510">
        <w:rPr>
          <w:lang w:val="es-CL"/>
        </w:rPr>
        <w:t>.</w:t>
      </w:r>
    </w:p>
    <w:p w14:paraId="5BC6D843" w14:textId="77777777" w:rsidR="00C62510" w:rsidRDefault="00C62510" w:rsidP="00C62510">
      <w:pPr>
        <w:pStyle w:val="Ttulo4"/>
      </w:pPr>
      <w:proofErr w:type="spellStart"/>
      <w:r>
        <w:rPr>
          <w:rStyle w:val="Textoennegrita"/>
          <w:b/>
          <w:bCs w:val="0"/>
        </w:rPr>
        <w:t>Análisis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Gráfico</w:t>
      </w:r>
      <w:proofErr w:type="spellEnd"/>
    </w:p>
    <w:p w14:paraId="766362FF" w14:textId="77777777" w:rsidR="00C62510" w:rsidRDefault="00C62510" w:rsidP="006D3709">
      <w:pPr>
        <w:pStyle w:val="NormalWeb"/>
        <w:numPr>
          <w:ilvl w:val="0"/>
          <w:numId w:val="17"/>
        </w:numPr>
      </w:pPr>
      <w:r>
        <w:rPr>
          <w:rStyle w:val="Textoennegrita"/>
        </w:rPr>
        <w:t>Descripción:</w:t>
      </w:r>
    </w:p>
    <w:p w14:paraId="5DD9B69D" w14:textId="77777777" w:rsidR="00C62510" w:rsidRPr="00C62510" w:rsidRDefault="00C62510" w:rsidP="006D3709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CL"/>
        </w:rPr>
      </w:pPr>
      <w:r w:rsidRPr="00C62510">
        <w:rPr>
          <w:lang w:val="es-CL"/>
        </w:rPr>
        <w:t>Se generaron gráficos de barras para comparar la proporción de PET y PEA en los años 2004 y 2024.</w:t>
      </w:r>
    </w:p>
    <w:p w14:paraId="043F871F" w14:textId="77777777" w:rsidR="00C62510" w:rsidRDefault="00C62510" w:rsidP="006D3709">
      <w:pPr>
        <w:pStyle w:val="NormalWeb"/>
        <w:numPr>
          <w:ilvl w:val="0"/>
          <w:numId w:val="17"/>
        </w:numPr>
      </w:pPr>
      <w:r>
        <w:rPr>
          <w:rStyle w:val="Textoennegrita"/>
        </w:rPr>
        <w:t>Gráficos:</w:t>
      </w:r>
    </w:p>
    <w:p w14:paraId="142F5AD3" w14:textId="77777777" w:rsidR="00C62510" w:rsidRPr="00C62510" w:rsidRDefault="00C62510" w:rsidP="006D3709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CL"/>
        </w:rPr>
      </w:pPr>
      <w:r w:rsidRPr="00C62510">
        <w:rPr>
          <w:rStyle w:val="Textoennegrita"/>
          <w:lang w:val="es-CL"/>
        </w:rPr>
        <w:t>Izquierda:</w:t>
      </w:r>
      <w:r w:rsidRPr="00C62510">
        <w:rPr>
          <w:lang w:val="es-CL"/>
        </w:rPr>
        <w:t xml:space="preserve"> Composición por PEA (2004 vs. 2024).</w:t>
      </w:r>
    </w:p>
    <w:p w14:paraId="77BC0AB8" w14:textId="77777777" w:rsidR="00C62510" w:rsidRPr="00C62510" w:rsidRDefault="00C62510" w:rsidP="006D3709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CL"/>
        </w:rPr>
      </w:pPr>
      <w:r w:rsidRPr="00C62510">
        <w:rPr>
          <w:rStyle w:val="Textoennegrita"/>
          <w:lang w:val="es-CL"/>
        </w:rPr>
        <w:t>Derecha:</w:t>
      </w:r>
      <w:r w:rsidRPr="00C62510">
        <w:rPr>
          <w:lang w:val="es-CL"/>
        </w:rPr>
        <w:t xml:space="preserve"> Composición por PET (2004 vs. 2024).</w:t>
      </w:r>
    </w:p>
    <w:p w14:paraId="56F3D0E4" w14:textId="55A808DD" w:rsidR="00C62510" w:rsidRPr="00C62510" w:rsidRDefault="00C62510" w:rsidP="00C62510">
      <w:pPr>
        <w:spacing w:before="100" w:beforeAutospacing="1" w:after="100" w:afterAutospacing="1" w:line="240" w:lineRule="auto"/>
        <w:ind w:firstLine="0"/>
      </w:pPr>
      <w:r>
        <w:rPr>
          <w:noProof/>
        </w:rPr>
        <w:drawing>
          <wp:inline distT="0" distB="0" distL="0" distR="0" wp14:anchorId="61499625" wp14:editId="55AB72C8">
            <wp:extent cx="5733415" cy="2432685"/>
            <wp:effectExtent l="0" t="0" r="63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FBCC" w14:textId="77777777" w:rsidR="00C62510" w:rsidRPr="00C62510" w:rsidRDefault="00C62510" w:rsidP="00C62510">
      <w:pPr>
        <w:spacing w:before="100" w:beforeAutospacing="1" w:after="100" w:afterAutospacing="1" w:line="240" w:lineRule="auto"/>
        <w:ind w:left="1440" w:firstLine="0"/>
      </w:pPr>
    </w:p>
    <w:p w14:paraId="453275EF" w14:textId="77777777" w:rsidR="00FF549B" w:rsidRDefault="00FF549B" w:rsidP="00FF549B">
      <w:pPr>
        <w:pStyle w:val="Ttulo4"/>
      </w:pPr>
      <w:proofErr w:type="spellStart"/>
      <w:r>
        <w:rPr>
          <w:rStyle w:val="Textoennegrita"/>
          <w:b/>
          <w:bCs w:val="0"/>
        </w:rPr>
        <w:lastRenderedPageBreak/>
        <w:t>Resultados</w:t>
      </w:r>
      <w:proofErr w:type="spellEnd"/>
      <w:r>
        <w:rPr>
          <w:rStyle w:val="Textoennegrita"/>
          <w:b/>
          <w:bCs w:val="0"/>
        </w:rPr>
        <w:t xml:space="preserve"> y </w:t>
      </w:r>
      <w:proofErr w:type="spellStart"/>
      <w:r>
        <w:rPr>
          <w:rStyle w:val="Textoennegrita"/>
          <w:b/>
          <w:bCs w:val="0"/>
        </w:rPr>
        <w:t>Comentarios</w:t>
      </w:r>
      <w:proofErr w:type="spellEnd"/>
    </w:p>
    <w:p w14:paraId="3BE3351B" w14:textId="77777777" w:rsidR="00FF549B" w:rsidRDefault="00FF549B" w:rsidP="006D3709">
      <w:pPr>
        <w:pStyle w:val="NormalWeb"/>
        <w:numPr>
          <w:ilvl w:val="0"/>
          <w:numId w:val="18"/>
        </w:numPr>
      </w:pPr>
      <w:r>
        <w:rPr>
          <w:rStyle w:val="Textoennegrita"/>
        </w:rPr>
        <w:t>Resultados Observados:</w:t>
      </w:r>
    </w:p>
    <w:p w14:paraId="16791A23" w14:textId="77777777" w:rsidR="00FF549B" w:rsidRPr="00FF549B" w:rsidRDefault="00FF549B" w:rsidP="006D3709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CL"/>
        </w:rPr>
      </w:pPr>
      <w:r w:rsidRPr="00FF549B">
        <w:rPr>
          <w:lang w:val="es-CL"/>
        </w:rPr>
        <w:t>En ambos años, la PET representa un porcentaje mayor de la población total en comparación con la PEA, como era de esperarse.</w:t>
      </w:r>
    </w:p>
    <w:p w14:paraId="3EEC7593" w14:textId="77777777" w:rsidR="00FF549B" w:rsidRPr="00FF549B" w:rsidRDefault="00FF549B" w:rsidP="006D3709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CL"/>
        </w:rPr>
      </w:pPr>
      <w:r w:rsidRPr="00FF549B">
        <w:rPr>
          <w:lang w:val="es-CL"/>
        </w:rPr>
        <w:t>La proporción de personas en la PEA dentro de la PET permanece estable entre 2004 y 2024.</w:t>
      </w:r>
    </w:p>
    <w:p w14:paraId="10675F79" w14:textId="77777777" w:rsidR="00FF549B" w:rsidRDefault="00FF549B" w:rsidP="006D3709">
      <w:pPr>
        <w:pStyle w:val="NormalWeb"/>
        <w:numPr>
          <w:ilvl w:val="0"/>
          <w:numId w:val="18"/>
        </w:numPr>
      </w:pPr>
      <w:r>
        <w:rPr>
          <w:rStyle w:val="Textoennegrita"/>
        </w:rPr>
        <w:t>Comparación entre PET y PEA:</w:t>
      </w:r>
    </w:p>
    <w:p w14:paraId="68C65AFA" w14:textId="77777777" w:rsidR="00FF549B" w:rsidRPr="00FF549B" w:rsidRDefault="00FF549B" w:rsidP="006D3709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CL"/>
        </w:rPr>
      </w:pPr>
      <w:r w:rsidRPr="00FF549B">
        <w:rPr>
          <w:lang w:val="es-CL"/>
        </w:rPr>
        <w:t>Aunque la PET incluye a todos los individuos con potencial de trabajar, no todos ellos forman parte de la PEA, debido a factores como inactividad económica (</w:t>
      </w:r>
      <w:proofErr w:type="spellStart"/>
      <w:r w:rsidRPr="00FF549B">
        <w:rPr>
          <w:lang w:val="es-CL"/>
        </w:rPr>
        <w:t>e.g</w:t>
      </w:r>
      <w:proofErr w:type="spellEnd"/>
      <w:r w:rsidRPr="00FF549B">
        <w:rPr>
          <w:lang w:val="es-CL"/>
        </w:rPr>
        <w:t>., estudiantes, jubilados).</w:t>
      </w:r>
    </w:p>
    <w:p w14:paraId="1C9D279A" w14:textId="77777777" w:rsidR="00FF549B" w:rsidRPr="00FF549B" w:rsidRDefault="00FF549B" w:rsidP="006D3709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CL"/>
        </w:rPr>
      </w:pPr>
      <w:r w:rsidRPr="00FF549B">
        <w:rPr>
          <w:lang w:val="es-CL"/>
        </w:rPr>
        <w:t>La relación entre PEA y PET es un indicador clave para evaluar la eficiencia y los retos del mercado laboral.</w:t>
      </w:r>
    </w:p>
    <w:p w14:paraId="6DF43A95" w14:textId="77777777" w:rsidR="00FF549B" w:rsidRDefault="00FF549B" w:rsidP="00306915">
      <w:pPr>
        <w:pStyle w:val="Ttulo4"/>
        <w:rPr>
          <w:rStyle w:val="Textoennegrita"/>
          <w:b/>
          <w:bCs w:val="0"/>
          <w:lang w:val="es-CL"/>
        </w:rPr>
      </w:pPr>
    </w:p>
    <w:p w14:paraId="48BD6B0A" w14:textId="77777777" w:rsidR="000E6A88" w:rsidRPr="000E6A88" w:rsidRDefault="000E6A88" w:rsidP="000E6A88">
      <w:pPr>
        <w:pStyle w:val="Ttulo3"/>
        <w:rPr>
          <w:lang w:val="es-CL"/>
        </w:rPr>
      </w:pPr>
      <w:r w:rsidRPr="000E6A88">
        <w:rPr>
          <w:rStyle w:val="Textoennegrita"/>
          <w:b/>
          <w:bCs w:val="0"/>
          <w:lang w:val="es-CL"/>
        </w:rPr>
        <w:t>6. Análisis Desocupados</w:t>
      </w:r>
    </w:p>
    <w:p w14:paraId="25C04B95" w14:textId="77777777" w:rsidR="000E6A88" w:rsidRPr="000E6A88" w:rsidRDefault="000E6A88" w:rsidP="000E6A88">
      <w:pPr>
        <w:pStyle w:val="Ttulo4"/>
        <w:rPr>
          <w:lang w:val="es-CL"/>
        </w:rPr>
      </w:pPr>
      <w:r w:rsidRPr="000E6A88">
        <w:rPr>
          <w:rStyle w:val="Textoennegrita"/>
          <w:b/>
          <w:bCs w:val="0"/>
          <w:lang w:val="es-CL"/>
        </w:rPr>
        <w:t>a. Proporción de Desocupados por Nivel Educativo</w:t>
      </w:r>
    </w:p>
    <w:p w14:paraId="3ADCB2FF" w14:textId="77777777" w:rsidR="000E6A88" w:rsidRDefault="000E6A88" w:rsidP="000E6A88">
      <w:pPr>
        <w:pStyle w:val="NormalWeb"/>
      </w:pPr>
      <w:r>
        <w:t>Este análisis busca evaluar cómo varía la proporción de desocupados según el nivel educativo en los años 2004 y 2024. Esto permite identificar posibles patrones en la relación entre educación y participación en el mercado laboral.</w:t>
      </w:r>
    </w:p>
    <w:p w14:paraId="3FCBC1AB" w14:textId="0499794E" w:rsidR="000E6A88" w:rsidRPr="00B96957" w:rsidRDefault="000E6A88" w:rsidP="000E6A88">
      <w:pPr>
        <w:rPr>
          <w:lang w:val="es-CL"/>
        </w:rPr>
      </w:pPr>
    </w:p>
    <w:p w14:paraId="06D19F95" w14:textId="77777777" w:rsidR="000E6A88" w:rsidRPr="000E6A88" w:rsidRDefault="000E6A88" w:rsidP="000E6A88">
      <w:pPr>
        <w:pStyle w:val="Ttulo4"/>
        <w:rPr>
          <w:lang w:val="es-CL"/>
        </w:rPr>
      </w:pPr>
      <w:r w:rsidRPr="000E6A88">
        <w:rPr>
          <w:rStyle w:val="Textoennegrita"/>
          <w:b/>
          <w:bCs w:val="0"/>
          <w:lang w:val="es-CL"/>
        </w:rPr>
        <w:t>Creación de la Columna "Desocupado"</w:t>
      </w:r>
    </w:p>
    <w:p w14:paraId="32E3BE2B" w14:textId="77777777" w:rsidR="000E6A88" w:rsidRDefault="000E6A88" w:rsidP="006D3709">
      <w:pPr>
        <w:pStyle w:val="NormalWeb"/>
        <w:numPr>
          <w:ilvl w:val="0"/>
          <w:numId w:val="19"/>
        </w:numPr>
      </w:pPr>
      <w:r>
        <w:rPr>
          <w:rStyle w:val="Textoennegrita"/>
        </w:rPr>
        <w:t>Criterio:</w:t>
      </w:r>
    </w:p>
    <w:p w14:paraId="66034372" w14:textId="77777777" w:rsidR="000E6A88" w:rsidRPr="000E6A88" w:rsidRDefault="000E6A88" w:rsidP="006D3709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Una persona se clasifica como desocupada si su estado (</w:t>
      </w:r>
      <w:r w:rsidRPr="000E6A88">
        <w:rPr>
          <w:rStyle w:val="CdigoHTML"/>
          <w:lang w:val="es-CL"/>
        </w:rPr>
        <w:t>ESTADO_NUM</w:t>
      </w:r>
      <w:r w:rsidRPr="000E6A88">
        <w:rPr>
          <w:lang w:val="es-CL"/>
        </w:rPr>
        <w:t xml:space="preserve">) es igual a </w:t>
      </w:r>
      <w:r w:rsidRPr="000E6A88">
        <w:rPr>
          <w:rStyle w:val="Textoennegrita"/>
          <w:lang w:val="es-CL"/>
        </w:rPr>
        <w:t>2</w:t>
      </w:r>
      <w:r w:rsidRPr="000E6A88">
        <w:rPr>
          <w:lang w:val="es-CL"/>
        </w:rPr>
        <w:t>.</w:t>
      </w:r>
    </w:p>
    <w:p w14:paraId="5CE0B7BE" w14:textId="77777777" w:rsidR="000E6A88" w:rsidRDefault="000E6A88" w:rsidP="000E6A88">
      <w:pPr>
        <w:pStyle w:val="Ttulo4"/>
      </w:pPr>
      <w:proofErr w:type="spellStart"/>
      <w:r>
        <w:rPr>
          <w:rStyle w:val="Textoennegrita"/>
          <w:b/>
          <w:bCs w:val="0"/>
        </w:rPr>
        <w:t>Cálculo</w:t>
      </w:r>
      <w:proofErr w:type="spellEnd"/>
      <w:r>
        <w:rPr>
          <w:rStyle w:val="Textoennegrita"/>
          <w:b/>
          <w:bCs w:val="0"/>
        </w:rPr>
        <w:t xml:space="preserve"> de </w:t>
      </w:r>
      <w:proofErr w:type="spellStart"/>
      <w:r>
        <w:rPr>
          <w:rStyle w:val="Textoennegrita"/>
          <w:b/>
          <w:bCs w:val="0"/>
        </w:rPr>
        <w:t>Desocupados</w:t>
      </w:r>
      <w:proofErr w:type="spellEnd"/>
      <w:r>
        <w:rPr>
          <w:rStyle w:val="Textoennegrita"/>
          <w:b/>
          <w:bCs w:val="0"/>
        </w:rPr>
        <w:t xml:space="preserve"> por </w:t>
      </w:r>
      <w:proofErr w:type="spellStart"/>
      <w:r>
        <w:rPr>
          <w:rStyle w:val="Textoennegrita"/>
          <w:b/>
          <w:bCs w:val="0"/>
        </w:rPr>
        <w:t>Año</w:t>
      </w:r>
      <w:proofErr w:type="spellEnd"/>
    </w:p>
    <w:p w14:paraId="33F5DBBA" w14:textId="77777777" w:rsidR="000E6A88" w:rsidRDefault="000E6A88" w:rsidP="006D3709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Descripción</w:t>
      </w:r>
      <w:proofErr w:type="spellEnd"/>
      <w:r>
        <w:rPr>
          <w:rStyle w:val="Textoennegrita"/>
        </w:rPr>
        <w:t>:</w:t>
      </w:r>
    </w:p>
    <w:p w14:paraId="79FB3107" w14:textId="77777777" w:rsidR="000E6A88" w:rsidRPr="000E6A88" w:rsidRDefault="000E6A88" w:rsidP="006D3709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Se contabilizó la cantidad de desocupados para los años 2004 y 2024.</w:t>
      </w:r>
    </w:p>
    <w:p w14:paraId="7552A1E7" w14:textId="77777777" w:rsidR="000E6A88" w:rsidRDefault="000E6A88" w:rsidP="006D3709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Resultado</w:t>
      </w:r>
      <w:proofErr w:type="spellEnd"/>
      <w:r>
        <w:rPr>
          <w:rStyle w:val="Textoennegrita"/>
        </w:rPr>
        <w:t>:</w:t>
      </w:r>
    </w:p>
    <w:p w14:paraId="7E1A1FEA" w14:textId="77777777" w:rsidR="000E6A88" w:rsidRDefault="000E6A88" w:rsidP="006D370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2004:</w:t>
      </w:r>
      <w:r>
        <w:t xml:space="preserve"> 2,717 </w:t>
      </w:r>
      <w:proofErr w:type="spellStart"/>
      <w:r>
        <w:t>desocupados</w:t>
      </w:r>
      <w:proofErr w:type="spellEnd"/>
      <w:r>
        <w:t>.</w:t>
      </w:r>
    </w:p>
    <w:p w14:paraId="4B473DBB" w14:textId="77777777" w:rsidR="000E6A88" w:rsidRDefault="000E6A88" w:rsidP="006D370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2024:</w:t>
      </w:r>
      <w:r>
        <w:t xml:space="preserve"> 1,362 </w:t>
      </w:r>
      <w:proofErr w:type="spellStart"/>
      <w:r>
        <w:t>desocupados</w:t>
      </w:r>
      <w:proofErr w:type="spellEnd"/>
      <w:r>
        <w:t>.</w:t>
      </w:r>
    </w:p>
    <w:p w14:paraId="0718142A" w14:textId="3BEA2BF8" w:rsidR="000E6A88" w:rsidRDefault="000E6A88" w:rsidP="000E6A88">
      <w:pPr>
        <w:ind w:firstLine="0"/>
      </w:pPr>
    </w:p>
    <w:p w14:paraId="41CA51F2" w14:textId="77777777" w:rsidR="000E6A88" w:rsidRDefault="000E6A88" w:rsidP="000E6A88">
      <w:pPr>
        <w:pStyle w:val="Ttulo4"/>
      </w:pPr>
      <w:proofErr w:type="spellStart"/>
      <w:r>
        <w:rPr>
          <w:rStyle w:val="Textoennegrita"/>
          <w:b/>
          <w:bCs w:val="0"/>
        </w:rPr>
        <w:lastRenderedPageBreak/>
        <w:t>Análisis</w:t>
      </w:r>
      <w:proofErr w:type="spellEnd"/>
      <w:r>
        <w:rPr>
          <w:rStyle w:val="Textoennegrita"/>
          <w:b/>
          <w:bCs w:val="0"/>
        </w:rPr>
        <w:t xml:space="preserve"> por Nivel </w:t>
      </w:r>
      <w:proofErr w:type="spellStart"/>
      <w:r>
        <w:rPr>
          <w:rStyle w:val="Textoennegrita"/>
          <w:b/>
          <w:bCs w:val="0"/>
        </w:rPr>
        <w:t>Educativo</w:t>
      </w:r>
      <w:proofErr w:type="spellEnd"/>
    </w:p>
    <w:p w14:paraId="09B67DB8" w14:textId="77777777" w:rsidR="000E6A88" w:rsidRPr="000E6A88" w:rsidRDefault="000E6A88" w:rsidP="006D370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rStyle w:val="Textoennegrita"/>
          <w:lang w:val="es-CL"/>
        </w:rPr>
        <w:t>Gráfico:</w:t>
      </w:r>
      <w:r w:rsidRPr="000E6A88">
        <w:rPr>
          <w:lang w:val="es-CL"/>
        </w:rPr>
        <w:t xml:space="preserve"> Se generó un gráfico para comparar las proporciones de desocupados por nivel educativo en 2004 y 2024.</w:t>
      </w:r>
    </w:p>
    <w:p w14:paraId="3901B64A" w14:textId="21C51101" w:rsidR="000E6A88" w:rsidRPr="00B96957" w:rsidRDefault="000E6A88" w:rsidP="000E6A88">
      <w:pPr>
        <w:rPr>
          <w:lang w:val="es-CL"/>
        </w:rPr>
      </w:pPr>
    </w:p>
    <w:p w14:paraId="11BB0270" w14:textId="77777777" w:rsidR="000E6A88" w:rsidRDefault="000E6A88" w:rsidP="000E6A88">
      <w:pPr>
        <w:pStyle w:val="Ttulo4"/>
      </w:pPr>
      <w:proofErr w:type="spellStart"/>
      <w:r>
        <w:rPr>
          <w:rStyle w:val="Textoennegrita"/>
          <w:b/>
          <w:bCs w:val="0"/>
        </w:rPr>
        <w:t>Resultados</w:t>
      </w:r>
      <w:proofErr w:type="spellEnd"/>
      <w:r>
        <w:rPr>
          <w:rStyle w:val="Textoennegrita"/>
          <w:b/>
          <w:bCs w:val="0"/>
        </w:rPr>
        <w:t xml:space="preserve"> y </w:t>
      </w:r>
      <w:proofErr w:type="spellStart"/>
      <w:r>
        <w:rPr>
          <w:rStyle w:val="Textoennegrita"/>
          <w:b/>
          <w:bCs w:val="0"/>
        </w:rPr>
        <w:t>Comentarios</w:t>
      </w:r>
      <w:proofErr w:type="spellEnd"/>
    </w:p>
    <w:p w14:paraId="4E593616" w14:textId="77777777" w:rsidR="000E6A88" w:rsidRDefault="000E6A88" w:rsidP="006D3709">
      <w:pPr>
        <w:pStyle w:val="NormalWeb"/>
        <w:numPr>
          <w:ilvl w:val="0"/>
          <w:numId w:val="23"/>
        </w:numPr>
      </w:pPr>
      <w:r>
        <w:rPr>
          <w:rStyle w:val="Textoennegrita"/>
        </w:rPr>
        <w:t>Resultados Observados:</w:t>
      </w:r>
    </w:p>
    <w:p w14:paraId="4F7CDB0F" w14:textId="77777777" w:rsidR="000E6A88" w:rsidRPr="000E6A88" w:rsidRDefault="000E6A88" w:rsidP="006D3709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En ambos años, los niveles educativos más bajos presentan las mayores proporciones de desocupación.</w:t>
      </w:r>
    </w:p>
    <w:p w14:paraId="03ECABF7" w14:textId="77777777" w:rsidR="000E6A88" w:rsidRPr="000E6A88" w:rsidRDefault="000E6A88" w:rsidP="006D3709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En 2024, se observa una disminución generalizada en las proporciones de desocupados en todos los niveles educativos en comparación con 2004.</w:t>
      </w:r>
    </w:p>
    <w:p w14:paraId="298DCA38" w14:textId="77777777" w:rsidR="000E6A88" w:rsidRPr="000E6A88" w:rsidRDefault="000E6A88" w:rsidP="006D3709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Las personas con educación universitaria completa (</w:t>
      </w:r>
      <w:r w:rsidRPr="000E6A88">
        <w:rPr>
          <w:rStyle w:val="CdigoHTML"/>
          <w:lang w:val="es-CL"/>
        </w:rPr>
        <w:t>NIVEL_ED</w:t>
      </w:r>
      <w:r w:rsidRPr="000E6A88">
        <w:rPr>
          <w:lang w:val="es-CL"/>
        </w:rPr>
        <w:t xml:space="preserve"> = 6) tienen la proporción más baja de desocupación en ambos años.</w:t>
      </w:r>
    </w:p>
    <w:p w14:paraId="3F93959E" w14:textId="77777777" w:rsidR="000E6A88" w:rsidRDefault="000E6A88" w:rsidP="006D3709">
      <w:pPr>
        <w:pStyle w:val="NormalWeb"/>
        <w:numPr>
          <w:ilvl w:val="0"/>
          <w:numId w:val="23"/>
        </w:numPr>
      </w:pPr>
      <w:r>
        <w:rPr>
          <w:rStyle w:val="Textoennegrita"/>
        </w:rPr>
        <w:t>Comentarios:</w:t>
      </w:r>
    </w:p>
    <w:p w14:paraId="1BDFAEFC" w14:textId="77777777" w:rsidR="000E6A88" w:rsidRPr="000E6A88" w:rsidRDefault="000E6A88" w:rsidP="006D3709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La disminución de la desocupación entre 2004 y 2024 podría reflejar cambios en las condiciones del mercado laboral o en la composición demográfica de la población activa.</w:t>
      </w:r>
    </w:p>
    <w:p w14:paraId="6F48B231" w14:textId="77777777" w:rsidR="000E6A88" w:rsidRPr="000E6A88" w:rsidRDefault="000E6A88" w:rsidP="006D3709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s-CL"/>
        </w:rPr>
      </w:pPr>
      <w:r w:rsidRPr="000E6A88">
        <w:rPr>
          <w:lang w:val="es-CL"/>
        </w:rPr>
        <w:t>La correlación negativa entre nivel educativo y desocupación sugiere la importancia de políticas que fomenten el acceso a la educación superior como herramienta para reducir el desempleo.</w:t>
      </w:r>
    </w:p>
    <w:p w14:paraId="4F4BB895" w14:textId="77777777" w:rsidR="00B16191" w:rsidRPr="00B16191" w:rsidRDefault="00B16191" w:rsidP="00B16191">
      <w:pPr>
        <w:pStyle w:val="Ttulo3"/>
        <w:rPr>
          <w:lang w:val="es-CL"/>
        </w:rPr>
      </w:pPr>
      <w:r w:rsidRPr="00B16191">
        <w:rPr>
          <w:rStyle w:val="Textoennegrita"/>
          <w:b/>
          <w:bCs w:val="0"/>
          <w:lang w:val="es-CL"/>
        </w:rPr>
        <w:t>Proporción de Desocupados por Nivel Educativo</w:t>
      </w:r>
    </w:p>
    <w:p w14:paraId="26F4FC14" w14:textId="77777777" w:rsidR="00B16191" w:rsidRPr="00B16191" w:rsidRDefault="00B16191" w:rsidP="00B16191">
      <w:pPr>
        <w:pStyle w:val="Ttulo4"/>
        <w:rPr>
          <w:lang w:val="es-CL"/>
        </w:rPr>
      </w:pPr>
      <w:r w:rsidRPr="00B16191">
        <w:rPr>
          <w:rStyle w:val="Textoennegrita"/>
          <w:b/>
          <w:bCs w:val="0"/>
          <w:lang w:val="es-CL"/>
        </w:rPr>
        <w:t>Análisis y Resultados</w:t>
      </w:r>
    </w:p>
    <w:p w14:paraId="1F775DD7" w14:textId="1106301B" w:rsidR="00B16191" w:rsidRDefault="00B16191" w:rsidP="00B16191">
      <w:pPr>
        <w:pStyle w:val="NormalWeb"/>
      </w:pPr>
      <w:r>
        <w:t xml:space="preserve">El gráfico presentado ilustra la </w:t>
      </w:r>
      <w:r>
        <w:rPr>
          <w:rStyle w:val="Textoennegrita"/>
        </w:rPr>
        <w:t>proporción de desocupados</w:t>
      </w:r>
      <w:r>
        <w:t xml:space="preserve"> para diferentes niveles educativos en los años 2004 y 2024.</w:t>
      </w:r>
    </w:p>
    <w:p w14:paraId="35703A99" w14:textId="3CBB3B72" w:rsidR="00D26792" w:rsidRDefault="00D26792" w:rsidP="00B16191">
      <w:pPr>
        <w:pStyle w:val="NormalWeb"/>
      </w:pPr>
      <w:r>
        <w:rPr>
          <w:noProof/>
        </w:rPr>
        <w:drawing>
          <wp:inline distT="0" distB="0" distL="0" distR="0" wp14:anchorId="767A94C8" wp14:editId="315D04B3">
            <wp:extent cx="4638675" cy="27634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92" cy="277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BB06" w14:textId="00ED0E31" w:rsidR="00B16191" w:rsidRPr="00AC63E6" w:rsidRDefault="00B16191" w:rsidP="00B16191">
      <w:pPr>
        <w:rPr>
          <w:lang w:val="es-CL"/>
        </w:rPr>
      </w:pPr>
    </w:p>
    <w:p w14:paraId="5DAEBEAD" w14:textId="77777777" w:rsidR="00B16191" w:rsidRDefault="00B16191" w:rsidP="00B16191">
      <w:pPr>
        <w:pStyle w:val="Ttulo4"/>
      </w:pPr>
      <w:proofErr w:type="spellStart"/>
      <w:r>
        <w:rPr>
          <w:rStyle w:val="Textoennegrita"/>
          <w:b/>
          <w:bCs w:val="0"/>
        </w:rPr>
        <w:t>Observaciones</w:t>
      </w:r>
      <w:proofErr w:type="spellEnd"/>
      <w:r>
        <w:rPr>
          <w:rStyle w:val="Textoennegrita"/>
          <w:b/>
          <w:bCs w:val="0"/>
        </w:rPr>
        <w:t xml:space="preserve"> Clave</w:t>
      </w:r>
    </w:p>
    <w:p w14:paraId="13D5E976" w14:textId="77777777" w:rsidR="00B16191" w:rsidRDefault="00B16191" w:rsidP="006D3709">
      <w:pPr>
        <w:pStyle w:val="NormalWeb"/>
        <w:numPr>
          <w:ilvl w:val="0"/>
          <w:numId w:val="24"/>
        </w:numPr>
      </w:pPr>
      <w:r>
        <w:rPr>
          <w:rStyle w:val="Textoennegrita"/>
        </w:rPr>
        <w:t>Primaria Completa e Incompleta</w:t>
      </w:r>
      <w:r>
        <w:t>:</w:t>
      </w:r>
    </w:p>
    <w:p w14:paraId="106A1BF4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 xml:space="preserve">En 2004, las personas con </w:t>
      </w:r>
      <w:r w:rsidRPr="00B16191">
        <w:rPr>
          <w:rStyle w:val="Textoennegrita"/>
          <w:lang w:val="es-CL"/>
        </w:rPr>
        <w:t>Primaria Completa</w:t>
      </w:r>
      <w:r w:rsidRPr="00B16191">
        <w:rPr>
          <w:lang w:val="es-CL"/>
        </w:rPr>
        <w:t xml:space="preserve"> tuvieron una proporción de desocupación más alta en comparación con 2024, mostrando una clara disminución en la desocupación.</w:t>
      </w:r>
    </w:p>
    <w:p w14:paraId="51BF0913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 xml:space="preserve">Las proporciones de </w:t>
      </w:r>
      <w:r w:rsidRPr="00B16191">
        <w:rPr>
          <w:rStyle w:val="Textoennegrita"/>
          <w:lang w:val="es-CL"/>
        </w:rPr>
        <w:t>Primaria Incompleta</w:t>
      </w:r>
      <w:r w:rsidRPr="00B16191">
        <w:rPr>
          <w:lang w:val="es-CL"/>
        </w:rPr>
        <w:t xml:space="preserve"> también disminuyeron significativamente en 2024.</w:t>
      </w:r>
    </w:p>
    <w:p w14:paraId="28CC08E7" w14:textId="77777777" w:rsidR="00B16191" w:rsidRDefault="00B16191" w:rsidP="006D3709">
      <w:pPr>
        <w:pStyle w:val="NormalWeb"/>
        <w:numPr>
          <w:ilvl w:val="0"/>
          <w:numId w:val="24"/>
        </w:numPr>
      </w:pPr>
      <w:r>
        <w:rPr>
          <w:rStyle w:val="Textoennegrita"/>
        </w:rPr>
        <w:t>Secundaria Completa e Incompleta</w:t>
      </w:r>
      <w:r>
        <w:t>:</w:t>
      </w:r>
    </w:p>
    <w:p w14:paraId="367E4815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 xml:space="preserve">La </w:t>
      </w:r>
      <w:r w:rsidRPr="00B16191">
        <w:rPr>
          <w:rStyle w:val="Textoennegrita"/>
          <w:lang w:val="es-CL"/>
        </w:rPr>
        <w:t>Secundaria Incompleta</w:t>
      </w:r>
      <w:r w:rsidRPr="00B16191">
        <w:rPr>
          <w:lang w:val="es-CL"/>
        </w:rPr>
        <w:t xml:space="preserve"> exhibió una notable reducción en la desocupación en 2024.</w:t>
      </w:r>
    </w:p>
    <w:p w14:paraId="25A01004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 xml:space="preserve">La </w:t>
      </w:r>
      <w:r w:rsidRPr="00B16191">
        <w:rPr>
          <w:rStyle w:val="Textoennegrita"/>
          <w:lang w:val="es-CL"/>
        </w:rPr>
        <w:t>Secundaria Completa</w:t>
      </w:r>
      <w:r w:rsidRPr="00B16191">
        <w:rPr>
          <w:lang w:val="es-CL"/>
        </w:rPr>
        <w:t>, aunque con menor desocupación en 2024, sigue siendo una categoría con una proporción destacable en comparación con niveles superiores.</w:t>
      </w:r>
    </w:p>
    <w:p w14:paraId="089340C0" w14:textId="77777777" w:rsidR="00B16191" w:rsidRDefault="00B16191" w:rsidP="006D3709">
      <w:pPr>
        <w:pStyle w:val="NormalWeb"/>
        <w:numPr>
          <w:ilvl w:val="0"/>
          <w:numId w:val="24"/>
        </w:numPr>
      </w:pPr>
      <w:r>
        <w:rPr>
          <w:rStyle w:val="Textoennegrita"/>
        </w:rPr>
        <w:t>Sin Instrucción</w:t>
      </w:r>
      <w:r>
        <w:t>:</w:t>
      </w:r>
    </w:p>
    <w:p w14:paraId="1427AA51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>Este grupo muestra proporciones de desocupación considerablemente bajas en ambos años, posiblemente debido a su menor representación en la población activa.</w:t>
      </w:r>
    </w:p>
    <w:p w14:paraId="50BDB17A" w14:textId="77777777" w:rsidR="00B16191" w:rsidRDefault="00B16191" w:rsidP="006D3709">
      <w:pPr>
        <w:pStyle w:val="NormalWeb"/>
        <w:numPr>
          <w:ilvl w:val="0"/>
          <w:numId w:val="24"/>
        </w:numPr>
      </w:pPr>
      <w:r>
        <w:rPr>
          <w:rStyle w:val="Textoennegrita"/>
        </w:rPr>
        <w:t>Superior Universitaria Completa e Incompleta</w:t>
      </w:r>
      <w:r>
        <w:t>:</w:t>
      </w:r>
    </w:p>
    <w:p w14:paraId="184E7D2C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 xml:space="preserve">Las personas con </w:t>
      </w:r>
      <w:r w:rsidRPr="00B16191">
        <w:rPr>
          <w:rStyle w:val="Textoennegrita"/>
          <w:lang w:val="es-CL"/>
        </w:rPr>
        <w:t>educación universitaria completa</w:t>
      </w:r>
      <w:r w:rsidRPr="00B16191">
        <w:rPr>
          <w:lang w:val="es-CL"/>
        </w:rPr>
        <w:t xml:space="preserve"> tienen consistentemente las tasas más bajas de desocupación, lo que refleja el impacto positivo de la educación superior en el mercado laboral.</w:t>
      </w:r>
    </w:p>
    <w:p w14:paraId="1624D163" w14:textId="77777777" w:rsidR="00B16191" w:rsidRPr="00B16191" w:rsidRDefault="00B16191" w:rsidP="006D3709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>En 2024, las proporciones de desocupación para ambos niveles (completa e incompleta) disminuyeron aún más.</w:t>
      </w:r>
    </w:p>
    <w:p w14:paraId="1D81729F" w14:textId="26BF40EE" w:rsidR="00B16191" w:rsidRPr="00B96957" w:rsidRDefault="00B16191" w:rsidP="00B16191">
      <w:pPr>
        <w:ind w:firstLine="0"/>
        <w:rPr>
          <w:lang w:val="es-CL"/>
        </w:rPr>
      </w:pPr>
    </w:p>
    <w:p w14:paraId="0A170552" w14:textId="77777777" w:rsidR="00B16191" w:rsidRDefault="00B16191" w:rsidP="00B16191">
      <w:pPr>
        <w:pStyle w:val="Ttulo4"/>
      </w:pPr>
      <w:proofErr w:type="spellStart"/>
      <w:r>
        <w:rPr>
          <w:rStyle w:val="Textoennegrita"/>
          <w:b/>
          <w:bCs w:val="0"/>
        </w:rPr>
        <w:t>Comentarios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Generales</w:t>
      </w:r>
      <w:proofErr w:type="spellEnd"/>
    </w:p>
    <w:p w14:paraId="3033E02D" w14:textId="77777777" w:rsidR="00B16191" w:rsidRPr="00B16191" w:rsidRDefault="00B16191" w:rsidP="006D370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rStyle w:val="Textoennegrita"/>
          <w:lang w:val="es-CL"/>
        </w:rPr>
        <w:t>Tendencia Global</w:t>
      </w:r>
      <w:r w:rsidRPr="00B16191">
        <w:rPr>
          <w:lang w:val="es-CL"/>
        </w:rPr>
        <w:t xml:space="preserve">: Se observa una </w:t>
      </w:r>
      <w:r w:rsidRPr="00B16191">
        <w:rPr>
          <w:rStyle w:val="Textoennegrita"/>
          <w:lang w:val="es-CL"/>
        </w:rPr>
        <w:t>disminución generalizada de la desocupación</w:t>
      </w:r>
      <w:r w:rsidRPr="00B16191">
        <w:rPr>
          <w:lang w:val="es-CL"/>
        </w:rPr>
        <w:t xml:space="preserve"> en todos los niveles educativos entre 2004 y 2024.</w:t>
      </w:r>
    </w:p>
    <w:p w14:paraId="512BD977" w14:textId="77777777" w:rsidR="00B16191" w:rsidRPr="00B16191" w:rsidRDefault="00B16191" w:rsidP="006D370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rStyle w:val="Textoennegrita"/>
          <w:lang w:val="es-CL"/>
        </w:rPr>
        <w:t>Impacto de la Educación</w:t>
      </w:r>
      <w:r w:rsidRPr="00B16191">
        <w:rPr>
          <w:lang w:val="es-CL"/>
        </w:rPr>
        <w:t xml:space="preserve">: A medida que aumenta el nivel educativo, la proporción de desocupados disminuye, confirmando que la </w:t>
      </w:r>
      <w:r w:rsidRPr="00B16191">
        <w:rPr>
          <w:rStyle w:val="Textoennegrita"/>
          <w:lang w:val="es-CL"/>
        </w:rPr>
        <w:t>educación actúa como un amortiguador contra la desocupación</w:t>
      </w:r>
      <w:r w:rsidRPr="00B16191">
        <w:rPr>
          <w:lang w:val="es-CL"/>
        </w:rPr>
        <w:t>.</w:t>
      </w:r>
    </w:p>
    <w:p w14:paraId="1A429023" w14:textId="77777777" w:rsidR="00B16191" w:rsidRDefault="00B16191" w:rsidP="006D3709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Implicaciones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Políticas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Públicas</w:t>
      </w:r>
      <w:proofErr w:type="spellEnd"/>
      <w:r>
        <w:t>:</w:t>
      </w:r>
    </w:p>
    <w:p w14:paraId="06A04365" w14:textId="77777777" w:rsidR="00B16191" w:rsidRPr="00B16191" w:rsidRDefault="00B16191" w:rsidP="006D3709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CL"/>
        </w:rPr>
      </w:pPr>
      <w:r w:rsidRPr="00B16191">
        <w:rPr>
          <w:lang w:val="es-CL"/>
        </w:rPr>
        <w:t>Es crucial fomentar el acceso y la finalización de niveles educativos superiores para reducir las tasas de desocupación.</w:t>
      </w:r>
    </w:p>
    <w:p w14:paraId="685EEAC3" w14:textId="77777777" w:rsidR="00AA30EB" w:rsidRDefault="00B16191" w:rsidP="0010332C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CL"/>
        </w:rPr>
      </w:pPr>
      <w:r w:rsidRPr="00AA30EB">
        <w:rPr>
          <w:lang w:val="es-CL"/>
        </w:rPr>
        <w:t>La segmentación de políticas para grupos con menor educación puede ayudar a mitigar desigualdades en el mercado laboral.</w:t>
      </w:r>
    </w:p>
    <w:p w14:paraId="1D2B56A3" w14:textId="77777777" w:rsidR="00AA30EB" w:rsidRDefault="00211BE1" w:rsidP="00AA30EB">
      <w:pPr>
        <w:spacing w:before="100" w:beforeAutospacing="1" w:after="100" w:afterAutospacing="1" w:line="240" w:lineRule="auto"/>
        <w:ind w:firstLine="0"/>
        <w:rPr>
          <w:rStyle w:val="Textoennegrita"/>
          <w:bCs w:val="0"/>
          <w:lang w:val="es-CL"/>
        </w:rPr>
      </w:pPr>
      <w:r w:rsidRPr="00AA30EB">
        <w:rPr>
          <w:rStyle w:val="Textoennegrita"/>
          <w:bCs w:val="0"/>
          <w:lang w:val="es-CL"/>
        </w:rPr>
        <w:t>7. Tasas de Desocupación</w:t>
      </w:r>
    </w:p>
    <w:p w14:paraId="45A79441" w14:textId="5939E5A2" w:rsidR="00211BE1" w:rsidRPr="00211BE1" w:rsidRDefault="00211BE1" w:rsidP="00AA30EB">
      <w:pPr>
        <w:spacing w:before="100" w:beforeAutospacing="1" w:after="100" w:afterAutospacing="1" w:line="240" w:lineRule="auto"/>
        <w:ind w:firstLine="0"/>
        <w:rPr>
          <w:lang w:val="es-CL"/>
        </w:rPr>
      </w:pPr>
      <w:r w:rsidRPr="00211BE1">
        <w:rPr>
          <w:rStyle w:val="Textoennegrita"/>
          <w:bCs w:val="0"/>
          <w:lang w:val="es-CL"/>
        </w:rPr>
        <w:t>Contexto y Objetivo</w:t>
      </w:r>
    </w:p>
    <w:p w14:paraId="1F669BE7" w14:textId="22A77C70" w:rsidR="00211BE1" w:rsidRPr="00B96957" w:rsidRDefault="00211BE1" w:rsidP="00AA30EB">
      <w:pPr>
        <w:pStyle w:val="NormalWeb"/>
      </w:pPr>
      <w:r>
        <w:t xml:space="preserve">El cálculo de la </w:t>
      </w:r>
      <w:r>
        <w:rPr>
          <w:rStyle w:val="Textoennegrita"/>
        </w:rPr>
        <w:t>tasa de desocupación</w:t>
      </w:r>
      <w:r>
        <w:t xml:space="preserve"> es un indicador clave del mercado laboral. Según la metodología del </w:t>
      </w:r>
      <w:r>
        <w:rPr>
          <w:rStyle w:val="Textoennegrita"/>
        </w:rPr>
        <w:t>INDEC</w:t>
      </w:r>
      <w:r>
        <w:t xml:space="preserve">, se calcula como el porcentaje de personas desocupadas en la </w:t>
      </w:r>
      <w:r>
        <w:rPr>
          <w:rStyle w:val="Textoennegrita"/>
        </w:rPr>
        <w:t>PEA</w:t>
      </w:r>
      <w:r>
        <w:t xml:space="preserve">. </w:t>
      </w:r>
      <w:r>
        <w:lastRenderedPageBreak/>
        <w:t xml:space="preserve">Sin embargo, una alternativa común es calcular esta tasa con base en la </w:t>
      </w:r>
      <w:r>
        <w:rPr>
          <w:rStyle w:val="Textoennegrita"/>
        </w:rPr>
        <w:t>PET</w:t>
      </w:r>
      <w:r>
        <w:t xml:space="preserve"> (Población en Edad para Trabajar). Este análisis tiene como objetivo comparar ambas metodologías para los años 2004 y 2024.</w:t>
      </w:r>
    </w:p>
    <w:p w14:paraId="3E77C02A" w14:textId="053F1B06" w:rsidR="00211BE1" w:rsidRDefault="00211BE1" w:rsidP="00211BE1">
      <w:pPr>
        <w:pStyle w:val="Ttulo4"/>
        <w:rPr>
          <w:rStyle w:val="Textoennegrita"/>
          <w:b/>
          <w:bCs w:val="0"/>
        </w:rPr>
      </w:pPr>
      <w:proofErr w:type="spellStart"/>
      <w:r>
        <w:rPr>
          <w:rStyle w:val="Textoennegrita"/>
          <w:b/>
          <w:bCs w:val="0"/>
        </w:rPr>
        <w:t>Cálculos</w:t>
      </w:r>
      <w:proofErr w:type="spellEnd"/>
    </w:p>
    <w:p w14:paraId="60FC5ACB" w14:textId="791AA9E6" w:rsidR="00211BE1" w:rsidRDefault="00211BE1" w:rsidP="00211BE1">
      <w:r>
        <w:rPr>
          <w:rStyle w:val="Textoennegrita"/>
        </w:rPr>
        <w:t>Tasa INDEC</w:t>
      </w:r>
      <w:r>
        <w:t>:</w:t>
      </w:r>
    </w:p>
    <w:p w14:paraId="0EF4E261" w14:textId="79FD9A97" w:rsidR="00211BE1" w:rsidRDefault="00211BE1" w:rsidP="00211BE1">
      <w:r>
        <w:rPr>
          <w:noProof/>
        </w:rPr>
        <w:drawing>
          <wp:inline distT="0" distB="0" distL="0" distR="0" wp14:anchorId="11207E88" wp14:editId="26A2DBA2">
            <wp:extent cx="4876800" cy="561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E0BD" w14:textId="624D46F4" w:rsidR="00211BE1" w:rsidRDefault="00211BE1" w:rsidP="00211BE1">
      <w:r>
        <w:rPr>
          <w:rStyle w:val="Textoennegrita"/>
        </w:rPr>
        <w:t xml:space="preserve">Tasa </w:t>
      </w:r>
      <w:proofErr w:type="spellStart"/>
      <w:r>
        <w:rPr>
          <w:rStyle w:val="Textoennegrita"/>
        </w:rPr>
        <w:t>Alternativa</w:t>
      </w:r>
      <w:proofErr w:type="spellEnd"/>
      <w:r>
        <w:rPr>
          <w:rStyle w:val="Textoennegrita"/>
        </w:rPr>
        <w:t xml:space="preserve"> (PET)</w:t>
      </w:r>
      <w:r>
        <w:t>:</w:t>
      </w:r>
    </w:p>
    <w:p w14:paraId="49A7D99A" w14:textId="1C95AC2E" w:rsidR="00211BE1" w:rsidRDefault="00211BE1" w:rsidP="00211BE1">
      <w:r>
        <w:rPr>
          <w:noProof/>
        </w:rPr>
        <w:drawing>
          <wp:inline distT="0" distB="0" distL="0" distR="0" wp14:anchorId="34FB2618" wp14:editId="21F14834">
            <wp:extent cx="4410075" cy="619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7B76" w14:textId="40BF0292" w:rsidR="00211BE1" w:rsidRDefault="00211BE1" w:rsidP="00211BE1">
      <w:pPr>
        <w:pStyle w:val="Ttulo4"/>
      </w:pPr>
      <w:r w:rsidRPr="00211BE1"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Gráfico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Comparativo</w:t>
      </w:r>
      <w:proofErr w:type="spellEnd"/>
    </w:p>
    <w:p w14:paraId="0A811CD9" w14:textId="77777777" w:rsidR="00211BE1" w:rsidRPr="00211BE1" w:rsidRDefault="00211BE1" w:rsidP="006D370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rStyle w:val="Textoennegrita"/>
          <w:lang w:val="es-CL"/>
        </w:rPr>
        <w:t>Descripción:</w:t>
      </w:r>
      <w:r w:rsidRPr="00211BE1">
        <w:rPr>
          <w:lang w:val="es-CL"/>
        </w:rPr>
        <w:t xml:space="preserve"> El gráfico compara las tasas de desocupación según la metodología del INDEC y la alternativa basada en la PET, para los años 2004 y 2024.</w:t>
      </w:r>
    </w:p>
    <w:p w14:paraId="163C6ACB" w14:textId="662DBB42" w:rsidR="00211BE1" w:rsidRDefault="00F56336" w:rsidP="00211BE1">
      <w:r>
        <w:rPr>
          <w:noProof/>
        </w:rPr>
        <w:drawing>
          <wp:inline distT="0" distB="0" distL="0" distR="0" wp14:anchorId="0642B447" wp14:editId="604A4538">
            <wp:extent cx="5733415" cy="341566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A130" w14:textId="77777777" w:rsidR="00211BE1" w:rsidRDefault="00211BE1" w:rsidP="00211BE1">
      <w:pPr>
        <w:pStyle w:val="Ttulo4"/>
      </w:pPr>
      <w:proofErr w:type="spellStart"/>
      <w:r>
        <w:rPr>
          <w:rStyle w:val="Textoennegrita"/>
          <w:b/>
          <w:bCs w:val="0"/>
        </w:rPr>
        <w:t>Resultados</w:t>
      </w:r>
      <w:proofErr w:type="spellEnd"/>
      <w:r>
        <w:rPr>
          <w:rStyle w:val="Textoennegrita"/>
          <w:b/>
          <w:bCs w:val="0"/>
        </w:rPr>
        <w:t xml:space="preserve"> y </w:t>
      </w:r>
      <w:proofErr w:type="spellStart"/>
      <w:r>
        <w:rPr>
          <w:rStyle w:val="Textoennegrita"/>
          <w:b/>
          <w:bCs w:val="0"/>
        </w:rPr>
        <w:t>Observaciones</w:t>
      </w:r>
      <w:proofErr w:type="spellEnd"/>
    </w:p>
    <w:p w14:paraId="06096973" w14:textId="77777777" w:rsidR="00211BE1" w:rsidRDefault="00211BE1" w:rsidP="006D3709">
      <w:pPr>
        <w:pStyle w:val="NormalWeb"/>
        <w:numPr>
          <w:ilvl w:val="0"/>
          <w:numId w:val="27"/>
        </w:numPr>
      </w:pPr>
      <w:r>
        <w:rPr>
          <w:rStyle w:val="Textoennegrita"/>
        </w:rPr>
        <w:t>Tasas según INDEC:</w:t>
      </w:r>
    </w:p>
    <w:p w14:paraId="321F02AF" w14:textId="77777777" w:rsidR="00211BE1" w:rsidRPr="00211BE1" w:rsidRDefault="00211BE1" w:rsidP="006D3709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lang w:val="es-CL"/>
        </w:rPr>
        <w:lastRenderedPageBreak/>
        <w:t>En 2004, la tasa de desocupación fue significativamente más alta (alrededor del 12%) en comparación con 2024 (aproximadamente 6%).</w:t>
      </w:r>
    </w:p>
    <w:p w14:paraId="6AB6C19C" w14:textId="77777777" w:rsidR="00211BE1" w:rsidRPr="00211BE1" w:rsidRDefault="00211BE1" w:rsidP="006D3709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lang w:val="es-CL"/>
        </w:rPr>
        <w:t>Esto refleja una mejora en el mercado laboral en términos de desocupación.</w:t>
      </w:r>
    </w:p>
    <w:p w14:paraId="002E718D" w14:textId="77777777" w:rsidR="00211BE1" w:rsidRDefault="00211BE1" w:rsidP="006D3709">
      <w:pPr>
        <w:pStyle w:val="NormalWeb"/>
        <w:numPr>
          <w:ilvl w:val="0"/>
          <w:numId w:val="27"/>
        </w:numPr>
      </w:pPr>
      <w:r>
        <w:rPr>
          <w:rStyle w:val="Textoennegrita"/>
        </w:rPr>
        <w:t>Tasas según PET:</w:t>
      </w:r>
    </w:p>
    <w:p w14:paraId="10C6F15D" w14:textId="77777777" w:rsidR="00211BE1" w:rsidRPr="00211BE1" w:rsidRDefault="00211BE1" w:rsidP="006D3709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lang w:val="es-CL"/>
        </w:rPr>
        <w:t>Las tasas alternativas son consistentemente más bajas, ya que la PET incluye a una población más amplia.</w:t>
      </w:r>
    </w:p>
    <w:p w14:paraId="3B2626AC" w14:textId="77777777" w:rsidR="00211BE1" w:rsidRPr="00211BE1" w:rsidRDefault="00211BE1" w:rsidP="006D3709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lang w:val="es-CL"/>
        </w:rPr>
        <w:t>En 2024, la tasa alternativa cae por debajo del 5%.</w:t>
      </w:r>
    </w:p>
    <w:p w14:paraId="41A66AEF" w14:textId="77777777" w:rsidR="00211BE1" w:rsidRDefault="00211BE1" w:rsidP="006D3709">
      <w:pPr>
        <w:pStyle w:val="NormalWeb"/>
        <w:numPr>
          <w:ilvl w:val="0"/>
          <w:numId w:val="27"/>
        </w:numPr>
      </w:pPr>
      <w:r>
        <w:rPr>
          <w:rStyle w:val="Textoennegrita"/>
        </w:rPr>
        <w:t>Diferencias entre Metodologías:</w:t>
      </w:r>
    </w:p>
    <w:p w14:paraId="286125B2" w14:textId="77777777" w:rsidR="00211BE1" w:rsidRPr="00211BE1" w:rsidRDefault="00211BE1" w:rsidP="006D3709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lang w:val="es-CL"/>
        </w:rPr>
        <w:t>La tasa basada en la PET tiende a subestimar la desocupación, ya que incluye a personas fuera de la PEA que no necesariamente buscan empleo.</w:t>
      </w:r>
    </w:p>
    <w:p w14:paraId="31EFF375" w14:textId="6FA5A530" w:rsidR="00211BE1" w:rsidRPr="00211BE1" w:rsidRDefault="00211BE1" w:rsidP="00211BE1">
      <w:pPr>
        <w:ind w:firstLine="0"/>
        <w:rPr>
          <w:lang w:val="es-CL"/>
        </w:rPr>
      </w:pPr>
    </w:p>
    <w:p w14:paraId="5D5BA884" w14:textId="77777777" w:rsidR="00211BE1" w:rsidRDefault="00211BE1" w:rsidP="00211BE1">
      <w:pPr>
        <w:pStyle w:val="Ttulo4"/>
      </w:pPr>
      <w:proofErr w:type="spellStart"/>
      <w:r>
        <w:rPr>
          <w:rStyle w:val="Textoennegrita"/>
          <w:b/>
          <w:bCs w:val="0"/>
        </w:rPr>
        <w:t>Ventajas</w:t>
      </w:r>
      <w:proofErr w:type="spellEnd"/>
      <w:r>
        <w:rPr>
          <w:rStyle w:val="Textoennegrita"/>
          <w:b/>
          <w:bCs w:val="0"/>
        </w:rPr>
        <w:t xml:space="preserve"> y </w:t>
      </w:r>
      <w:proofErr w:type="spellStart"/>
      <w:r>
        <w:rPr>
          <w:rStyle w:val="Textoennegrita"/>
          <w:b/>
          <w:bCs w:val="0"/>
        </w:rPr>
        <w:t>Desventajas</w:t>
      </w:r>
      <w:proofErr w:type="spellEnd"/>
    </w:p>
    <w:p w14:paraId="205CC811" w14:textId="77777777" w:rsidR="00211BE1" w:rsidRDefault="00211BE1" w:rsidP="006D3709">
      <w:pPr>
        <w:pStyle w:val="NormalWeb"/>
        <w:numPr>
          <w:ilvl w:val="0"/>
          <w:numId w:val="28"/>
        </w:numPr>
      </w:pPr>
      <w:r>
        <w:rPr>
          <w:rStyle w:val="Textoennegrita"/>
        </w:rPr>
        <w:t>Metodología INDEC</w:t>
      </w:r>
      <w:r>
        <w:t>:</w:t>
      </w:r>
    </w:p>
    <w:p w14:paraId="2273EE2C" w14:textId="77777777" w:rsidR="00211BE1" w:rsidRPr="00211BE1" w:rsidRDefault="00211BE1" w:rsidP="006D3709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rStyle w:val="Textoennegrita"/>
          <w:lang w:val="es-CL"/>
        </w:rPr>
        <w:t>Ventajas</w:t>
      </w:r>
      <w:r w:rsidRPr="00211BE1">
        <w:rPr>
          <w:lang w:val="es-CL"/>
        </w:rPr>
        <w:t>: Representa con precisión la situación de la población económicamente activa.</w:t>
      </w:r>
    </w:p>
    <w:p w14:paraId="5484D816" w14:textId="77777777" w:rsidR="00211BE1" w:rsidRPr="00211BE1" w:rsidRDefault="00211BE1" w:rsidP="006D3709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rStyle w:val="Textoennegrita"/>
          <w:lang w:val="es-CL"/>
        </w:rPr>
        <w:t>Desventajas</w:t>
      </w:r>
      <w:r w:rsidRPr="00211BE1">
        <w:rPr>
          <w:lang w:val="es-CL"/>
        </w:rPr>
        <w:t>: Excluye a grupos potencialmente activos, como estudiantes en búsqueda de empleo.</w:t>
      </w:r>
    </w:p>
    <w:p w14:paraId="0762B67D" w14:textId="77777777" w:rsidR="00211BE1" w:rsidRDefault="00211BE1" w:rsidP="006D3709">
      <w:pPr>
        <w:pStyle w:val="NormalWeb"/>
        <w:numPr>
          <w:ilvl w:val="0"/>
          <w:numId w:val="28"/>
        </w:numPr>
      </w:pPr>
      <w:r>
        <w:rPr>
          <w:rStyle w:val="Textoennegrita"/>
        </w:rPr>
        <w:t>Metodología PET</w:t>
      </w:r>
      <w:r>
        <w:t>:</w:t>
      </w:r>
    </w:p>
    <w:p w14:paraId="70FF7B80" w14:textId="77777777" w:rsidR="00211BE1" w:rsidRPr="00211BE1" w:rsidRDefault="00211BE1" w:rsidP="006D3709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rStyle w:val="Textoennegrita"/>
          <w:lang w:val="es-CL"/>
        </w:rPr>
        <w:t>Ventajas</w:t>
      </w:r>
      <w:r w:rsidRPr="00211BE1">
        <w:rPr>
          <w:lang w:val="es-CL"/>
        </w:rPr>
        <w:t>: Captura un panorama más amplio del potencial de desocupación.</w:t>
      </w:r>
    </w:p>
    <w:p w14:paraId="1431D025" w14:textId="77777777" w:rsidR="00211BE1" w:rsidRPr="00211BE1" w:rsidRDefault="00211BE1" w:rsidP="006D3709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s-CL"/>
        </w:rPr>
      </w:pPr>
      <w:r w:rsidRPr="00211BE1">
        <w:rPr>
          <w:rStyle w:val="Textoennegrita"/>
          <w:lang w:val="es-CL"/>
        </w:rPr>
        <w:t>Desventajas</w:t>
      </w:r>
      <w:r w:rsidRPr="00211BE1">
        <w:rPr>
          <w:lang w:val="es-CL"/>
        </w:rPr>
        <w:t>: Diluye el impacto de la desocupación al incluir personas inactivas.</w:t>
      </w:r>
    </w:p>
    <w:p w14:paraId="1A68594E" w14:textId="0F665296" w:rsidR="0056684E" w:rsidRDefault="0056684E" w:rsidP="0056684E">
      <w:pPr>
        <w:pStyle w:val="Ttulo3"/>
        <w:rPr>
          <w:rStyle w:val="Textoennegrita"/>
          <w:b/>
          <w:bCs w:val="0"/>
          <w:lang w:val="es-CL"/>
        </w:rPr>
      </w:pPr>
      <w:r w:rsidRPr="0056684E">
        <w:rPr>
          <w:rStyle w:val="Textoennegrita"/>
          <w:b/>
          <w:bCs w:val="0"/>
          <w:lang w:val="es-CL"/>
        </w:rPr>
        <w:t>Parte II: Clasificación</w:t>
      </w:r>
    </w:p>
    <w:p w14:paraId="5A858370" w14:textId="77777777" w:rsidR="00DA3566" w:rsidRPr="00DA3566" w:rsidRDefault="00DA3566" w:rsidP="00DA3566">
      <w:pPr>
        <w:pStyle w:val="Ttulo3"/>
        <w:rPr>
          <w:lang w:val="es-CL"/>
        </w:rPr>
      </w:pPr>
      <w:r w:rsidRPr="00DA3566">
        <w:rPr>
          <w:rStyle w:val="Textoennegrita"/>
          <w:b/>
          <w:bCs w:val="0"/>
          <w:lang w:val="es-CL"/>
        </w:rPr>
        <w:t>1. Creación de Bases de Entrenamiento y Prueba</w:t>
      </w:r>
    </w:p>
    <w:p w14:paraId="4F104271" w14:textId="77777777" w:rsidR="00DA3566" w:rsidRDefault="00DA3566" w:rsidP="00DA3566">
      <w:pPr>
        <w:pStyle w:val="NormalWeb"/>
      </w:pPr>
      <w:r>
        <w:t xml:space="preserve">Se dividieron los datos en conjuntos de </w:t>
      </w:r>
      <w:r>
        <w:rPr>
          <w:rStyle w:val="Textoennegrita"/>
        </w:rPr>
        <w:t>entrenamiento (70%)</w:t>
      </w:r>
      <w:r>
        <w:t xml:space="preserve"> y </w:t>
      </w:r>
      <w:r>
        <w:rPr>
          <w:rStyle w:val="Textoennegrita"/>
        </w:rPr>
        <w:t>prueba (30%)</w:t>
      </w:r>
      <w:r>
        <w:t xml:space="preserve">, utilizando una </w:t>
      </w:r>
      <w:r>
        <w:rPr>
          <w:rStyle w:val="Textoennegrita"/>
        </w:rPr>
        <w:t>semilla de 101</w:t>
      </w:r>
      <w:r>
        <w:t xml:space="preserve"> para garantizar la reproducibilidad. La variable dependiente utilizada fue </w:t>
      </w:r>
      <w:r>
        <w:rPr>
          <w:rStyle w:val="CdigoHTML"/>
        </w:rPr>
        <w:t>desocupado</w:t>
      </w:r>
      <w:r>
        <w:t xml:space="preserve"> (1 si la persona está desocupada, 0 en caso contrario). Las variables independientes (</w:t>
      </w:r>
      <w:r>
        <w:rPr>
          <w:rStyle w:val="CdigoHTML"/>
        </w:rPr>
        <w:t>X</w:t>
      </w:r>
      <w:r>
        <w:t>) y las características de las divisiones son las siguientes:</w:t>
      </w:r>
    </w:p>
    <w:tbl>
      <w:tblPr>
        <w:tblStyle w:val="TAblaAPA"/>
        <w:tblW w:w="0" w:type="auto"/>
        <w:tblLook w:val="04A0" w:firstRow="1" w:lastRow="0" w:firstColumn="1" w:lastColumn="0" w:noHBand="0" w:noVBand="1"/>
      </w:tblPr>
      <w:tblGrid>
        <w:gridCol w:w="750"/>
        <w:gridCol w:w="4221"/>
        <w:gridCol w:w="2450"/>
        <w:gridCol w:w="1608"/>
      </w:tblGrid>
      <w:tr w:rsidR="00DA3566" w14:paraId="01EB74DB" w14:textId="77777777" w:rsidTr="00DA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1D253" w14:textId="77777777" w:rsidR="00DA3566" w:rsidRDefault="00DA35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Año</w:t>
            </w:r>
            <w:proofErr w:type="spellEnd"/>
          </w:p>
        </w:tc>
        <w:tc>
          <w:tcPr>
            <w:tcW w:w="0" w:type="auto"/>
            <w:hideMark/>
          </w:tcPr>
          <w:p w14:paraId="357E9BDC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  <w:proofErr w:type="spellStart"/>
            <w:r>
              <w:rPr>
                <w:b/>
                <w:bCs/>
              </w:rPr>
              <w:t>Independientes</w:t>
            </w:r>
            <w:proofErr w:type="spellEnd"/>
          </w:p>
        </w:tc>
        <w:tc>
          <w:tcPr>
            <w:tcW w:w="0" w:type="auto"/>
            <w:hideMark/>
          </w:tcPr>
          <w:p w14:paraId="552E1B5D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Tamaño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Entrenamiento</w:t>
            </w:r>
            <w:proofErr w:type="spellEnd"/>
          </w:p>
        </w:tc>
        <w:tc>
          <w:tcPr>
            <w:tcW w:w="0" w:type="auto"/>
            <w:hideMark/>
          </w:tcPr>
          <w:p w14:paraId="64DCB3D2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Tamaño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Prueba</w:t>
            </w:r>
            <w:proofErr w:type="spellEnd"/>
          </w:p>
        </w:tc>
      </w:tr>
      <w:tr w:rsidR="00DA3566" w14:paraId="515D645F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A8CF" w14:textId="77777777" w:rsidR="00DA3566" w:rsidRDefault="00DA3566">
            <w:r>
              <w:t>2004</w:t>
            </w:r>
          </w:p>
        </w:tc>
        <w:tc>
          <w:tcPr>
            <w:tcW w:w="0" w:type="auto"/>
            <w:hideMark/>
          </w:tcPr>
          <w:p w14:paraId="1ECEF056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digoHTML"/>
              </w:rPr>
              <w:t>CH04</w:t>
            </w:r>
            <w:r>
              <w:t xml:space="preserve">, </w:t>
            </w:r>
            <w:r>
              <w:rPr>
                <w:rStyle w:val="CdigoHTML"/>
              </w:rPr>
              <w:t>CH06</w:t>
            </w:r>
            <w:r>
              <w:t xml:space="preserve">, </w:t>
            </w:r>
            <w:r>
              <w:rPr>
                <w:rStyle w:val="CdigoHTML"/>
              </w:rPr>
              <w:t>CH07_DESC</w:t>
            </w:r>
            <w:r>
              <w:t xml:space="preserve">, </w:t>
            </w:r>
            <w:r>
              <w:rPr>
                <w:rStyle w:val="CdigoHTML"/>
              </w:rPr>
              <w:t>CH08_DESC</w:t>
            </w:r>
            <w:r>
              <w:t xml:space="preserve">, </w:t>
            </w:r>
            <w:r>
              <w:rPr>
                <w:rStyle w:val="CdigoHTML"/>
              </w:rPr>
              <w:t>NIVEL_ED_DESC</w:t>
            </w:r>
            <w:r>
              <w:t xml:space="preserve">, </w:t>
            </w:r>
            <w:r>
              <w:rPr>
                <w:rStyle w:val="CdigoHTML"/>
              </w:rPr>
              <w:t>IPCF</w:t>
            </w:r>
          </w:p>
        </w:tc>
        <w:tc>
          <w:tcPr>
            <w:tcW w:w="0" w:type="auto"/>
            <w:hideMark/>
          </w:tcPr>
          <w:p w14:paraId="03E6C346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31,163</w:t>
            </w:r>
          </w:p>
        </w:tc>
        <w:tc>
          <w:tcPr>
            <w:tcW w:w="0" w:type="auto"/>
            <w:hideMark/>
          </w:tcPr>
          <w:p w14:paraId="46DE1877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13,356</w:t>
            </w:r>
          </w:p>
        </w:tc>
      </w:tr>
      <w:tr w:rsidR="00DA3566" w14:paraId="3A60300A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073DF" w14:textId="77777777" w:rsidR="00DA3566" w:rsidRDefault="00DA3566">
            <w:r>
              <w:t>2024</w:t>
            </w:r>
          </w:p>
        </w:tc>
        <w:tc>
          <w:tcPr>
            <w:tcW w:w="0" w:type="auto"/>
            <w:hideMark/>
          </w:tcPr>
          <w:p w14:paraId="6BC9DFF1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digoHTML"/>
              </w:rPr>
              <w:t>CH04</w:t>
            </w:r>
            <w:r>
              <w:t xml:space="preserve">, </w:t>
            </w:r>
            <w:r>
              <w:rPr>
                <w:rStyle w:val="CdigoHTML"/>
              </w:rPr>
              <w:t>CH06</w:t>
            </w:r>
            <w:r>
              <w:t xml:space="preserve">, </w:t>
            </w:r>
            <w:r>
              <w:rPr>
                <w:rStyle w:val="CdigoHTML"/>
              </w:rPr>
              <w:t>CH07_DESC</w:t>
            </w:r>
            <w:r>
              <w:t xml:space="preserve">, </w:t>
            </w:r>
            <w:r>
              <w:rPr>
                <w:rStyle w:val="CdigoHTML"/>
              </w:rPr>
              <w:t>CH08_DESC</w:t>
            </w:r>
            <w:r>
              <w:t xml:space="preserve">, </w:t>
            </w:r>
            <w:r>
              <w:rPr>
                <w:rStyle w:val="CdigoHTML"/>
              </w:rPr>
              <w:t>NIVEL_ED_DESC</w:t>
            </w:r>
            <w:r>
              <w:t xml:space="preserve">, </w:t>
            </w:r>
            <w:r>
              <w:rPr>
                <w:rStyle w:val="CdigoHTML"/>
              </w:rPr>
              <w:t>IPCF</w:t>
            </w:r>
          </w:p>
        </w:tc>
        <w:tc>
          <w:tcPr>
            <w:tcW w:w="0" w:type="auto"/>
            <w:hideMark/>
          </w:tcPr>
          <w:p w14:paraId="3AA107A7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31,944</w:t>
            </w:r>
          </w:p>
        </w:tc>
        <w:tc>
          <w:tcPr>
            <w:tcW w:w="0" w:type="auto"/>
            <w:hideMark/>
          </w:tcPr>
          <w:p w14:paraId="4EAF691C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13,691</w:t>
            </w:r>
          </w:p>
        </w:tc>
      </w:tr>
    </w:tbl>
    <w:p w14:paraId="171FB372" w14:textId="3F1F57AD" w:rsidR="00DA3566" w:rsidRDefault="003A4FC6" w:rsidP="00DA3566">
      <w:r>
        <w:pict w14:anchorId="64B6F944">
          <v:rect id="_x0000_i1025" style="width:0;height:1.5pt" o:hralign="center" o:hrstd="t" o:hr="t" fillcolor="#a0a0a0" stroked="f"/>
        </w:pict>
      </w:r>
    </w:p>
    <w:p w14:paraId="6EB25BF1" w14:textId="1CCB5DCD" w:rsidR="00DA3566" w:rsidRPr="00DA3566" w:rsidRDefault="00DA3566" w:rsidP="00DA3566">
      <w:pPr>
        <w:pStyle w:val="Ttulo3"/>
        <w:rPr>
          <w:lang w:val="es-CL"/>
        </w:rPr>
      </w:pPr>
      <w:r w:rsidRPr="00DA3566">
        <w:rPr>
          <w:rStyle w:val="Textoennegrita"/>
          <w:b/>
          <w:bCs w:val="0"/>
          <w:lang w:val="es-CL"/>
        </w:rPr>
        <w:t>2. Modelos Implementados</w:t>
      </w:r>
    </w:p>
    <w:p w14:paraId="4B7E1034" w14:textId="2A81C2BC" w:rsidR="00DA3566" w:rsidRDefault="00DA3566" w:rsidP="00DA3566">
      <w:pPr>
        <w:pStyle w:val="NormalWeb"/>
      </w:pPr>
      <w:r>
        <w:t xml:space="preserve">Los modelos fueron evaluados utilizando métricas clave como </w:t>
      </w:r>
      <w:proofErr w:type="spellStart"/>
      <w:r>
        <w:rPr>
          <w:rStyle w:val="Textoennegrita"/>
        </w:rPr>
        <w:t>Accuracy</w:t>
      </w:r>
      <w:proofErr w:type="spellEnd"/>
      <w:r>
        <w:t xml:space="preserve">, </w:t>
      </w:r>
      <w:r>
        <w:rPr>
          <w:rStyle w:val="Textoennegrita"/>
        </w:rPr>
        <w:t>AUC-ROC</w:t>
      </w:r>
      <w:r>
        <w:t xml:space="preserve">, y la </w:t>
      </w:r>
      <w:r>
        <w:rPr>
          <w:rStyle w:val="Textoennegrita"/>
        </w:rPr>
        <w:t>Matriz de Confusión</w:t>
      </w:r>
      <w:r>
        <w:t>. Los resultados se resumen en la siguiente tabla:</w:t>
      </w:r>
    </w:p>
    <w:tbl>
      <w:tblPr>
        <w:tblStyle w:val="TAblaAPA"/>
        <w:tblW w:w="0" w:type="auto"/>
        <w:tblLook w:val="04A0" w:firstRow="1" w:lastRow="0" w:firstColumn="1" w:lastColumn="0" w:noHBand="0" w:noVBand="1"/>
      </w:tblPr>
      <w:tblGrid>
        <w:gridCol w:w="1235"/>
        <w:gridCol w:w="78"/>
        <w:gridCol w:w="557"/>
        <w:gridCol w:w="78"/>
        <w:gridCol w:w="78"/>
        <w:gridCol w:w="862"/>
        <w:gridCol w:w="223"/>
        <w:gridCol w:w="223"/>
        <w:gridCol w:w="224"/>
        <w:gridCol w:w="615"/>
        <w:gridCol w:w="276"/>
        <w:gridCol w:w="276"/>
        <w:gridCol w:w="78"/>
        <w:gridCol w:w="553"/>
        <w:gridCol w:w="553"/>
        <w:gridCol w:w="361"/>
        <w:gridCol w:w="361"/>
        <w:gridCol w:w="361"/>
        <w:gridCol w:w="337"/>
        <w:gridCol w:w="336"/>
        <w:gridCol w:w="336"/>
        <w:gridCol w:w="1028"/>
      </w:tblGrid>
      <w:tr w:rsidR="00AC2122" w14:paraId="3DF52140" w14:textId="77777777" w:rsidTr="00DA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08B35" w14:textId="4B06F067" w:rsidR="00DA3566" w:rsidRDefault="00DA356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Modelo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4D2954CF" w14:textId="171E7C9C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Año</w:t>
            </w:r>
            <w:proofErr w:type="spellEnd"/>
          </w:p>
        </w:tc>
        <w:tc>
          <w:tcPr>
            <w:tcW w:w="0" w:type="auto"/>
            <w:gridSpan w:val="4"/>
            <w:hideMark/>
          </w:tcPr>
          <w:p w14:paraId="45A759E6" w14:textId="2F0FBDFD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  <w:gridSpan w:val="5"/>
            <w:hideMark/>
          </w:tcPr>
          <w:p w14:paraId="40309815" w14:textId="6207C26E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AUC-ROC</w:t>
            </w:r>
          </w:p>
        </w:tc>
        <w:tc>
          <w:tcPr>
            <w:tcW w:w="0" w:type="auto"/>
            <w:gridSpan w:val="2"/>
            <w:hideMark/>
          </w:tcPr>
          <w:p w14:paraId="23473B11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Verdaderos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Positivos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7EB1C20E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Falsos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Negativos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046E8CD9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Falsos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Positivos</w:t>
            </w:r>
            <w:proofErr w:type="spellEnd"/>
          </w:p>
        </w:tc>
        <w:tc>
          <w:tcPr>
            <w:tcW w:w="0" w:type="auto"/>
            <w:hideMark/>
          </w:tcPr>
          <w:p w14:paraId="201E1AC1" w14:textId="77777777" w:rsidR="00DA3566" w:rsidRDefault="00DA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Verdaderos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Negativos</w:t>
            </w:r>
            <w:proofErr w:type="spellEnd"/>
          </w:p>
        </w:tc>
      </w:tr>
      <w:tr w:rsidR="00AC2122" w14:paraId="528D6E9F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96481" w14:textId="250B78B2" w:rsidR="00DA3566" w:rsidRDefault="00DA3566">
            <w:proofErr w:type="spellStart"/>
            <w:r>
              <w:rPr>
                <w:rStyle w:val="Textoennegrita"/>
              </w:rPr>
              <w:t>Regresión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Logística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03614A96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0" w:type="auto"/>
            <w:gridSpan w:val="4"/>
            <w:hideMark/>
          </w:tcPr>
          <w:p w14:paraId="467705EE" w14:textId="2B6DA584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0" w:type="auto"/>
            <w:gridSpan w:val="5"/>
            <w:hideMark/>
          </w:tcPr>
          <w:p w14:paraId="5F2B4DC0" w14:textId="23873F40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0" w:type="auto"/>
            <w:gridSpan w:val="2"/>
            <w:hideMark/>
          </w:tcPr>
          <w:p w14:paraId="1B52A1A8" w14:textId="2EB5960E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0" w:type="auto"/>
            <w:gridSpan w:val="3"/>
            <w:hideMark/>
          </w:tcPr>
          <w:p w14:paraId="4C107AE1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  <w:tc>
          <w:tcPr>
            <w:tcW w:w="0" w:type="auto"/>
            <w:gridSpan w:val="3"/>
            <w:hideMark/>
          </w:tcPr>
          <w:p w14:paraId="2F46E334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4D871715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13,041</w:t>
            </w:r>
          </w:p>
        </w:tc>
      </w:tr>
      <w:tr w:rsidR="00AC2122" w14:paraId="0DF89D29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6D9BC7B" w14:textId="2AEB4D39" w:rsidR="00DA3566" w:rsidRDefault="00DA3566"/>
        </w:tc>
        <w:tc>
          <w:tcPr>
            <w:tcW w:w="0" w:type="auto"/>
            <w:hideMark/>
          </w:tcPr>
          <w:p w14:paraId="3A2071AF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0" w:type="auto"/>
            <w:gridSpan w:val="4"/>
            <w:hideMark/>
          </w:tcPr>
          <w:p w14:paraId="09B6067E" w14:textId="49B9DA11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0" w:type="auto"/>
            <w:gridSpan w:val="4"/>
            <w:hideMark/>
          </w:tcPr>
          <w:p w14:paraId="2723C0EE" w14:textId="523A7403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0" w:type="auto"/>
            <w:gridSpan w:val="3"/>
            <w:hideMark/>
          </w:tcPr>
          <w:p w14:paraId="21AD23EF" w14:textId="78F98CBE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399</w:t>
            </w:r>
          </w:p>
        </w:tc>
        <w:tc>
          <w:tcPr>
            <w:tcW w:w="0" w:type="auto"/>
            <w:gridSpan w:val="3"/>
            <w:hideMark/>
          </w:tcPr>
          <w:p w14:paraId="0A484784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0" w:type="auto"/>
            <w:gridSpan w:val="3"/>
            <w:hideMark/>
          </w:tcPr>
          <w:p w14:paraId="11EC5591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gridSpan w:val="2"/>
            <w:hideMark/>
          </w:tcPr>
          <w:p w14:paraId="329B6183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13,212</w:t>
            </w:r>
          </w:p>
        </w:tc>
      </w:tr>
      <w:tr w:rsidR="00AC2122" w14:paraId="6EC4F556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5B1D4B6" w14:textId="3D66FC8D" w:rsidR="00DA3566" w:rsidRDefault="00DA3566">
            <w:proofErr w:type="spellStart"/>
            <w:r>
              <w:rPr>
                <w:rStyle w:val="Textoennegrita"/>
              </w:rPr>
              <w:t>Análisis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Discriminante</w:t>
            </w:r>
            <w:proofErr w:type="spellEnd"/>
            <w:r>
              <w:rPr>
                <w:rStyle w:val="Textoennegrita"/>
              </w:rPr>
              <w:t xml:space="preserve"> Lineal</w:t>
            </w:r>
          </w:p>
        </w:tc>
        <w:tc>
          <w:tcPr>
            <w:tcW w:w="0" w:type="auto"/>
            <w:hideMark/>
          </w:tcPr>
          <w:p w14:paraId="623A010A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0" w:type="auto"/>
            <w:gridSpan w:val="4"/>
            <w:hideMark/>
          </w:tcPr>
          <w:p w14:paraId="6646BBF1" w14:textId="6A1CD223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0" w:type="auto"/>
            <w:gridSpan w:val="4"/>
            <w:hideMark/>
          </w:tcPr>
          <w:p w14:paraId="42A4E830" w14:textId="26201525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0" w:type="auto"/>
            <w:gridSpan w:val="3"/>
            <w:hideMark/>
          </w:tcPr>
          <w:p w14:paraId="4B6C58E5" w14:textId="5669ABDE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0" w:type="auto"/>
            <w:gridSpan w:val="3"/>
            <w:hideMark/>
          </w:tcPr>
          <w:p w14:paraId="169B32C5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  <w:tc>
          <w:tcPr>
            <w:tcW w:w="0" w:type="auto"/>
            <w:gridSpan w:val="3"/>
            <w:hideMark/>
          </w:tcPr>
          <w:p w14:paraId="5AF7606B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gridSpan w:val="2"/>
            <w:hideMark/>
          </w:tcPr>
          <w:p w14:paraId="5F3AD331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13,041</w:t>
            </w:r>
          </w:p>
        </w:tc>
      </w:tr>
      <w:tr w:rsidR="00AC2122" w14:paraId="6A70EB20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4CBB9" w14:textId="1A781C69" w:rsidR="00DA3566" w:rsidRDefault="00DA3566"/>
        </w:tc>
        <w:tc>
          <w:tcPr>
            <w:tcW w:w="0" w:type="auto"/>
            <w:gridSpan w:val="3"/>
            <w:hideMark/>
          </w:tcPr>
          <w:p w14:paraId="740825D6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0" w:type="auto"/>
            <w:gridSpan w:val="4"/>
            <w:hideMark/>
          </w:tcPr>
          <w:p w14:paraId="77A07455" w14:textId="1A87BF52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0" w:type="auto"/>
            <w:gridSpan w:val="5"/>
            <w:hideMark/>
          </w:tcPr>
          <w:p w14:paraId="619BC8CD" w14:textId="3D29925A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</w:t>
            </w:r>
          </w:p>
        </w:tc>
        <w:tc>
          <w:tcPr>
            <w:tcW w:w="0" w:type="auto"/>
            <w:gridSpan w:val="2"/>
            <w:hideMark/>
          </w:tcPr>
          <w:p w14:paraId="30735E47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399</w:t>
            </w:r>
          </w:p>
        </w:tc>
        <w:tc>
          <w:tcPr>
            <w:tcW w:w="0" w:type="auto"/>
            <w:gridSpan w:val="3"/>
            <w:hideMark/>
          </w:tcPr>
          <w:p w14:paraId="54F4A2A8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0" w:type="auto"/>
            <w:gridSpan w:val="3"/>
            <w:hideMark/>
          </w:tcPr>
          <w:p w14:paraId="4810F134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4D02407D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13,212</w:t>
            </w:r>
          </w:p>
        </w:tc>
      </w:tr>
      <w:tr w:rsidR="00AC2122" w14:paraId="6649AFBE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9242A" w14:textId="518A361C" w:rsidR="00DA3566" w:rsidRDefault="00DA3566">
            <w:r>
              <w:rPr>
                <w:rStyle w:val="Textoennegrita"/>
              </w:rPr>
              <w:t>KNN (k=3)</w:t>
            </w:r>
          </w:p>
        </w:tc>
        <w:tc>
          <w:tcPr>
            <w:tcW w:w="0" w:type="auto"/>
            <w:gridSpan w:val="3"/>
            <w:hideMark/>
          </w:tcPr>
          <w:p w14:paraId="58ED0432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0" w:type="auto"/>
            <w:gridSpan w:val="4"/>
            <w:hideMark/>
          </w:tcPr>
          <w:p w14:paraId="17C6E110" w14:textId="1F6411BC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</w:t>
            </w:r>
          </w:p>
        </w:tc>
        <w:tc>
          <w:tcPr>
            <w:tcW w:w="0" w:type="auto"/>
            <w:gridSpan w:val="5"/>
            <w:hideMark/>
          </w:tcPr>
          <w:p w14:paraId="43B4CFB2" w14:textId="0088FCCF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0" w:type="auto"/>
            <w:gridSpan w:val="2"/>
            <w:hideMark/>
          </w:tcPr>
          <w:p w14:paraId="0A90B1F0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0" w:type="auto"/>
            <w:gridSpan w:val="3"/>
            <w:hideMark/>
          </w:tcPr>
          <w:p w14:paraId="6C070898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</w:t>
            </w:r>
          </w:p>
        </w:tc>
        <w:tc>
          <w:tcPr>
            <w:tcW w:w="0" w:type="auto"/>
            <w:gridSpan w:val="3"/>
            <w:hideMark/>
          </w:tcPr>
          <w:p w14:paraId="64E1A933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0" w:type="auto"/>
            <w:hideMark/>
          </w:tcPr>
          <w:p w14:paraId="4024FEA4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13,013</w:t>
            </w:r>
          </w:p>
        </w:tc>
      </w:tr>
      <w:tr w:rsidR="00AC2122" w14:paraId="1E6C3493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807E2" w14:textId="5370299C" w:rsidR="00DA3566" w:rsidRDefault="00DA3566"/>
        </w:tc>
        <w:tc>
          <w:tcPr>
            <w:tcW w:w="0" w:type="auto"/>
            <w:gridSpan w:val="3"/>
            <w:hideMark/>
          </w:tcPr>
          <w:p w14:paraId="6783263E" w14:textId="2BB1C79F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0" w:type="auto"/>
            <w:gridSpan w:val="4"/>
            <w:hideMark/>
          </w:tcPr>
          <w:p w14:paraId="2D5EFAC2" w14:textId="00AC13D0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0" w:type="auto"/>
            <w:gridSpan w:val="5"/>
            <w:hideMark/>
          </w:tcPr>
          <w:p w14:paraId="2FC69CF9" w14:textId="16FA530F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0" w:type="auto"/>
            <w:gridSpan w:val="2"/>
            <w:hideMark/>
          </w:tcPr>
          <w:p w14:paraId="7180D4A5" w14:textId="114E271C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334</w:t>
            </w:r>
          </w:p>
        </w:tc>
        <w:tc>
          <w:tcPr>
            <w:tcW w:w="0" w:type="auto"/>
            <w:gridSpan w:val="3"/>
            <w:hideMark/>
          </w:tcPr>
          <w:p w14:paraId="766AB620" w14:textId="605C633F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0" w:type="auto"/>
            <w:gridSpan w:val="3"/>
            <w:hideMark/>
          </w:tcPr>
          <w:p w14:paraId="76D9D0F3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hideMark/>
          </w:tcPr>
          <w:p w14:paraId="1D31E6B3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13,177</w:t>
            </w:r>
          </w:p>
        </w:tc>
      </w:tr>
      <w:tr w:rsidR="00AC2122" w14:paraId="2A6E6B8C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9B32F" w14:textId="2ADE1EDA" w:rsidR="00DA3566" w:rsidRDefault="00DA3566">
            <w:r>
              <w:rPr>
                <w:rStyle w:val="Textoennegrita"/>
              </w:rPr>
              <w:t>Naive Bayes</w:t>
            </w:r>
          </w:p>
        </w:tc>
        <w:tc>
          <w:tcPr>
            <w:tcW w:w="0" w:type="auto"/>
            <w:gridSpan w:val="3"/>
            <w:hideMark/>
          </w:tcPr>
          <w:p w14:paraId="32CBEC5D" w14:textId="5965F36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0" w:type="auto"/>
            <w:gridSpan w:val="4"/>
            <w:hideMark/>
          </w:tcPr>
          <w:p w14:paraId="543780E7" w14:textId="3245B470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0" w:type="auto"/>
            <w:gridSpan w:val="5"/>
            <w:hideMark/>
          </w:tcPr>
          <w:p w14:paraId="705904F1" w14:textId="474F408A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0" w:type="auto"/>
            <w:gridSpan w:val="2"/>
            <w:hideMark/>
          </w:tcPr>
          <w:p w14:paraId="221F8864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0" w:type="auto"/>
            <w:gridSpan w:val="3"/>
            <w:hideMark/>
          </w:tcPr>
          <w:p w14:paraId="2EC01B1A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  <w:tc>
          <w:tcPr>
            <w:tcW w:w="0" w:type="auto"/>
            <w:gridSpan w:val="3"/>
            <w:hideMark/>
          </w:tcPr>
          <w:p w14:paraId="1ADC85D2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0" w:type="auto"/>
            <w:hideMark/>
          </w:tcPr>
          <w:p w14:paraId="190686CF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13,001</w:t>
            </w:r>
          </w:p>
        </w:tc>
      </w:tr>
      <w:tr w:rsidR="00AC2122" w14:paraId="7DFDF9EB" w14:textId="77777777" w:rsidTr="00DA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6920A41C" w14:textId="5FB92271" w:rsidR="00DA3566" w:rsidRDefault="00DA3566"/>
        </w:tc>
        <w:tc>
          <w:tcPr>
            <w:tcW w:w="0" w:type="auto"/>
            <w:hideMark/>
          </w:tcPr>
          <w:p w14:paraId="2444C69A" w14:textId="55EC4BD8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0" w:type="auto"/>
            <w:gridSpan w:val="3"/>
            <w:hideMark/>
          </w:tcPr>
          <w:p w14:paraId="7D83C228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0" w:type="auto"/>
            <w:hideMark/>
          </w:tcPr>
          <w:p w14:paraId="42BC6BEC" w14:textId="6DD6BA75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0" w:type="auto"/>
            <w:gridSpan w:val="2"/>
            <w:hideMark/>
          </w:tcPr>
          <w:p w14:paraId="51850C15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  <w:gridSpan w:val="4"/>
            <w:hideMark/>
          </w:tcPr>
          <w:p w14:paraId="782D692D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  <w:gridSpan w:val="3"/>
            <w:hideMark/>
          </w:tcPr>
          <w:p w14:paraId="0128E49A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  <w:gridSpan w:val="3"/>
            <w:hideMark/>
          </w:tcPr>
          <w:p w14:paraId="18D6A829" w14:textId="77777777" w:rsidR="00DA3566" w:rsidRDefault="00DA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13,201</w:t>
            </w:r>
          </w:p>
        </w:tc>
      </w:tr>
    </w:tbl>
    <w:p w14:paraId="1369AD97" w14:textId="7B323CEF" w:rsidR="00DA3566" w:rsidRDefault="00C14432" w:rsidP="00DA3566">
      <w:r>
        <w:rPr>
          <w:rStyle w:val="Textoennegrita"/>
          <w:b w:val="0"/>
          <w:i/>
          <w:noProof/>
        </w:rPr>
        <w:drawing>
          <wp:anchor distT="0" distB="0" distL="114300" distR="114300" simplePos="0" relativeHeight="251663360" behindDoc="0" locked="0" layoutInCell="1" allowOverlap="1" wp14:anchorId="345FFE75" wp14:editId="43C46B0A">
            <wp:simplePos x="0" y="0"/>
            <wp:positionH relativeFrom="margin">
              <wp:posOffset>-26670</wp:posOffset>
            </wp:positionH>
            <wp:positionV relativeFrom="margin">
              <wp:posOffset>7372350</wp:posOffset>
            </wp:positionV>
            <wp:extent cx="2807335" cy="2222500"/>
            <wp:effectExtent l="0" t="0" r="0" b="63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b w:val="0"/>
          <w:i/>
          <w:noProof/>
        </w:rPr>
        <w:drawing>
          <wp:anchor distT="0" distB="0" distL="114300" distR="114300" simplePos="0" relativeHeight="251662336" behindDoc="0" locked="0" layoutInCell="1" allowOverlap="1" wp14:anchorId="6D20AEBF" wp14:editId="52C8C587">
            <wp:simplePos x="0" y="0"/>
            <wp:positionH relativeFrom="margin">
              <wp:posOffset>2999740</wp:posOffset>
            </wp:positionH>
            <wp:positionV relativeFrom="margin">
              <wp:posOffset>7400925</wp:posOffset>
            </wp:positionV>
            <wp:extent cx="2771775" cy="2193925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b w:val="0"/>
          <w:i/>
          <w:noProof/>
        </w:rPr>
        <w:drawing>
          <wp:anchor distT="0" distB="0" distL="114300" distR="114300" simplePos="0" relativeHeight="251666432" behindDoc="0" locked="0" layoutInCell="1" allowOverlap="1" wp14:anchorId="4F152A32" wp14:editId="637FA2BD">
            <wp:simplePos x="0" y="0"/>
            <wp:positionH relativeFrom="margin">
              <wp:posOffset>1282065</wp:posOffset>
            </wp:positionH>
            <wp:positionV relativeFrom="topMargin">
              <wp:posOffset>5685790</wp:posOffset>
            </wp:positionV>
            <wp:extent cx="3169285" cy="25146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FC6">
        <w:pict w14:anchorId="38B44884">
          <v:rect id="_x0000_i1098" style="width:0;height:1.5pt" o:hralign="center" o:hrstd="t" o:hr="t" fillcolor="#a0a0a0" stroked="f"/>
        </w:pict>
      </w:r>
    </w:p>
    <w:p w14:paraId="3B040126" w14:textId="0B3DD01E" w:rsidR="00AC2122" w:rsidRDefault="00C14432" w:rsidP="00DA3566">
      <w:pPr>
        <w:pStyle w:val="Ttulo3"/>
        <w:rPr>
          <w:rStyle w:val="Textoennegrita"/>
          <w:b/>
          <w:bCs w:val="0"/>
          <w:lang w:val="es-C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423B31" wp14:editId="5D65BFD3">
            <wp:simplePos x="0" y="0"/>
            <wp:positionH relativeFrom="margin">
              <wp:align>right</wp:align>
            </wp:positionH>
            <wp:positionV relativeFrom="page">
              <wp:posOffset>2581275</wp:posOffset>
            </wp:positionV>
            <wp:extent cx="2797175" cy="2214880"/>
            <wp:effectExtent l="0" t="0" r="317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b/>
          <w:i w:val="0"/>
          <w:noProof/>
        </w:rPr>
        <w:drawing>
          <wp:anchor distT="0" distB="0" distL="114300" distR="114300" simplePos="0" relativeHeight="251665408" behindDoc="0" locked="0" layoutInCell="1" allowOverlap="1" wp14:anchorId="52882138" wp14:editId="7ECC31E7">
            <wp:simplePos x="0" y="0"/>
            <wp:positionH relativeFrom="margin">
              <wp:posOffset>95250</wp:posOffset>
            </wp:positionH>
            <wp:positionV relativeFrom="margin">
              <wp:posOffset>-541020</wp:posOffset>
            </wp:positionV>
            <wp:extent cx="2752725" cy="2178685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b/>
          <w:i w:val="0"/>
          <w:noProof/>
        </w:rPr>
        <w:drawing>
          <wp:anchor distT="0" distB="0" distL="114300" distR="114300" simplePos="0" relativeHeight="251664384" behindDoc="0" locked="0" layoutInCell="1" allowOverlap="1" wp14:anchorId="059478A4" wp14:editId="73649B24">
            <wp:simplePos x="0" y="0"/>
            <wp:positionH relativeFrom="margin">
              <wp:align>right</wp:align>
            </wp:positionH>
            <wp:positionV relativeFrom="margin">
              <wp:posOffset>-523875</wp:posOffset>
            </wp:positionV>
            <wp:extent cx="2714625" cy="2148205"/>
            <wp:effectExtent l="0" t="0" r="9525" b="444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b/>
          <w:i w:val="0"/>
          <w:noProof/>
        </w:rPr>
        <w:drawing>
          <wp:anchor distT="0" distB="0" distL="114300" distR="114300" simplePos="0" relativeHeight="251659264" behindDoc="0" locked="0" layoutInCell="1" allowOverlap="1" wp14:anchorId="17F069DF" wp14:editId="240E4F13">
            <wp:simplePos x="0" y="0"/>
            <wp:positionH relativeFrom="margin">
              <wp:posOffset>-114300</wp:posOffset>
            </wp:positionH>
            <wp:positionV relativeFrom="margin">
              <wp:posOffset>1717675</wp:posOffset>
            </wp:positionV>
            <wp:extent cx="2724150" cy="21570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52371" w14:textId="4CB1A331" w:rsidR="00DA3566" w:rsidRPr="00BB6338" w:rsidRDefault="00DA3566" w:rsidP="00DA3566">
      <w:pPr>
        <w:pStyle w:val="Ttulo3"/>
        <w:rPr>
          <w:lang w:val="es-CL"/>
        </w:rPr>
      </w:pPr>
      <w:r w:rsidRPr="00BB6338">
        <w:rPr>
          <w:rStyle w:val="Textoennegrita"/>
          <w:b/>
          <w:bCs w:val="0"/>
          <w:lang w:val="es-CL"/>
        </w:rPr>
        <w:t>3. Comparación de Resultados</w:t>
      </w:r>
    </w:p>
    <w:p w14:paraId="099D78A0" w14:textId="740B931E" w:rsidR="00DA3566" w:rsidRPr="00DA3566" w:rsidRDefault="00DA3566" w:rsidP="00DA3566">
      <w:pPr>
        <w:pStyle w:val="Ttulo4"/>
        <w:rPr>
          <w:lang w:val="es-CL"/>
        </w:rPr>
      </w:pPr>
      <w:r w:rsidRPr="00DA3566">
        <w:rPr>
          <w:rStyle w:val="Textoennegrita"/>
          <w:b/>
          <w:bCs w:val="0"/>
          <w:lang w:val="es-CL"/>
        </w:rPr>
        <w:t>Selección del modelo: KNN (k=3)</w:t>
      </w:r>
    </w:p>
    <w:p w14:paraId="79294C0B" w14:textId="3C45D24A" w:rsidR="00DA3566" w:rsidRDefault="00DA3566" w:rsidP="00DA3566">
      <w:pPr>
        <w:pStyle w:val="NormalWeb"/>
      </w:pPr>
      <w:r>
        <w:t xml:space="preserve">El modelo seleccionado es </w:t>
      </w:r>
      <w:r>
        <w:rPr>
          <w:rStyle w:val="Textoennegrita"/>
        </w:rPr>
        <w:t>KNN (k=3)</w:t>
      </w:r>
      <w:r>
        <w:t xml:space="preserve"> por las siguientes razones:</w:t>
      </w:r>
    </w:p>
    <w:p w14:paraId="40572B7F" w14:textId="1C4E8DFB" w:rsidR="00DA3566" w:rsidRDefault="00DA3566" w:rsidP="00DA3566">
      <w:pPr>
        <w:pStyle w:val="NormalWeb"/>
        <w:numPr>
          <w:ilvl w:val="0"/>
          <w:numId w:val="42"/>
        </w:numPr>
      </w:pPr>
      <w:r>
        <w:rPr>
          <w:rStyle w:val="Textoennegrita"/>
        </w:rPr>
        <w:t>Balance entre simplicidad y desempeño</w:t>
      </w:r>
      <w:r>
        <w:t>:</w:t>
      </w:r>
    </w:p>
    <w:p w14:paraId="6B2C7762" w14:textId="34D42A71" w:rsidR="00DA3566" w:rsidRPr="00DA3566" w:rsidRDefault="00DA3566" w:rsidP="00DA3566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es-CL"/>
        </w:rPr>
      </w:pPr>
      <w:r w:rsidRPr="00DA3566">
        <w:rPr>
          <w:lang w:val="es-CL"/>
        </w:rPr>
        <w:t xml:space="preserve">Aunque su AUC-ROC es inferior (2004: 0.61, </w:t>
      </w:r>
      <w:r w:rsidR="00AC2122" w:rsidRPr="00DA3566">
        <w:rPr>
          <w:lang w:val="es-CL"/>
        </w:rPr>
        <w:t xml:space="preserve"> </w:t>
      </w:r>
      <w:r w:rsidRPr="00DA3566">
        <w:rPr>
          <w:lang w:val="es-CL"/>
        </w:rPr>
        <w:t xml:space="preserve">2024: 0.57), su </w:t>
      </w:r>
      <w:proofErr w:type="spellStart"/>
      <w:r w:rsidRPr="00DA3566">
        <w:rPr>
          <w:rStyle w:val="Textoennegrita"/>
          <w:lang w:val="es-CL"/>
        </w:rPr>
        <w:t>accuracy</w:t>
      </w:r>
      <w:proofErr w:type="spellEnd"/>
      <w:r w:rsidRPr="00DA3566">
        <w:rPr>
          <w:lang w:val="es-CL"/>
        </w:rPr>
        <w:t xml:space="preserve"> en 2024 (96%) supera al resto, lo que demuestra su capacidad para clasificar correctamente en una mayoría de casos.</w:t>
      </w:r>
    </w:p>
    <w:p w14:paraId="23ECD90C" w14:textId="6A725A84" w:rsidR="00DA3566" w:rsidRPr="00DA3566" w:rsidRDefault="00DA3566" w:rsidP="00DA3566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es-CL"/>
        </w:rPr>
      </w:pPr>
      <w:r w:rsidRPr="00DA3566">
        <w:rPr>
          <w:lang w:val="es-CL"/>
        </w:rPr>
        <w:t>El KNN es un modelo no paramétrico que puede ajustarse bien a estructuras complejas sin asumir relaciones lineales.</w:t>
      </w:r>
    </w:p>
    <w:p w14:paraId="504F714F" w14:textId="2713ECE6" w:rsidR="00DA3566" w:rsidRDefault="00DA3566" w:rsidP="00DA3566">
      <w:pPr>
        <w:pStyle w:val="NormalWeb"/>
        <w:numPr>
          <w:ilvl w:val="0"/>
          <w:numId w:val="42"/>
        </w:numPr>
      </w:pPr>
      <w:r>
        <w:rPr>
          <w:rStyle w:val="Textoennegrita"/>
        </w:rPr>
        <w:t>Adaptabilidad al conjunto de datos</w:t>
      </w:r>
      <w:r>
        <w:t>:</w:t>
      </w:r>
    </w:p>
    <w:p w14:paraId="12BAB646" w14:textId="6E2E03F0" w:rsidR="00DA3566" w:rsidRPr="00DA3566" w:rsidRDefault="00DA3566" w:rsidP="00DA3566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es-CL"/>
        </w:rPr>
      </w:pPr>
      <w:r w:rsidRPr="00DA3566">
        <w:rPr>
          <w:lang w:val="es-CL"/>
        </w:rPr>
        <w:t>Su desempeño en 2024 refleja su capacidad para aprender de distribuciones más recientes, lo cual lo hace útil en contextos con datos dinámicos o en evolución.</w:t>
      </w:r>
    </w:p>
    <w:p w14:paraId="1FEF555A" w14:textId="7EBB2639" w:rsidR="00DA3566" w:rsidRDefault="00DA3566" w:rsidP="00DA3566">
      <w:pPr>
        <w:pStyle w:val="NormalWeb"/>
        <w:numPr>
          <w:ilvl w:val="0"/>
          <w:numId w:val="42"/>
        </w:numPr>
      </w:pPr>
      <w:r>
        <w:rPr>
          <w:rStyle w:val="Textoennegrita"/>
        </w:rPr>
        <w:t>Interpretación y flexibilidad</w:t>
      </w:r>
      <w:r>
        <w:t>:</w:t>
      </w:r>
    </w:p>
    <w:p w14:paraId="3BAA20D5" w14:textId="0B54071F" w:rsidR="00DA3566" w:rsidRPr="00DA3566" w:rsidRDefault="00DA3566" w:rsidP="00DA3566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es-CL"/>
        </w:rPr>
      </w:pPr>
      <w:r w:rsidRPr="00DA3566">
        <w:rPr>
          <w:lang w:val="es-CL"/>
        </w:rPr>
        <w:t xml:space="preserve">Al ajustar el parámetro </w:t>
      </w:r>
      <w:r w:rsidRPr="00DA3566">
        <w:rPr>
          <w:rStyle w:val="CdigoHTML"/>
          <w:lang w:val="es-CL"/>
        </w:rPr>
        <w:t>k</w:t>
      </w:r>
      <w:r w:rsidRPr="00DA3566">
        <w:rPr>
          <w:lang w:val="es-CL"/>
        </w:rPr>
        <w:t>, puede optimizarse dependiendo de las necesidades específicas, proporcionando flexibilidad adicional en aplicaciones prácticas.</w:t>
      </w:r>
    </w:p>
    <w:p w14:paraId="08BA5BA1" w14:textId="44AED3CB" w:rsidR="00DA3566" w:rsidRDefault="00DA3566" w:rsidP="00DA3566">
      <w:pPr>
        <w:pStyle w:val="Ttulo4"/>
      </w:pPr>
      <w:proofErr w:type="spellStart"/>
      <w:r>
        <w:t>Diferencias</w:t>
      </w:r>
      <w:proofErr w:type="spellEnd"/>
      <w:r>
        <w:t xml:space="preserve"> entre </w:t>
      </w:r>
      <w:proofErr w:type="spellStart"/>
      <w:r>
        <w:t>años</w:t>
      </w:r>
      <w:proofErr w:type="spellEnd"/>
      <w:r>
        <w:t>:</w:t>
      </w:r>
    </w:p>
    <w:p w14:paraId="7059F791" w14:textId="0CFEE44B" w:rsidR="00DA3566" w:rsidRPr="00DA3566" w:rsidRDefault="00DA3566" w:rsidP="00DA3566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es-CL"/>
        </w:rPr>
      </w:pPr>
      <w:r w:rsidRPr="00DA3566">
        <w:rPr>
          <w:lang w:val="es-CL"/>
        </w:rPr>
        <w:t xml:space="preserve">En </w:t>
      </w:r>
      <w:r w:rsidRPr="00DA3566">
        <w:rPr>
          <w:rStyle w:val="Textoennegrita"/>
          <w:lang w:val="es-CL"/>
        </w:rPr>
        <w:t>2004</w:t>
      </w:r>
      <w:r w:rsidRPr="00DA3566">
        <w:rPr>
          <w:lang w:val="es-CL"/>
        </w:rPr>
        <w:t>, el KNN presenta limitaciones en la discriminación de clases (AUC-ROC: 0.61).</w:t>
      </w:r>
    </w:p>
    <w:p w14:paraId="467B6BD6" w14:textId="3867F19D" w:rsidR="00DA3566" w:rsidRPr="00DA3566" w:rsidRDefault="00DA3566" w:rsidP="00DA3566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es-CL"/>
        </w:rPr>
      </w:pPr>
      <w:r w:rsidRPr="00DA3566">
        <w:rPr>
          <w:lang w:val="es-CL"/>
        </w:rPr>
        <w:lastRenderedPageBreak/>
        <w:t xml:space="preserve">En </w:t>
      </w:r>
      <w:r w:rsidRPr="00DA3566">
        <w:rPr>
          <w:rStyle w:val="Textoennegrita"/>
          <w:lang w:val="es-CL"/>
        </w:rPr>
        <w:t>2024</w:t>
      </w:r>
      <w:r w:rsidRPr="00DA3566">
        <w:rPr>
          <w:lang w:val="es-CL"/>
        </w:rPr>
        <w:t xml:space="preserve">, su desempeño mejora notablemente, especialmente en términos de </w:t>
      </w:r>
      <w:proofErr w:type="spellStart"/>
      <w:r w:rsidRPr="00DA3566">
        <w:rPr>
          <w:rStyle w:val="Textoennegrita"/>
          <w:lang w:val="es-CL"/>
        </w:rPr>
        <w:t>accuracy</w:t>
      </w:r>
      <w:proofErr w:type="spellEnd"/>
      <w:r w:rsidRPr="00DA3566">
        <w:rPr>
          <w:lang w:val="es-CL"/>
        </w:rPr>
        <w:t>, destacando en un contexto más reciente.</w:t>
      </w:r>
    </w:p>
    <w:p w14:paraId="07E4DBD2" w14:textId="0C43BA00" w:rsidR="00DA3566" w:rsidRPr="00BB6338" w:rsidRDefault="00DA3566" w:rsidP="00DA3566">
      <w:pPr>
        <w:ind w:firstLine="0"/>
        <w:rPr>
          <w:lang w:val="es-CL"/>
        </w:rPr>
      </w:pPr>
    </w:p>
    <w:p w14:paraId="39086FE1" w14:textId="77777777" w:rsidR="00C6178B" w:rsidRPr="00C6178B" w:rsidRDefault="00C6178B" w:rsidP="00C6178B">
      <w:pPr>
        <w:pStyle w:val="Ttulo3"/>
        <w:rPr>
          <w:lang w:val="es-CL"/>
        </w:rPr>
      </w:pPr>
      <w:r w:rsidRPr="00C6178B">
        <w:rPr>
          <w:lang w:val="es-CL"/>
        </w:rPr>
        <w:t>Punto 4: Predicción para Observaciones No Respondidas</w:t>
      </w:r>
    </w:p>
    <w:p w14:paraId="13B8DA17" w14:textId="77777777" w:rsidR="00C6178B" w:rsidRPr="00C6178B" w:rsidRDefault="00C6178B" w:rsidP="00C6178B">
      <w:pPr>
        <w:pStyle w:val="Ttulo4"/>
        <w:rPr>
          <w:lang w:val="es-CL"/>
        </w:rPr>
      </w:pPr>
      <w:r w:rsidRPr="00C6178B">
        <w:rPr>
          <w:lang w:val="es-CL"/>
        </w:rPr>
        <w:t>Resultados</w:t>
      </w:r>
    </w:p>
    <w:p w14:paraId="3593658B" w14:textId="77777777" w:rsidR="00C6178B" w:rsidRDefault="00C6178B" w:rsidP="00C6178B">
      <w:pPr>
        <w:pStyle w:val="NormalWeb"/>
      </w:pPr>
      <w:r>
        <w:t xml:space="preserve">Utilizando el modelo KNN con </w:t>
      </w:r>
      <w:r>
        <w:rPr>
          <w:rStyle w:val="katex-mathml"/>
        </w:rPr>
        <w:t>k=3k=3</w:t>
      </w:r>
      <w:r>
        <w:rPr>
          <w:rStyle w:val="mord"/>
        </w:rPr>
        <w:t>k</w:t>
      </w:r>
      <w:r>
        <w:rPr>
          <w:rStyle w:val="mrel"/>
        </w:rPr>
        <w:t>=</w:t>
      </w:r>
      <w:r>
        <w:rPr>
          <w:rStyle w:val="mord"/>
        </w:rPr>
        <w:t>3</w:t>
      </w:r>
      <w:r>
        <w:t xml:space="preserve"> previamente seleccionado, se realizó la predicción sobre la base de datos </w:t>
      </w:r>
      <w:proofErr w:type="spellStart"/>
      <w:r>
        <w:rPr>
          <w:rStyle w:val="Textoennegrita"/>
        </w:rPr>
        <w:t>norespondieron</w:t>
      </w:r>
      <w:proofErr w:type="spellEnd"/>
      <w:r>
        <w:t>. A continuación, se resumen los resultados:</w:t>
      </w:r>
    </w:p>
    <w:tbl>
      <w:tblPr>
        <w:tblStyle w:val="TAblaAPA"/>
        <w:tblW w:w="0" w:type="auto"/>
        <w:tblLook w:val="04A0" w:firstRow="1" w:lastRow="0" w:firstColumn="1" w:lastColumn="0" w:noHBand="0" w:noVBand="1"/>
      </w:tblPr>
      <w:tblGrid>
        <w:gridCol w:w="4278"/>
        <w:gridCol w:w="1329"/>
      </w:tblGrid>
      <w:tr w:rsidR="00C6178B" w14:paraId="3AC8AFDE" w14:textId="77777777" w:rsidTr="0082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B6062" w14:textId="77777777" w:rsidR="00C6178B" w:rsidRDefault="00C617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0" w:type="auto"/>
            <w:hideMark/>
          </w:tcPr>
          <w:p w14:paraId="339D761B" w14:textId="77777777" w:rsidR="00C6178B" w:rsidRDefault="00C61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Resultado</w:t>
            </w:r>
            <w:proofErr w:type="spellEnd"/>
          </w:p>
        </w:tc>
      </w:tr>
      <w:tr w:rsidR="00C6178B" w14:paraId="7812084F" w14:textId="77777777" w:rsidTr="0082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FAB1E" w14:textId="77777777" w:rsidR="00C6178B" w:rsidRDefault="00C6178B">
            <w:r>
              <w:rPr>
                <w:rStyle w:val="Textoennegrita"/>
              </w:rPr>
              <w:t xml:space="preserve">Total de </w:t>
            </w:r>
            <w:proofErr w:type="spellStart"/>
            <w:r>
              <w:rPr>
                <w:rStyle w:val="Textoennegrita"/>
              </w:rPr>
              <w:t>observaciones</w:t>
            </w:r>
            <w:proofErr w:type="spellEnd"/>
          </w:p>
        </w:tc>
        <w:tc>
          <w:tcPr>
            <w:tcW w:w="0" w:type="auto"/>
            <w:hideMark/>
          </w:tcPr>
          <w:p w14:paraId="34248513" w14:textId="77777777" w:rsidR="00C6178B" w:rsidRDefault="00C61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</w:t>
            </w:r>
          </w:p>
        </w:tc>
      </w:tr>
      <w:tr w:rsidR="00C6178B" w14:paraId="083FBA8E" w14:textId="77777777" w:rsidTr="0082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5B9CE" w14:textId="77777777" w:rsidR="00C6178B" w:rsidRDefault="00C6178B">
            <w:r>
              <w:rPr>
                <w:rStyle w:val="Textoennegrita"/>
              </w:rPr>
              <w:t xml:space="preserve">Casos </w:t>
            </w:r>
            <w:proofErr w:type="spellStart"/>
            <w:r>
              <w:rPr>
                <w:rStyle w:val="Textoennegrita"/>
              </w:rPr>
              <w:t>clasificados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como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desocupados</w:t>
            </w:r>
            <w:proofErr w:type="spellEnd"/>
          </w:p>
        </w:tc>
        <w:tc>
          <w:tcPr>
            <w:tcW w:w="0" w:type="auto"/>
            <w:hideMark/>
          </w:tcPr>
          <w:p w14:paraId="3045FE76" w14:textId="77777777" w:rsidR="00C6178B" w:rsidRDefault="00C61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6178B" w14:paraId="3CE86697" w14:textId="77777777" w:rsidTr="0082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48A38" w14:textId="77777777" w:rsidR="00C6178B" w:rsidRDefault="00C6178B">
            <w:proofErr w:type="spellStart"/>
            <w:r>
              <w:rPr>
                <w:rStyle w:val="Textoennegrita"/>
              </w:rPr>
              <w:t>Proporción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desocupados</w:t>
            </w:r>
            <w:proofErr w:type="spellEnd"/>
          </w:p>
        </w:tc>
        <w:tc>
          <w:tcPr>
            <w:tcW w:w="0" w:type="auto"/>
            <w:hideMark/>
          </w:tcPr>
          <w:p w14:paraId="4D973566" w14:textId="77777777" w:rsidR="00C6178B" w:rsidRDefault="00C61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1.72%</w:t>
            </w:r>
          </w:p>
        </w:tc>
      </w:tr>
      <w:tr w:rsidR="00C6178B" w14:paraId="1D3C5E60" w14:textId="77777777" w:rsidTr="0082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49535" w14:textId="77777777" w:rsidR="00C6178B" w:rsidRDefault="00C6178B">
            <w:r>
              <w:rPr>
                <w:rStyle w:val="Textoennegrita"/>
              </w:rPr>
              <w:t xml:space="preserve">AUC-ROC del </w:t>
            </w:r>
            <w:proofErr w:type="spellStart"/>
            <w:r>
              <w:rPr>
                <w:rStyle w:val="Textoennegrita"/>
              </w:rPr>
              <w:t>modelo</w:t>
            </w:r>
            <w:proofErr w:type="spellEnd"/>
          </w:p>
        </w:tc>
        <w:tc>
          <w:tcPr>
            <w:tcW w:w="0" w:type="auto"/>
            <w:hideMark/>
          </w:tcPr>
          <w:p w14:paraId="3CCCF0BD" w14:textId="77777777" w:rsidR="00C6178B" w:rsidRDefault="00C61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</w:tr>
    </w:tbl>
    <w:p w14:paraId="2FFD48F1" w14:textId="77777777" w:rsidR="00C6178B" w:rsidRDefault="00C6178B" w:rsidP="00C6178B">
      <w:pPr>
        <w:pStyle w:val="Ttulo4"/>
      </w:pPr>
      <w:proofErr w:type="spellStart"/>
      <w:r>
        <w:t>Interpretación</w:t>
      </w:r>
      <w:proofErr w:type="spellEnd"/>
      <w:r>
        <w:t xml:space="preserve"> de los </w:t>
      </w:r>
      <w:proofErr w:type="spellStart"/>
      <w:r>
        <w:t>Resultados</w:t>
      </w:r>
      <w:proofErr w:type="spellEnd"/>
    </w:p>
    <w:p w14:paraId="22E404A4" w14:textId="77777777" w:rsidR="00C6178B" w:rsidRPr="00C6178B" w:rsidRDefault="00C6178B" w:rsidP="00C6178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s-CL"/>
        </w:rPr>
      </w:pPr>
      <w:r w:rsidRPr="00C6178B">
        <w:rPr>
          <w:lang w:val="es-CL"/>
        </w:rPr>
        <w:t xml:space="preserve">De las </w:t>
      </w:r>
      <w:r w:rsidRPr="00C6178B">
        <w:rPr>
          <w:rStyle w:val="Textoennegrita"/>
          <w:lang w:val="es-CL"/>
        </w:rPr>
        <w:t>116 observaciones</w:t>
      </w:r>
      <w:r w:rsidRPr="00C6178B">
        <w:rPr>
          <w:lang w:val="es-CL"/>
        </w:rPr>
        <w:t xml:space="preserve"> de la base </w:t>
      </w:r>
      <w:proofErr w:type="spellStart"/>
      <w:r w:rsidRPr="00C6178B">
        <w:rPr>
          <w:rStyle w:val="Textoennegrita"/>
          <w:lang w:val="es-CL"/>
        </w:rPr>
        <w:t>norespondieron</w:t>
      </w:r>
      <w:proofErr w:type="spellEnd"/>
      <w:r w:rsidRPr="00C6178B">
        <w:rPr>
          <w:lang w:val="es-CL"/>
        </w:rPr>
        <w:t xml:space="preserve">, el modelo KNN clasificó a </w:t>
      </w:r>
      <w:r w:rsidRPr="00C6178B">
        <w:rPr>
          <w:rStyle w:val="Textoennegrita"/>
          <w:lang w:val="es-CL"/>
        </w:rPr>
        <w:t>2 personas</w:t>
      </w:r>
      <w:r w:rsidRPr="00C6178B">
        <w:rPr>
          <w:lang w:val="es-CL"/>
        </w:rPr>
        <w:t xml:space="preserve"> (1.72%) como desocupadas.</w:t>
      </w:r>
    </w:p>
    <w:p w14:paraId="2092DF2C" w14:textId="77777777" w:rsidR="00C6178B" w:rsidRPr="00C6178B" w:rsidRDefault="00C6178B" w:rsidP="00C6178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s-CL"/>
        </w:rPr>
      </w:pPr>
      <w:r w:rsidRPr="00C6178B">
        <w:rPr>
          <w:lang w:val="es-CL"/>
        </w:rPr>
        <w:t>La curva ROC del modelo muestra un área bajo la curva (</w:t>
      </w:r>
      <w:r w:rsidRPr="00C6178B">
        <w:rPr>
          <w:rStyle w:val="Textoennegrita"/>
          <w:lang w:val="es-CL"/>
        </w:rPr>
        <w:t>AUC</w:t>
      </w:r>
      <w:r w:rsidRPr="00C6178B">
        <w:rPr>
          <w:lang w:val="es-CL"/>
        </w:rPr>
        <w:t xml:space="preserve">) de </w:t>
      </w:r>
      <w:r w:rsidRPr="00C6178B">
        <w:rPr>
          <w:rStyle w:val="Textoennegrita"/>
          <w:lang w:val="es-CL"/>
        </w:rPr>
        <w:t>0.95</w:t>
      </w:r>
      <w:r w:rsidRPr="00C6178B">
        <w:rPr>
          <w:lang w:val="es-CL"/>
        </w:rPr>
        <w:t>, lo que indica un excelente desempeño del modelo en la clasificación de esta base.</w:t>
      </w:r>
    </w:p>
    <w:p w14:paraId="3D885B6C" w14:textId="77777777" w:rsidR="00C6178B" w:rsidRPr="00C6178B" w:rsidRDefault="00C6178B" w:rsidP="00C6178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s-CL"/>
        </w:rPr>
      </w:pPr>
      <w:r w:rsidRPr="00C6178B">
        <w:rPr>
          <w:lang w:val="es-CL"/>
        </w:rPr>
        <w:t xml:space="preserve">Es importante resaltar que </w:t>
      </w:r>
      <w:r w:rsidRPr="00C6178B">
        <w:rPr>
          <w:rStyle w:val="Textoennegrita"/>
          <w:lang w:val="es-CL"/>
        </w:rPr>
        <w:t>no se cuenta con etiquetas reales</w:t>
      </w:r>
      <w:r w:rsidRPr="00C6178B">
        <w:rPr>
          <w:lang w:val="es-CL"/>
        </w:rPr>
        <w:t xml:space="preserve"> para validar las predicciones en la base </w:t>
      </w:r>
      <w:proofErr w:type="spellStart"/>
      <w:r w:rsidRPr="00C6178B">
        <w:rPr>
          <w:lang w:val="es-CL"/>
        </w:rPr>
        <w:t>norespondieron</w:t>
      </w:r>
      <w:proofErr w:type="spellEnd"/>
      <w:r w:rsidRPr="00C6178B">
        <w:rPr>
          <w:lang w:val="es-CL"/>
        </w:rPr>
        <w:t>, por lo que los resultados deben interpretarse exclusivamente como una predicción basada en el entrenamiento del modelo.</w:t>
      </w:r>
    </w:p>
    <w:p w14:paraId="3328202B" w14:textId="77777777" w:rsidR="00C6178B" w:rsidRDefault="00C6178B" w:rsidP="00C6178B">
      <w:pPr>
        <w:pStyle w:val="Ttulo4"/>
      </w:pPr>
      <w:proofErr w:type="spellStart"/>
      <w:r>
        <w:t>Consideraciones</w:t>
      </w:r>
      <w:proofErr w:type="spellEnd"/>
      <w:r>
        <w:t xml:space="preserve"> Finales</w:t>
      </w:r>
    </w:p>
    <w:p w14:paraId="4F282CAC" w14:textId="003C96DD" w:rsidR="00BB6338" w:rsidRPr="00BB6338" w:rsidRDefault="00BB6338" w:rsidP="00C6178B">
      <w:pPr>
        <w:numPr>
          <w:ilvl w:val="0"/>
          <w:numId w:val="47"/>
        </w:numPr>
        <w:spacing w:before="100" w:beforeAutospacing="1" w:after="100" w:afterAutospacing="1" w:line="240" w:lineRule="auto"/>
        <w:rPr>
          <w:rStyle w:val="Textoennegrita"/>
          <w:b w:val="0"/>
          <w:bCs w:val="0"/>
          <w:lang w:val="es-CL"/>
        </w:rPr>
      </w:pPr>
      <w:r>
        <w:rPr>
          <w:lang w:val="es-CL"/>
        </w:rPr>
        <w:t>A</w:t>
      </w:r>
      <w:r w:rsidRPr="00BB6338">
        <w:rPr>
          <w:lang w:val="es-CL"/>
        </w:rPr>
        <w:t xml:space="preserve">UC-ROC reportado corresponde a la base de entrenamiento y no puede validarse en la base </w:t>
      </w:r>
      <w:proofErr w:type="spellStart"/>
      <w:r w:rsidRPr="00BB6338">
        <w:rPr>
          <w:lang w:val="es-CL"/>
        </w:rPr>
        <w:t>norespondieron</w:t>
      </w:r>
      <w:proofErr w:type="spellEnd"/>
      <w:r w:rsidRPr="00BB6338">
        <w:rPr>
          <w:lang w:val="es-CL"/>
        </w:rPr>
        <w:t xml:space="preserve"> por la ausencia de etiquetas.</w:t>
      </w:r>
    </w:p>
    <w:p w14:paraId="2566D49C" w14:textId="1CE3184E" w:rsidR="00C6178B" w:rsidRPr="00C6178B" w:rsidRDefault="00C6178B" w:rsidP="00C6178B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s-CL"/>
        </w:rPr>
      </w:pPr>
      <w:r w:rsidRPr="00C6178B">
        <w:rPr>
          <w:rStyle w:val="Textoennegrita"/>
          <w:lang w:val="es-CL"/>
        </w:rPr>
        <w:t>Limitaciones</w:t>
      </w:r>
      <w:r w:rsidRPr="00C6178B">
        <w:rPr>
          <w:lang w:val="es-CL"/>
        </w:rPr>
        <w:t>: La ausencia de etiquetas reales limita la capacidad de evaluar métricas como la precisión, sensibilidad, y especificidad en esta base.</w:t>
      </w:r>
    </w:p>
    <w:p w14:paraId="74F726FB" w14:textId="77777777" w:rsidR="00C6178B" w:rsidRPr="00C6178B" w:rsidRDefault="00C6178B" w:rsidP="00C6178B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s-CL"/>
        </w:rPr>
      </w:pPr>
      <w:r w:rsidRPr="00C6178B">
        <w:rPr>
          <w:rStyle w:val="Textoennegrita"/>
          <w:lang w:val="es-CL"/>
        </w:rPr>
        <w:t>Recomendaciones</w:t>
      </w:r>
      <w:r w:rsidRPr="00C6178B">
        <w:rPr>
          <w:lang w:val="es-CL"/>
        </w:rPr>
        <w:t>: Sería útil validar estas predicciones con información adicional, si está disponible, para confirmar los resultados obtenidos.</w:t>
      </w:r>
    </w:p>
    <w:p w14:paraId="489F61DF" w14:textId="77777777" w:rsidR="00C6178B" w:rsidRPr="00C6178B" w:rsidRDefault="00C6178B" w:rsidP="00C6178B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s-CL"/>
        </w:rPr>
      </w:pPr>
      <w:r w:rsidRPr="00C6178B">
        <w:rPr>
          <w:rStyle w:val="Textoennegrita"/>
          <w:lang w:val="es-CL"/>
        </w:rPr>
        <w:t>Implicancias</w:t>
      </w:r>
      <w:r w:rsidRPr="00C6178B">
        <w:rPr>
          <w:lang w:val="es-CL"/>
        </w:rPr>
        <w:t xml:space="preserve">: Dado que la proporción de desocupados predicha es baja, podría reflejar las características particulares de las personas en la base </w:t>
      </w:r>
      <w:proofErr w:type="spellStart"/>
      <w:r w:rsidRPr="00C6178B">
        <w:rPr>
          <w:rStyle w:val="Textoennegrita"/>
          <w:lang w:val="es-CL"/>
        </w:rPr>
        <w:t>norespondieron</w:t>
      </w:r>
      <w:proofErr w:type="spellEnd"/>
      <w:r w:rsidRPr="00C6178B">
        <w:rPr>
          <w:lang w:val="es-CL"/>
        </w:rPr>
        <w:t xml:space="preserve">, diferenciándose de las observaciones en la base </w:t>
      </w:r>
      <w:r w:rsidRPr="00C6178B">
        <w:rPr>
          <w:rStyle w:val="Textoennegrita"/>
          <w:lang w:val="es-CL"/>
        </w:rPr>
        <w:t>respondieron</w:t>
      </w:r>
      <w:r w:rsidRPr="00C6178B">
        <w:rPr>
          <w:lang w:val="es-CL"/>
        </w:rPr>
        <w:t>.</w:t>
      </w:r>
    </w:p>
    <w:p w14:paraId="257A7710" w14:textId="77777777" w:rsidR="00C6178B" w:rsidRDefault="00C6178B" w:rsidP="00C6178B">
      <w:pPr>
        <w:pStyle w:val="NormalWeb"/>
      </w:pPr>
      <w:r>
        <w:t xml:space="preserve">Este análisis cierra el ejercicio correspondiente a las predicciones realizadas con el modelo KNN para la base de datos </w:t>
      </w:r>
      <w:proofErr w:type="spellStart"/>
      <w:r>
        <w:rPr>
          <w:rStyle w:val="Textoennegrita"/>
        </w:rPr>
        <w:t>norespondieron</w:t>
      </w:r>
      <w:proofErr w:type="spellEnd"/>
      <w:r>
        <w:t>.</w:t>
      </w:r>
    </w:p>
    <w:p w14:paraId="637B0441" w14:textId="015F218F" w:rsidR="00B96957" w:rsidRDefault="00B96957" w:rsidP="00B96957">
      <w:pPr>
        <w:rPr>
          <w:lang w:val="es-CL"/>
        </w:rPr>
      </w:pPr>
    </w:p>
    <w:p w14:paraId="39972CA9" w14:textId="779934B2" w:rsidR="00B96957" w:rsidRDefault="00B96957" w:rsidP="00B96957">
      <w:pPr>
        <w:rPr>
          <w:lang w:val="es-CL"/>
        </w:rPr>
      </w:pPr>
    </w:p>
    <w:p w14:paraId="4B878C25" w14:textId="77777777" w:rsidR="00B96957" w:rsidRPr="00B96957" w:rsidRDefault="00B96957" w:rsidP="00B96957">
      <w:pPr>
        <w:rPr>
          <w:lang w:val="es-CL"/>
        </w:rPr>
      </w:pPr>
    </w:p>
    <w:p w14:paraId="0C91E3EB" w14:textId="40A2524B" w:rsidR="00534B63" w:rsidRDefault="00534B63" w:rsidP="00306915">
      <w:pPr>
        <w:ind w:firstLine="0"/>
        <w:rPr>
          <w:b/>
          <w:bCs/>
          <w:lang w:val="es-AR"/>
        </w:rPr>
      </w:pPr>
      <w:r w:rsidRPr="0029458B">
        <w:rPr>
          <w:b/>
          <w:bCs/>
          <w:lang w:val="es-AR"/>
        </w:rPr>
        <w:t>Conclusión</w:t>
      </w:r>
    </w:p>
    <w:p w14:paraId="2E3BEDAD" w14:textId="7298E94A" w:rsidR="00BA075E" w:rsidRPr="00AC2122" w:rsidRDefault="00BA075E" w:rsidP="00306915">
      <w:pPr>
        <w:ind w:firstLine="0"/>
        <w:rPr>
          <w:b/>
          <w:bCs/>
          <w:lang w:val="es-CL"/>
        </w:rPr>
      </w:pPr>
      <w:r w:rsidRPr="00AC2122">
        <w:rPr>
          <w:lang w:val="es-CL"/>
        </w:rPr>
        <w:t xml:space="preserve">El análisis permitió identificar y predecir la condición de desocupación utilizando diversos modelos de clasificación, destacándose el KNN como el modelo seleccionado por su balance entre precisión y flexibilidad en los datos más recientes (2024). Sin embargo, se evidenció un desempeño limitado en escenarios históricos como 2004, reflejando la importancia del contexto temporal y las características de los datos en el rendimiento de los modelos. La predicción para la base </w:t>
      </w:r>
      <w:proofErr w:type="spellStart"/>
      <w:r w:rsidRPr="00AC2122">
        <w:rPr>
          <w:rStyle w:val="CdigoHTML"/>
          <w:lang w:val="es-CL"/>
        </w:rPr>
        <w:t>norespondieron</w:t>
      </w:r>
      <w:proofErr w:type="spellEnd"/>
      <w:r w:rsidRPr="00AC2122">
        <w:rPr>
          <w:lang w:val="es-CL"/>
        </w:rPr>
        <w:t xml:space="preserve"> sugiere una baja proporción de desocupados (1.72%), aunque se reconoce la ausencia de validación directa debido a la falta de etiquetas reales. Este trabajo demuestra la utilidad de Python para abordar problemas de clasificación, aunque también resalta la necesidad de un análisis crítico de las métricas y su interpretación en función de los datos disponibles.</w:t>
      </w:r>
    </w:p>
    <w:sectPr w:rsidR="00BA075E" w:rsidRPr="00AC2122">
      <w:headerReference w:type="default" r:id="rId25"/>
      <w:headerReference w:type="first" r:id="rId2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5652" w14:textId="77777777" w:rsidR="003A4FC6" w:rsidRDefault="003A4FC6">
      <w:pPr>
        <w:spacing w:line="240" w:lineRule="auto"/>
      </w:pPr>
      <w:r>
        <w:separator/>
      </w:r>
    </w:p>
  </w:endnote>
  <w:endnote w:type="continuationSeparator" w:id="0">
    <w:p w14:paraId="503A06CF" w14:textId="77777777" w:rsidR="003A4FC6" w:rsidRDefault="003A4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796E" w14:textId="77777777" w:rsidR="003A4FC6" w:rsidRDefault="003A4FC6">
      <w:pPr>
        <w:spacing w:line="240" w:lineRule="auto"/>
      </w:pPr>
      <w:r>
        <w:separator/>
      </w:r>
    </w:p>
  </w:footnote>
  <w:footnote w:type="continuationSeparator" w:id="0">
    <w:p w14:paraId="681E42A5" w14:textId="77777777" w:rsidR="003A4FC6" w:rsidRDefault="003A4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68F4" w14:textId="10D57BCB" w:rsidR="00FD6CD7" w:rsidRPr="00BF4E27" w:rsidRDefault="00FD6CD7" w:rsidP="00FD6CD7">
    <w:pPr>
      <w:jc w:val="center"/>
      <w:rPr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0F85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F0AC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354109" wp14:editId="330CBFA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36D"/>
    <w:multiLevelType w:val="multilevel"/>
    <w:tmpl w:val="3444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4935"/>
    <w:multiLevelType w:val="multilevel"/>
    <w:tmpl w:val="536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B0A78"/>
    <w:multiLevelType w:val="multilevel"/>
    <w:tmpl w:val="BC9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E73B2"/>
    <w:multiLevelType w:val="multilevel"/>
    <w:tmpl w:val="747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4131"/>
    <w:multiLevelType w:val="multilevel"/>
    <w:tmpl w:val="521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75A0F"/>
    <w:multiLevelType w:val="multilevel"/>
    <w:tmpl w:val="649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66538"/>
    <w:multiLevelType w:val="multilevel"/>
    <w:tmpl w:val="CAD0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E63E9"/>
    <w:multiLevelType w:val="multilevel"/>
    <w:tmpl w:val="557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D50C4"/>
    <w:multiLevelType w:val="multilevel"/>
    <w:tmpl w:val="66D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52E86"/>
    <w:multiLevelType w:val="multilevel"/>
    <w:tmpl w:val="1386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4135C"/>
    <w:multiLevelType w:val="multilevel"/>
    <w:tmpl w:val="D7B0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A1EEC"/>
    <w:multiLevelType w:val="multilevel"/>
    <w:tmpl w:val="146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E0652"/>
    <w:multiLevelType w:val="multilevel"/>
    <w:tmpl w:val="3F6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4BB"/>
    <w:multiLevelType w:val="multilevel"/>
    <w:tmpl w:val="E180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E6C7C"/>
    <w:multiLevelType w:val="multilevel"/>
    <w:tmpl w:val="5F7E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4112E"/>
    <w:multiLevelType w:val="multilevel"/>
    <w:tmpl w:val="AF9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E6FDF"/>
    <w:multiLevelType w:val="multilevel"/>
    <w:tmpl w:val="343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B4741"/>
    <w:multiLevelType w:val="multilevel"/>
    <w:tmpl w:val="8F5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079BC"/>
    <w:multiLevelType w:val="multilevel"/>
    <w:tmpl w:val="C848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42E60"/>
    <w:multiLevelType w:val="multilevel"/>
    <w:tmpl w:val="94D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82712"/>
    <w:multiLevelType w:val="multilevel"/>
    <w:tmpl w:val="1FE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510D9"/>
    <w:multiLevelType w:val="multilevel"/>
    <w:tmpl w:val="0B0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E62DA"/>
    <w:multiLevelType w:val="multilevel"/>
    <w:tmpl w:val="1B5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73CDB"/>
    <w:multiLevelType w:val="multilevel"/>
    <w:tmpl w:val="98E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749CF"/>
    <w:multiLevelType w:val="multilevel"/>
    <w:tmpl w:val="8DD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C5E22"/>
    <w:multiLevelType w:val="multilevel"/>
    <w:tmpl w:val="F79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76846"/>
    <w:multiLevelType w:val="multilevel"/>
    <w:tmpl w:val="4246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B136F6"/>
    <w:multiLevelType w:val="multilevel"/>
    <w:tmpl w:val="85E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A1D73"/>
    <w:multiLevelType w:val="multilevel"/>
    <w:tmpl w:val="1C7E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E7022"/>
    <w:multiLevelType w:val="multilevel"/>
    <w:tmpl w:val="3DF0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6259EC"/>
    <w:multiLevelType w:val="multilevel"/>
    <w:tmpl w:val="E7B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A293B"/>
    <w:multiLevelType w:val="multilevel"/>
    <w:tmpl w:val="D77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373A9"/>
    <w:multiLevelType w:val="multilevel"/>
    <w:tmpl w:val="E71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25153"/>
    <w:multiLevelType w:val="multilevel"/>
    <w:tmpl w:val="3F9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50DFC"/>
    <w:multiLevelType w:val="multilevel"/>
    <w:tmpl w:val="441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ED1D8A"/>
    <w:multiLevelType w:val="multilevel"/>
    <w:tmpl w:val="C2A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D627C"/>
    <w:multiLevelType w:val="multilevel"/>
    <w:tmpl w:val="147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976C9"/>
    <w:multiLevelType w:val="multilevel"/>
    <w:tmpl w:val="8AA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C020B"/>
    <w:multiLevelType w:val="multilevel"/>
    <w:tmpl w:val="282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870AD"/>
    <w:multiLevelType w:val="multilevel"/>
    <w:tmpl w:val="DD5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E1CAD"/>
    <w:multiLevelType w:val="multilevel"/>
    <w:tmpl w:val="B38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932C6"/>
    <w:multiLevelType w:val="multilevel"/>
    <w:tmpl w:val="119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E5818"/>
    <w:multiLevelType w:val="multilevel"/>
    <w:tmpl w:val="D4D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F69CC"/>
    <w:multiLevelType w:val="multilevel"/>
    <w:tmpl w:val="EC6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C132C"/>
    <w:multiLevelType w:val="multilevel"/>
    <w:tmpl w:val="5F8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3773D7"/>
    <w:multiLevelType w:val="multilevel"/>
    <w:tmpl w:val="A9E8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7F16B6"/>
    <w:multiLevelType w:val="multilevel"/>
    <w:tmpl w:val="042E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8"/>
  </w:num>
  <w:num w:numId="3">
    <w:abstractNumId w:val="45"/>
  </w:num>
  <w:num w:numId="4">
    <w:abstractNumId w:val="42"/>
  </w:num>
  <w:num w:numId="5">
    <w:abstractNumId w:val="43"/>
  </w:num>
  <w:num w:numId="6">
    <w:abstractNumId w:val="11"/>
  </w:num>
  <w:num w:numId="7">
    <w:abstractNumId w:val="25"/>
  </w:num>
  <w:num w:numId="8">
    <w:abstractNumId w:val="22"/>
  </w:num>
  <w:num w:numId="9">
    <w:abstractNumId w:val="24"/>
  </w:num>
  <w:num w:numId="10">
    <w:abstractNumId w:val="20"/>
  </w:num>
  <w:num w:numId="11">
    <w:abstractNumId w:val="34"/>
  </w:num>
  <w:num w:numId="12">
    <w:abstractNumId w:val="36"/>
  </w:num>
  <w:num w:numId="13">
    <w:abstractNumId w:val="38"/>
  </w:num>
  <w:num w:numId="14">
    <w:abstractNumId w:val="23"/>
  </w:num>
  <w:num w:numId="15">
    <w:abstractNumId w:val="21"/>
  </w:num>
  <w:num w:numId="16">
    <w:abstractNumId w:val="5"/>
  </w:num>
  <w:num w:numId="17">
    <w:abstractNumId w:val="41"/>
  </w:num>
  <w:num w:numId="18">
    <w:abstractNumId w:val="2"/>
  </w:num>
  <w:num w:numId="19">
    <w:abstractNumId w:val="37"/>
  </w:num>
  <w:num w:numId="20">
    <w:abstractNumId w:val="16"/>
  </w:num>
  <w:num w:numId="21">
    <w:abstractNumId w:val="46"/>
  </w:num>
  <w:num w:numId="22">
    <w:abstractNumId w:val="6"/>
  </w:num>
  <w:num w:numId="23">
    <w:abstractNumId w:val="4"/>
  </w:num>
  <w:num w:numId="24">
    <w:abstractNumId w:val="10"/>
  </w:num>
  <w:num w:numId="25">
    <w:abstractNumId w:val="33"/>
  </w:num>
  <w:num w:numId="26">
    <w:abstractNumId w:val="35"/>
  </w:num>
  <w:num w:numId="27">
    <w:abstractNumId w:val="0"/>
  </w:num>
  <w:num w:numId="28">
    <w:abstractNumId w:val="30"/>
  </w:num>
  <w:num w:numId="29">
    <w:abstractNumId w:val="26"/>
  </w:num>
  <w:num w:numId="30">
    <w:abstractNumId w:val="15"/>
  </w:num>
  <w:num w:numId="31">
    <w:abstractNumId w:val="7"/>
  </w:num>
  <w:num w:numId="32">
    <w:abstractNumId w:val="28"/>
  </w:num>
  <w:num w:numId="33">
    <w:abstractNumId w:val="13"/>
  </w:num>
  <w:num w:numId="34">
    <w:abstractNumId w:val="17"/>
  </w:num>
  <w:num w:numId="35">
    <w:abstractNumId w:val="40"/>
  </w:num>
  <w:num w:numId="36">
    <w:abstractNumId w:val="19"/>
  </w:num>
  <w:num w:numId="37">
    <w:abstractNumId w:val="1"/>
  </w:num>
  <w:num w:numId="38">
    <w:abstractNumId w:val="9"/>
  </w:num>
  <w:num w:numId="39">
    <w:abstractNumId w:val="29"/>
  </w:num>
  <w:num w:numId="40">
    <w:abstractNumId w:val="3"/>
  </w:num>
  <w:num w:numId="41">
    <w:abstractNumId w:val="31"/>
  </w:num>
  <w:num w:numId="42">
    <w:abstractNumId w:val="18"/>
  </w:num>
  <w:num w:numId="43">
    <w:abstractNumId w:val="44"/>
  </w:num>
  <w:num w:numId="44">
    <w:abstractNumId w:val="32"/>
  </w:num>
  <w:num w:numId="45">
    <w:abstractNumId w:val="12"/>
  </w:num>
  <w:num w:numId="46">
    <w:abstractNumId w:val="27"/>
  </w:num>
  <w:num w:numId="47">
    <w:abstractNumId w:val="1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03FF3"/>
    <w:rsid w:val="00022711"/>
    <w:rsid w:val="0002274E"/>
    <w:rsid w:val="00040255"/>
    <w:rsid w:val="00066E66"/>
    <w:rsid w:val="00076388"/>
    <w:rsid w:val="000E6A88"/>
    <w:rsid w:val="00126416"/>
    <w:rsid w:val="00165184"/>
    <w:rsid w:val="001802AC"/>
    <w:rsid w:val="00181B2F"/>
    <w:rsid w:val="001D0773"/>
    <w:rsid w:val="00210AD1"/>
    <w:rsid w:val="00211BE1"/>
    <w:rsid w:val="002479F8"/>
    <w:rsid w:val="00250C21"/>
    <w:rsid w:val="00290FC4"/>
    <w:rsid w:val="0029458B"/>
    <w:rsid w:val="002A7F15"/>
    <w:rsid w:val="002E56E8"/>
    <w:rsid w:val="00306915"/>
    <w:rsid w:val="003228F3"/>
    <w:rsid w:val="003327C5"/>
    <w:rsid w:val="00332F6D"/>
    <w:rsid w:val="00354F28"/>
    <w:rsid w:val="003635EB"/>
    <w:rsid w:val="003731C4"/>
    <w:rsid w:val="003834C3"/>
    <w:rsid w:val="00386142"/>
    <w:rsid w:val="00390800"/>
    <w:rsid w:val="003A286B"/>
    <w:rsid w:val="003A4FC6"/>
    <w:rsid w:val="003B7BE1"/>
    <w:rsid w:val="003B7D42"/>
    <w:rsid w:val="003D5F81"/>
    <w:rsid w:val="003E463D"/>
    <w:rsid w:val="003E5946"/>
    <w:rsid w:val="004015DA"/>
    <w:rsid w:val="00423C97"/>
    <w:rsid w:val="00425E1D"/>
    <w:rsid w:val="00446E51"/>
    <w:rsid w:val="0045015B"/>
    <w:rsid w:val="00470F43"/>
    <w:rsid w:val="00481A64"/>
    <w:rsid w:val="00486BB1"/>
    <w:rsid w:val="00497734"/>
    <w:rsid w:val="004E01F5"/>
    <w:rsid w:val="004E4F9D"/>
    <w:rsid w:val="004F471A"/>
    <w:rsid w:val="0050240C"/>
    <w:rsid w:val="0050615F"/>
    <w:rsid w:val="005112CD"/>
    <w:rsid w:val="005135A0"/>
    <w:rsid w:val="00523A15"/>
    <w:rsid w:val="00534B63"/>
    <w:rsid w:val="00554F26"/>
    <w:rsid w:val="0056684E"/>
    <w:rsid w:val="00567088"/>
    <w:rsid w:val="005A3F6D"/>
    <w:rsid w:val="005A7DA7"/>
    <w:rsid w:val="005B7F17"/>
    <w:rsid w:val="005D22EF"/>
    <w:rsid w:val="005E156F"/>
    <w:rsid w:val="005E7D79"/>
    <w:rsid w:val="00603143"/>
    <w:rsid w:val="0060526D"/>
    <w:rsid w:val="006130FD"/>
    <w:rsid w:val="0061786D"/>
    <w:rsid w:val="00621CD8"/>
    <w:rsid w:val="00624DA1"/>
    <w:rsid w:val="00626EE0"/>
    <w:rsid w:val="006318FA"/>
    <w:rsid w:val="00633C51"/>
    <w:rsid w:val="006372C4"/>
    <w:rsid w:val="0064565B"/>
    <w:rsid w:val="00660816"/>
    <w:rsid w:val="00664F8B"/>
    <w:rsid w:val="00677BF5"/>
    <w:rsid w:val="006818B2"/>
    <w:rsid w:val="00696936"/>
    <w:rsid w:val="006A4959"/>
    <w:rsid w:val="006B204C"/>
    <w:rsid w:val="006C0D2A"/>
    <w:rsid w:val="006C4500"/>
    <w:rsid w:val="006D2860"/>
    <w:rsid w:val="006D2A12"/>
    <w:rsid w:val="006D3709"/>
    <w:rsid w:val="006E7612"/>
    <w:rsid w:val="00701A33"/>
    <w:rsid w:val="00714C69"/>
    <w:rsid w:val="00744A58"/>
    <w:rsid w:val="00761F08"/>
    <w:rsid w:val="007715BF"/>
    <w:rsid w:val="007A2FE0"/>
    <w:rsid w:val="007C5C46"/>
    <w:rsid w:val="007E2335"/>
    <w:rsid w:val="00821C61"/>
    <w:rsid w:val="00823CDE"/>
    <w:rsid w:val="00840A00"/>
    <w:rsid w:val="008560A0"/>
    <w:rsid w:val="00887033"/>
    <w:rsid w:val="008C7956"/>
    <w:rsid w:val="008F2FF8"/>
    <w:rsid w:val="009067B9"/>
    <w:rsid w:val="00963687"/>
    <w:rsid w:val="0096625E"/>
    <w:rsid w:val="009B6FB9"/>
    <w:rsid w:val="009D7D92"/>
    <w:rsid w:val="009F632D"/>
    <w:rsid w:val="00A1400A"/>
    <w:rsid w:val="00A57619"/>
    <w:rsid w:val="00A75EF9"/>
    <w:rsid w:val="00AA30EB"/>
    <w:rsid w:val="00AC2122"/>
    <w:rsid w:val="00AC63E6"/>
    <w:rsid w:val="00B16191"/>
    <w:rsid w:val="00B24115"/>
    <w:rsid w:val="00B42F34"/>
    <w:rsid w:val="00B5361A"/>
    <w:rsid w:val="00B56CE4"/>
    <w:rsid w:val="00B93DDA"/>
    <w:rsid w:val="00B96957"/>
    <w:rsid w:val="00BA075E"/>
    <w:rsid w:val="00BB6338"/>
    <w:rsid w:val="00BD4E63"/>
    <w:rsid w:val="00BE0BF9"/>
    <w:rsid w:val="00BE2F5A"/>
    <w:rsid w:val="00BF3CA7"/>
    <w:rsid w:val="00BF4E27"/>
    <w:rsid w:val="00C14432"/>
    <w:rsid w:val="00C277F0"/>
    <w:rsid w:val="00C6178B"/>
    <w:rsid w:val="00C62510"/>
    <w:rsid w:val="00C63074"/>
    <w:rsid w:val="00C63A3D"/>
    <w:rsid w:val="00CE36EB"/>
    <w:rsid w:val="00CF32B7"/>
    <w:rsid w:val="00D12486"/>
    <w:rsid w:val="00D26792"/>
    <w:rsid w:val="00D648C4"/>
    <w:rsid w:val="00D870C9"/>
    <w:rsid w:val="00D87D22"/>
    <w:rsid w:val="00DA3566"/>
    <w:rsid w:val="00DA4FAB"/>
    <w:rsid w:val="00DA52AE"/>
    <w:rsid w:val="00DA59B3"/>
    <w:rsid w:val="00DC0E78"/>
    <w:rsid w:val="00DC73CD"/>
    <w:rsid w:val="00DE7CA6"/>
    <w:rsid w:val="00E01B9C"/>
    <w:rsid w:val="00E05194"/>
    <w:rsid w:val="00EA7101"/>
    <w:rsid w:val="00F0453D"/>
    <w:rsid w:val="00F34931"/>
    <w:rsid w:val="00F40423"/>
    <w:rsid w:val="00F47172"/>
    <w:rsid w:val="00F56336"/>
    <w:rsid w:val="00F60185"/>
    <w:rsid w:val="00F66832"/>
    <w:rsid w:val="00F77CB7"/>
    <w:rsid w:val="00FA1BE9"/>
    <w:rsid w:val="00FD6CD7"/>
    <w:rsid w:val="00FE4361"/>
    <w:rsid w:val="00FF0281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E99EE9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</w:rPr>
  </w:style>
  <w:style w:type="character" w:styleId="Hipervnculo">
    <w:name w:val="Hyperlink"/>
    <w:basedOn w:val="Fuentedeprrafopredeter"/>
    <w:uiPriority w:val="99"/>
    <w:unhideWhenUsed/>
    <w:rsid w:val="00761F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F0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C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CA6"/>
  </w:style>
  <w:style w:type="paragraph" w:styleId="Piedepgina">
    <w:name w:val="footer"/>
    <w:basedOn w:val="Normal"/>
    <w:link w:val="PiedepginaCar"/>
    <w:uiPriority w:val="99"/>
    <w:unhideWhenUsed/>
    <w:rsid w:val="00DE7C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CA6"/>
  </w:style>
  <w:style w:type="character" w:styleId="Refdecomentario">
    <w:name w:val="annotation reference"/>
    <w:basedOn w:val="Fuentedeprrafopredeter"/>
    <w:uiPriority w:val="99"/>
    <w:semiHidden/>
    <w:unhideWhenUsed/>
    <w:rsid w:val="006D28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28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28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28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2860"/>
    <w:rPr>
      <w:b/>
      <w:bCs/>
      <w:sz w:val="20"/>
      <w:szCs w:val="20"/>
    </w:rPr>
  </w:style>
  <w:style w:type="paragraph" w:customStyle="1" w:styleId="EstiloAPA">
    <w:name w:val="Estilo APA"/>
    <w:basedOn w:val="Normal"/>
    <w:link w:val="EstiloAPACar"/>
    <w:qFormat/>
    <w:rsid w:val="006130FD"/>
    <w:pPr>
      <w:ind w:firstLine="0"/>
    </w:pPr>
    <w:rPr>
      <w:lang w:val="es-AR"/>
    </w:rPr>
  </w:style>
  <w:style w:type="table" w:customStyle="1" w:styleId="TAblaAPA">
    <w:name w:val="TAbla APA"/>
    <w:basedOn w:val="Tablanormal"/>
    <w:uiPriority w:val="99"/>
    <w:rsid w:val="006130FD"/>
    <w:pPr>
      <w:spacing w:line="240" w:lineRule="auto"/>
      <w:ind w:firstLine="0"/>
    </w:pPr>
    <w:rPr>
      <w:rFonts w:ascii="Century" w:hAnsi="Century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EstiloAPACar">
    <w:name w:val="Estilo APA Car"/>
    <w:basedOn w:val="Fuentedeprrafopredeter"/>
    <w:link w:val="EstiloAPA"/>
    <w:rsid w:val="006130FD"/>
    <w:rPr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8560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6E5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6E5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6E51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30691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069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615F"/>
    <w:pPr>
      <w:spacing w:before="100" w:beforeAutospacing="1" w:after="100" w:afterAutospacing="1" w:line="240" w:lineRule="auto"/>
      <w:ind w:firstLine="0"/>
    </w:pPr>
    <w:rPr>
      <w:lang w:val="es-CL" w:eastAsia="es-CL"/>
    </w:rPr>
  </w:style>
  <w:style w:type="character" w:customStyle="1" w:styleId="katex-mathml">
    <w:name w:val="katex-mathml"/>
    <w:basedOn w:val="Fuentedeprrafopredeter"/>
    <w:rsid w:val="00211BE1"/>
  </w:style>
  <w:style w:type="character" w:customStyle="1" w:styleId="mord">
    <w:name w:val="mord"/>
    <w:basedOn w:val="Fuentedeprrafopredeter"/>
    <w:rsid w:val="00211BE1"/>
  </w:style>
  <w:style w:type="character" w:customStyle="1" w:styleId="mrel">
    <w:name w:val="mrel"/>
    <w:basedOn w:val="Fuentedeprrafopredeter"/>
    <w:rsid w:val="00211BE1"/>
  </w:style>
  <w:style w:type="character" w:customStyle="1" w:styleId="vlist-s">
    <w:name w:val="vlist-s"/>
    <w:basedOn w:val="Fuentedeprrafopredeter"/>
    <w:rsid w:val="00211BE1"/>
  </w:style>
  <w:style w:type="character" w:customStyle="1" w:styleId="mbin">
    <w:name w:val="mbin"/>
    <w:basedOn w:val="Fuentedeprrafopredeter"/>
    <w:rsid w:val="0021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43FE-4F5E-4EEA-96C7-D543277D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18</Pages>
  <Words>2889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Jiménez Toledo</cp:lastModifiedBy>
  <cp:revision>135</cp:revision>
  <dcterms:created xsi:type="dcterms:W3CDTF">2020-11-09T08:29:00Z</dcterms:created>
  <dcterms:modified xsi:type="dcterms:W3CDTF">2024-12-05T18:35:00Z</dcterms:modified>
</cp:coreProperties>
</file>