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Probing Warmth and Competence Representations in LLM Hiring Decisions</w:t>
      </w:r>
    </w:p>
    <w:p>
      <w:pPr>
        <w:spacing w:after="80" w:before="0"/>
        <w:jc w:val="center"/>
      </w:pPr>
      <w:r>
        <w:rPr>
          <w:rFonts w:ascii="Times New Roman" w:cs="Times New Roman" w:eastAsia="Times New Roman" w:hAnsi="Times New Roman"/>
          <w:i/>
          <w:iCs/>
          <w:sz w:val="24"/>
          <w:szCs w:val="24"/>
        </w:rPr>
        <w:t xml:space="preserve">Draft — Introduction and Literature Review</w:t>
      </w:r>
    </w:p>
    <w:p>
      <w:pPr>
        <w:spacing w:after="480" w:before="0"/>
        <w:jc w:val="center"/>
      </w:pPr>
      <w:r>
        <w:rPr>
          <w:rFonts w:ascii="Times New Roman" w:cs="Times New Roman" w:eastAsia="Times New Roman" w:hAnsi="Times New Roman"/>
          <w:sz w:val="24"/>
          <w:szCs w:val="24"/>
        </w:rPr>
        <w:t xml:space="preserve">June 2026</w:t>
      </w:r>
    </w:p>
    <w:p>
      <w:pPr>
        <w:pStyle w:val="Heading1"/>
        <w:spacing w:after="120" w:before="360"/>
      </w:pPr>
      <w:r>
        <w:rPr>
          <w:rFonts w:ascii="Times New Roman" w:cs="Times New Roman" w:eastAsia="Times New Roman" w:hAnsi="Times New Roman"/>
          <w:b/>
          <w:bCs/>
          <w:sz w:val="28"/>
          <w:szCs w:val="28"/>
        </w:rPr>
        <w:t xml:space="preserve">1. Introduction</w:t>
      </w:r>
    </w:p>
    <w:p>
      <w:pPr>
        <w:spacing w:after="160" w:before="0" w:line="360"/>
        <w:jc w:val="both"/>
      </w:pPr>
      <w:r>
        <w:rPr>
          <w:rFonts w:ascii="Times New Roman" w:cs="Times New Roman" w:eastAsia="Times New Roman" w:hAnsi="Times New Roman"/>
          <w:sz w:val="24"/>
          <w:szCs w:val="24"/>
        </w:rPr>
        <w:t xml:space="preserve">Labor market discrimination is among the most consequential and persistent forms of social inequality. Decades of correspondence experiments—field studies in which researchers send fictitious but otherwise identical applications to real employers—have demonstrated that applicants' chances of receiving a callback for an interview vary systematically with the social signals encoded in their names, their stated community affiliations, and other demographic markers, even when qualifications are held constant (Bertrand &amp; Mullainathan, 2004). The canonical finding is striking: in a large-scale Boston and Chicago audit, resumes randomly assigned White-sounding names received roughly 50 percent more callbacks than identical resumes assigned African American–sounding names, a gap that held across industries, occupations, and employer size. A recent meta-analysis of more than a decade of such studies corroborates and extends this picture, showing that the size of callback disparities across race, gender, disability, and religion is well-predicted by the warmth and competence attributions that observers assign to the social groups associated with those signals (Gallo, Hausladen, Hsu, Jenkins, Ona, &amp; Camerer, 2024). Human hiring decisions, in other words, appear to track a cognitive map of social groups organized along the two fundamental dimensions of the Stereotype Content Model: warmth and competence (Fiske, Cuddy, Glick, &amp; Xu, 2002).</w:t>
      </w:r>
    </w:p>
    <w:p>
      <w:pPr>
        <w:spacing w:after="160" w:before="0" w:line="360"/>
        <w:ind w:firstLine="720"/>
        <w:jc w:val="both"/>
      </w:pPr>
      <w:r>
        <w:rPr>
          <w:rFonts w:ascii="Times New Roman" w:cs="Times New Roman" w:eastAsia="Times New Roman" w:hAnsi="Times New Roman"/>
          <w:sz w:val="24"/>
          <w:szCs w:val="24"/>
        </w:rPr>
        <w:t xml:space="preserve">Large language models (LLMs) are increasingly being deployed in or alongside hiring pipelines—to screen resumes, draft job descriptions, score candidates, and generate recommendations. Whether these systems replicate, amplify, or attenuate the discriminatory patterns found in human decision-making is therefore a question of immediate practical importance. Behavioral audits have begun to document that LLMs do exhibit differential treatment of applicants by race, gender, and other characteristics (Armstrong et al., 2024; Gaebler, Goel, Huq, &amp; Tambe, 2024), but behavioral measurement alone cannot explain why disparities arise or how they might be mitigated. Knowing that a model recommends interviewing a White-sounding applicant more often than an equally-qualified Black-sounding one does not reveal whether the bias is located in the model's internal representation of social groups, in the way those representations influence downstream decision-making, or in some artifact of the prompt framing.</w:t>
      </w:r>
    </w:p>
    <w:p>
      <w:pPr>
        <w:spacing w:after="160" w:before="0" w:line="360"/>
        <w:ind w:firstLine="720"/>
        <w:jc w:val="both"/>
      </w:pPr>
      <w:r>
        <w:rPr>
          <w:rFonts w:ascii="Times New Roman" w:cs="Times New Roman" w:eastAsia="Times New Roman" w:hAnsi="Times New Roman"/>
          <w:sz w:val="24"/>
          <w:szCs w:val="24"/>
        </w:rPr>
        <w:t xml:space="preserve">A complementary approach, drawn from mechanistic interpretability, opens the possibility of looking inside the model rather than only at its outputs. A growing body of work has established that high-level human-interpretable concepts—including emotion, political ideology, truthfulness, and personality—are linearly encoded as directions in a transformer's residual stream, meaning that they can be identified, measured, and causally manipulated by projecting activations onto the relevant direction or adding a scaled version of that direction to the model's internal state (Zou et al., 2023; Turner, Mini, MacDiarmid, &amp; Rumbelow, 2023). Most recently and directly relevant, Sofroniew, Lindsey, and colleagues (2026) demonstrated in Claude Sonnet that emotion concepts exist as functional internal representations that causally influence model outputs, including behavioral tendencies associated with misalignment—providing a methodological template for studying concept representations that causally shape high-stakes decisions.</w:t>
      </w:r>
    </w:p>
    <w:p>
      <w:pPr>
        <w:spacing w:after="160" w:before="0" w:line="360"/>
        <w:ind w:firstLine="720"/>
        <w:jc w:val="both"/>
      </w:pPr>
      <w:r>
        <w:rPr>
          <w:rFonts w:ascii="Times New Roman" w:cs="Times New Roman" w:eastAsia="Times New Roman" w:hAnsi="Times New Roman"/>
          <w:sz w:val="24"/>
          <w:szCs w:val="24"/>
        </w:rPr>
        <w:t xml:space="preserve">The present paper applies this template to warmth and competence. We ask three questions. First, do open-weights LLMs encode warmth and competence as linearly probeable directions in their residual streams? Second, do the projections of social-group signals onto these directions correlate with the warmth and competence attributions that human raters assign to the same groups—providing external validation that the probed representations correspond to the theoretically relevant constructs? Third, does causally steering these representations—adding or subtracting scaled warmth or competence vectors during inference—shift the model's hiring callback recommendations in the predicted direction, and by how much relative to the disparities documented in human correspondence studies?</w:t>
      </w:r>
    </w:p>
    <w:p>
      <w:pPr>
        <w:spacing w:after="160" w:before="0" w:line="360"/>
        <w:ind w:firstLine="720"/>
        <w:jc w:val="both"/>
      </w:pPr>
      <w:r>
        <w:rPr>
          <w:rFonts w:ascii="Times New Roman" w:cs="Times New Roman" w:eastAsia="Times New Roman" w:hAnsi="Times New Roman"/>
          <w:sz w:val="24"/>
          <w:szCs w:val="24"/>
        </w:rPr>
        <w:t xml:space="preserve">By combining the internal analysis afforded by mechanistic interpretability with the external benchmark provided by Gallo et al.'s (2024) meta-analysis, we seek to do three things. We contribute to the behavioral audit literature by moving from description to mechanism: not merely documenting that LLMs discriminate, but identifying a specific representational pathway through which discrimination arises. We contribute to the mechanistic interpretability literature by extending the study of internal concept representations from emotional states to social stereotypes, and from within-prompt dynamics to high-stakes decision tasks. And we contribute to the Stereotype Content Model literature by providing, to our knowledge, the first test of whether its two-dimensional structure is preserved in the internal representations of a language model that was trained on human-generated text about human social perception.</w:t>
      </w:r>
    </w:p>
    <w:p>
      <w:pPr>
        <w:spacing w:after="160" w:before="0" w:line="360"/>
        <w:ind w:firstLine="720"/>
        <w:jc w:val="both"/>
      </w:pPr>
      <w:r>
        <w:rPr>
          <w:rFonts w:ascii="Times New Roman" w:cs="Times New Roman" w:eastAsia="Times New Roman" w:hAnsi="Times New Roman"/>
          <w:sz w:val="24"/>
          <w:szCs w:val="24"/>
        </w:rPr>
        <w:t xml:space="preserve">The remainder of this paper is organized as follows. Section 2 reviews the relevant literature across four strands: (2.1) labor market discrimination and correspondence studies, (2.2) the Stereotype Content Model, (2.3) behavioral audits of LLM hiring bias, and (2.4) mechanistic interpretability and concept representations. Section 3 describes the method. Section 4 presents results. Section 5 discusses implications, limitations, and directions for future work.</w:t>
      </w:r>
    </w:p>
    <w:p>
      <w:pPr>
        <w:pStyle w:val="Heading1"/>
        <w:spacing w:after="120" w:before="360"/>
      </w:pPr>
      <w:r>
        <w:rPr>
          <w:rFonts w:ascii="Times New Roman" w:cs="Times New Roman" w:eastAsia="Times New Roman" w:hAnsi="Times New Roman"/>
          <w:b/>
          <w:bCs/>
          <w:sz w:val="28"/>
          <w:szCs w:val="28"/>
        </w:rPr>
        <w:t xml:space="preserve">2. Literature Review</w:t>
      </w:r>
    </w:p>
    <w:p>
      <w:pPr>
        <w:pStyle w:val="Heading2"/>
        <w:spacing w:after="80" w:before="280"/>
      </w:pPr>
      <w:r>
        <w:rPr>
          <w:rFonts w:ascii="Times New Roman" w:cs="Times New Roman" w:eastAsia="Times New Roman" w:hAnsi="Times New Roman"/>
          <w:b/>
          <w:bCs/>
          <w:sz w:val="24"/>
          <w:szCs w:val="24"/>
        </w:rPr>
        <w:t xml:space="preserve">2.1 Labor Market Discrimination and Correspondence Studies</w:t>
      </w:r>
    </w:p>
    <w:p>
      <w:pPr>
        <w:spacing w:after="160" w:before="0" w:line="360"/>
        <w:jc w:val="both"/>
      </w:pPr>
      <w:r>
        <w:rPr>
          <w:rFonts w:ascii="Times New Roman" w:cs="Times New Roman" w:eastAsia="Times New Roman" w:hAnsi="Times New Roman"/>
          <w:sz w:val="24"/>
          <w:szCs w:val="24"/>
        </w:rPr>
        <w:t xml:space="preserve">The correspondence study—in which researchers send matched pairs of fictitious applications to real employers, varying only the social signal of interest—has become the methodological workhorse for documenting labor market discrimination. By holding all observable qualifications constant and randomizing only the demographic signal, this design isolates the causal effect of social group membership on employer callback behavior.</w:t>
      </w:r>
    </w:p>
    <w:p>
      <w:pPr>
        <w:spacing w:after="160" w:before="0" w:line="360"/>
        <w:ind w:firstLine="720"/>
        <w:jc w:val="both"/>
      </w:pPr>
      <w:r>
        <w:rPr>
          <w:rFonts w:ascii="Times New Roman" w:cs="Times New Roman" w:eastAsia="Times New Roman" w:hAnsi="Times New Roman"/>
          <w:sz w:val="24"/>
          <w:szCs w:val="24"/>
        </w:rPr>
        <w:t xml:space="preserve">The most cited study in this tradition, Bertrand and Mullainathan (2004), sent nearly 5,000 resumes in response to help-wanted advertisements in Boston and Chicago. Resumes were randomly assigned either a White-sounding name (e.g., Emily Walsh, Greg Baker) or an African American–sounding name (e.g., Lakisha Washington, Jamal Jones). The callback rate for White names was 9.65 percent, compared with 6.45 percent for African American names—a gap of approximately 50 percent that was remarkably stable across industries, occupations, and firm sizes, and that persisted even after controlling for résumé quality within each racial category.</w:t>
      </w:r>
    </w:p>
    <w:p>
      <w:pPr>
        <w:spacing w:after="160" w:before="0" w:line="360"/>
        <w:ind w:firstLine="720"/>
        <w:jc w:val="both"/>
      </w:pPr>
      <w:r>
        <w:rPr>
          <w:rFonts w:ascii="Times New Roman" w:cs="Times New Roman" w:eastAsia="Times New Roman" w:hAnsi="Times New Roman"/>
          <w:sz w:val="24"/>
          <w:szCs w:val="24"/>
        </w:rPr>
        <w:t xml:space="preserve">Subsequent audits extended the paradigm to gender and motherhood (Correll, Benard, &amp; Paik, 2007), age (Neumark, Burn, &amp; Button, 2019), disability (Ameri et al., 2018), sexual orientation (Tilcsik, 2011), religion (Patacchini, Ragusa, &amp; Zenou, 2015), and immigration background (Oreopoulos, 2011), among many others. These studies collectively establish that callback disparities are pervasive, vary in magnitude across the characteristic manipulated, and tend to be larger in higher-skill occupations.</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Gallo, Hausladen, Hsu, Jenkins, Ona, and Camerer (2024) conducted the most comprehensive synthesis to date. Their meta-analysis pooled callback data from studies covering more than a dozen social signal types across race, gender, disability, religion, sexual orientation, age, and other characteristics—representing tens of thousands of applications sent in North American labor markets over roughly two decades. The key finding was that perceived warmth and competence, as rated by independent respondents for each signal level, predicted callback rates with substantial accuracy (r</w:t>
      </w:r>
      <w:r>
        <w:rPr>
          <w:rFonts w:ascii="Times New Roman" w:cs="Times New Roman" w:eastAsia="Times New Roman" w:hAnsi="Times New Roman"/>
          <w:b w:val="false"/>
          <w:bCs w:val="false"/>
          <w:i/>
          <w:iCs/>
          <w:sz w:val="24"/>
          <w:szCs w:val="24"/>
        </w:rPr>
        <w:t xml:space="preserve">2</w:t>
      </w:r>
      <w:r>
        <w:rPr>
          <w:rFonts w:ascii="Times New Roman" w:cs="Times New Roman" w:eastAsia="Times New Roman" w:hAnsi="Times New Roman"/>
          <w:b w:val="false"/>
          <w:bCs w:val="false"/>
          <w:i w:val="false"/>
          <w:iCs w:val="false"/>
          <w:sz w:val="24"/>
          <w:szCs w:val="24"/>
        </w:rPr>
        <w:t xml:space="preserve"> ≈ 0.70 in some specifications). Groups perceived as both warm and competent—prototypically, middle-class White men—received the highest callbacks; groups perceived as low on both dimensions received the lowest. This finding directly instantiates the behavioral prediction of the Stereotype Content Model's BIAS Map (Behaviors from Intergroup Affect and Stereotypes): groups stereotyped as low warmth and low competence elicit active harm, while those stereotyped as high warmth and high competence elicit active facilitation (Cuddy, Fiske, &amp; Glick, 2007). Gallo et al.'s data provide our primary external benchmark: if the warmth and competence vectors we extract from an LLM's residual stream encode the same cognitive structure as human raters' warmth and competence judgments, then the projections of social signals onto those vectors should correlate with their human-rated warmth and competence scores, which in turn should correlate with the callback disparities in the meta-analysis.</w:t>
      </w:r>
    </w:p>
    <w:p>
      <w:pPr>
        <w:pStyle w:val="Heading2"/>
        <w:spacing w:after="80" w:before="280"/>
      </w:pPr>
      <w:r>
        <w:rPr>
          <w:rFonts w:ascii="Times New Roman" w:cs="Times New Roman" w:eastAsia="Times New Roman" w:hAnsi="Times New Roman"/>
          <w:b/>
          <w:bCs/>
          <w:sz w:val="24"/>
          <w:szCs w:val="24"/>
        </w:rPr>
        <w:t xml:space="preserve">2.2 The Stereotype Content Model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Stereotype Content Model (SCM; Fiske et al., 2002) proposes that social groups are perceived along two fundamental dimensions: warmth (encompassing friendliness, trustworthiness, and good intentions) and competence (encompassing capability, intelligence, and effectiveness). The model was developed from the observation that classic stereotypes of social groups cluster in a two-dimensional space that cuts across positive and negative valence: many groups receive </w:t>
      </w:r>
      <w:r>
        <w:rPr>
          <w:rFonts w:ascii="Times New Roman" w:cs="Times New Roman" w:eastAsia="Times New Roman" w:hAnsi="Times New Roman"/>
          <w:b w:val="false"/>
          <w:bCs w:val="false"/>
          <w:i/>
          <w:iCs/>
          <w:sz w:val="24"/>
          <w:szCs w:val="24"/>
        </w:rPr>
        <w:t xml:space="preserve">ambivalent</w:t>
      </w:r>
      <w:r>
        <w:rPr>
          <w:rFonts w:ascii="Times New Roman" w:cs="Times New Roman" w:eastAsia="Times New Roman" w:hAnsi="Times New Roman"/>
          <w:b w:val="false"/>
          <w:bCs w:val="false"/>
          <w:i w:val="false"/>
          <w:iCs w:val="false"/>
          <w:sz w:val="24"/>
          <w:szCs w:val="24"/>
        </w:rPr>
        <w:t xml:space="preserve"> stereotypes—high on one dimension but low on the other—rather than uniformly positive or negative evaluations.</w:t>
      </w:r>
    </w:p>
    <w:p>
      <w:pPr>
        <w:spacing w:after="160" w:before="0" w:line="360"/>
        <w:ind w:firstLine="720"/>
        <w:jc w:val="both"/>
      </w:pPr>
      <w:r>
        <w:rPr>
          <w:rFonts w:ascii="Times New Roman" w:cs="Times New Roman" w:eastAsia="Times New Roman" w:hAnsi="Times New Roman"/>
          <w:sz w:val="24"/>
          <w:szCs w:val="24"/>
        </w:rPr>
        <w:t xml:space="preserve">Warmth is posited to be the more fundamental dimension because it answers the most immediate question in social perception: does this person intend to help or harm me? Competence answers the secondary question: is this person capable of acting on those intentions? Empirically, warmth judgments are made faster, weighted more heavily in overall evaluations of individuals, and predict behavioral approach-avoidance tendencies more reliably than competence judgments (Cuddy, Fiske, &amp; Glick, 2008; Fiske, 2018). Groups perceived as warm but incompetent (e.g., elderly people, people with disabilities) elicit pity and paternalistic helping; groups perceived as competent but cold (e.g., wealthy people, Asians in North American samples) elicit envy and competitive exclusion; groups perceived as low on both elicit contempt and active harm; and groups perceived as high on both elicit admiration and active facilitation.</w:t>
      </w:r>
    </w:p>
    <w:p>
      <w:pPr>
        <w:spacing w:after="160" w:before="0" w:line="360"/>
        <w:ind w:firstLine="720"/>
        <w:jc w:val="both"/>
      </w:pPr>
      <w:r>
        <w:rPr>
          <w:rFonts w:ascii="Times New Roman" w:cs="Times New Roman" w:eastAsia="Times New Roman" w:hAnsi="Times New Roman"/>
          <w:sz w:val="24"/>
          <w:szCs w:val="24"/>
        </w:rPr>
        <w:t xml:space="preserve">The SCM has been replicated across many national and cultural contexts, and its two-dimensional structure has proven robust to variation in measurement approach (Fiske, Cuddy, &amp; Glick, 2007). For the purposes of the present paper, the SCM provides both the theoretical motivation and the measurement framework: warmth and competence are the right constructs to probe because they are the dimensions that best predict discriminatory behavior in human decision-making, as demonstrated directly by Gallo et al. (2024).</w:t>
      </w:r>
    </w:p>
    <w:p>
      <w:pPr>
        <w:spacing w:after="160" w:before="0" w:line="360"/>
        <w:ind w:firstLine="720"/>
        <w:jc w:val="both"/>
      </w:pPr>
      <w:r>
        <w:rPr>
          <w:rFonts w:ascii="Times New Roman" w:cs="Times New Roman" w:eastAsia="Times New Roman" w:hAnsi="Times New Roman"/>
          <w:sz w:val="24"/>
          <w:szCs w:val="24"/>
        </w:rPr>
        <w:t xml:space="preserve">One important complication is the warmth-valence confound. Behavioral descriptions of warmth—helping a stranger, showing concern for a colleague's wellbeing—are also generally prosocial and positive, making it possible that a probe ostensibly measuring warmth is instead capturing general sentiment or moral valence. This confound is a genuine threat to construct validity and must be addressed methodologically. We address it in two ways: (1) by using topic-controlled story generation, in which each topic is instantiated in all four conditions (high/low warmth crossed with high/low competence) so that topic-level sentiment is held constant within the contrast; and (2) by applying PCA denoising to remove the principal axes of neutral-text variation, which tend to capture surface-level lexical features such as sentiment polarity.</w:t>
      </w:r>
    </w:p>
    <w:p>
      <w:pPr>
        <w:pStyle w:val="Heading2"/>
        <w:spacing w:after="80" w:before="280"/>
      </w:pPr>
      <w:r>
        <w:rPr>
          <w:rFonts w:ascii="Times New Roman" w:cs="Times New Roman" w:eastAsia="Times New Roman" w:hAnsi="Times New Roman"/>
          <w:b/>
          <w:bCs/>
          <w:sz w:val="24"/>
          <w:szCs w:val="24"/>
        </w:rPr>
        <w:t xml:space="preserve">2.3 Behavioral Audits of LLM Hiring Bias</w:t>
      </w:r>
    </w:p>
    <w:p>
      <w:pPr>
        <w:spacing w:after="160" w:before="0" w:line="360"/>
        <w:jc w:val="both"/>
      </w:pPr>
      <w:r>
        <w:rPr>
          <w:rFonts w:ascii="Times New Roman" w:cs="Times New Roman" w:eastAsia="Times New Roman" w:hAnsi="Times New Roman"/>
          <w:sz w:val="24"/>
          <w:szCs w:val="24"/>
        </w:rPr>
        <w:t xml:space="preserve">A growing empirical literature applies the correspondence study logic to LLMs, treating the model as the decision-maker. The general paradigm presents the model with a resume or job application that varies a demographic signal and records whether the model recommends a callback, computes a hire probability, or rates the applicant favorably.</w:t>
      </w:r>
    </w:p>
    <w:p>
      <w:pPr>
        <w:spacing w:after="160" w:before="0" w:line="360"/>
        <w:ind w:firstLine="720"/>
        <w:jc w:val="both"/>
      </w:pPr>
      <w:r>
        <w:rPr>
          <w:rFonts w:ascii="Times New Roman" w:cs="Times New Roman" w:eastAsia="Times New Roman" w:hAnsi="Times New Roman"/>
          <w:sz w:val="24"/>
          <w:szCs w:val="24"/>
        </w:rPr>
        <w:t xml:space="preserve">Armstrong et al. (2024) conducted a large-scale audit of GPT-3.5, presenting the model with resumes assigned to 300 names spanning multiple racial and ethnic groups across 41 occupational categories. They documented systematic disparities in acceptance rates, with Hispanic-associated names showing below-average callback rates and significant heterogeneity across occupations. Critically, the direction of bias was not uniform: GPT-3.5 showed some preference patterns that differed from those documented in human correspondence studies, suggesting that LLM biases are not simply a direct reproduction of human biases but may have their own structure.</w:t>
      </w:r>
    </w:p>
    <w:p>
      <w:pPr>
        <w:spacing w:after="160" w:before="0" w:line="360"/>
        <w:ind w:firstLine="720"/>
        <w:jc w:val="both"/>
      </w:pPr>
      <w:r>
        <w:rPr>
          <w:rFonts w:ascii="Times New Roman" w:cs="Times New Roman" w:eastAsia="Times New Roman" w:hAnsi="Times New Roman"/>
          <w:sz w:val="24"/>
          <w:szCs w:val="24"/>
        </w:rPr>
        <w:t xml:space="preserve">Gaebler, Goel, Huq, and Tambe (2024) examined multiple LLMs across a range of race and gender manipulations, finding persistent disparities and raising concerns about the fitness of LLMs for use in regulated hiring contexts under US equal employment opportunity law. They also documented that the direction and magnitude of disparities varied substantially across models, prompting versions, and task framings—a finding that underscores the need for mechanistic rather than purely behavioral analysis.</w:t>
      </w:r>
    </w:p>
    <w:p>
      <w:pPr>
        <w:spacing w:after="160" w:before="0" w:line="360"/>
        <w:ind w:firstLine="720"/>
        <w:jc w:val="both"/>
      </w:pPr>
      <w:r>
        <w:rPr>
          <w:rFonts w:ascii="Times New Roman" w:cs="Times New Roman" w:eastAsia="Times New Roman" w:hAnsi="Times New Roman"/>
          <w:sz w:val="24"/>
          <w:szCs w:val="24"/>
        </w:rPr>
        <w:t xml:space="preserve">A limitation of these behavioral studies, acknowledged by their authors, is that they can document the existence of disparities but cannot explain their source. A model that systematically recommends against applicants with Arab-sounding names may be doing so because it has learned an internal representation associating Arab names with low competence, because its training data contained such associations in contexts unrelated to hiring, or because the prompt framing activates general stereotypical reasoning that the model then applies. Behavioral measurement alone cannot distinguish these possibilities. The present paper is designed to fill this explanatory gap.</w:t>
      </w:r>
    </w:p>
    <w:p>
      <w:pPr>
        <w:pStyle w:val="Heading2"/>
        <w:spacing w:after="80" w:before="280"/>
      </w:pPr>
      <w:r>
        <w:rPr>
          <w:rFonts w:ascii="Times New Roman" w:cs="Times New Roman" w:eastAsia="Times New Roman" w:hAnsi="Times New Roman"/>
          <w:b/>
          <w:bCs/>
          <w:sz w:val="24"/>
          <w:szCs w:val="24"/>
        </w:rPr>
        <w:t xml:space="preserve">2.4 Mechanistic Interpretability and Concept Representations</w:t>
      </w:r>
    </w:p>
    <w:p>
      <w:pPr>
        <w:spacing w:after="160" w:before="0" w:line="360"/>
        <w:jc w:val="both"/>
      </w:pPr>
      <w:r>
        <w:rPr>
          <w:rFonts w:ascii="Times New Roman" w:cs="Times New Roman" w:eastAsia="Times New Roman" w:hAnsi="Times New Roman"/>
          <w:sz w:val="24"/>
          <w:szCs w:val="24"/>
        </w:rPr>
        <w:t xml:space="preserve">Mechanistic interpretability is the program of reverse-engineering neural networks—identifying the internal computations, features, and circuits that give rise to observed behavior (Olah et al., 2020). For transformer-based language models, the residual stream plays a central theoretical role: it is the substrate on which information accumulates across layers, and it is the object whose structure mechanistic interpretability aims to characterize.</w:t>
      </w:r>
    </w:p>
    <w:p>
      <w:pPr>
        <w:spacing w:after="160" w:before="0" w:line="360"/>
        <w:ind w:firstLine="720"/>
        <w:jc w:val="both"/>
      </w:pPr>
      <w:r>
        <w:rPr>
          <w:rFonts w:ascii="Times New Roman" w:cs="Times New Roman" w:eastAsia="Times New Roman" w:hAnsi="Times New Roman"/>
          <w:sz w:val="24"/>
          <w:szCs w:val="24"/>
        </w:rPr>
        <w:t xml:space="preserve">A foundational empirical observation motivating this line of work is that semantically related words are represented as vectors with similar directions in the embedding space of neural language models. Mikolov, Chen, Corrado, and Dean (2013) famously demonstrated that geometric relationships in word embedding spaces correspond to semantic relationships: the vector for "king" minus "man" plus "woman" approximates the vector for "queen," suggesting that gender and royalty are encoded as approximately linear directions in the embedding. Subsequent work has extended this observation from static word embeddings to the internal representations of full transformer models across layers.</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val="false"/>
          <w:bCs w:val="false"/>
          <w:i/>
          <w:iCs/>
          <w:sz w:val="24"/>
          <w:szCs w:val="24"/>
        </w:rPr>
        <w:t xml:space="preserve">linear representation hypothesis</w:t>
      </w:r>
      <w:r>
        <w:rPr>
          <w:rFonts w:ascii="Times New Roman" w:cs="Times New Roman" w:eastAsia="Times New Roman" w:hAnsi="Times New Roman"/>
          <w:b w:val="false"/>
          <w:bCs w:val="false"/>
          <w:i w:val="false"/>
          <w:iCs w:val="false"/>
          <w:sz w:val="24"/>
          <w:szCs w:val="24"/>
        </w:rPr>
        <w:t xml:space="preserve">—the claim that human-interpretable concepts are encoded as linear directions or subspaces in a neural network's representation space—has received substantial theoretical and empirical support (Mikolov et al., 2013; Park et al., 2024). It implies that a model's representation of a concept can be extracted as a direction vector by contrasting the mean activations of inputs expressing the concept with the mean activations of inputs not expressing the concept. This contrast vector can then be used to measure how strongly a new input expresses the concept (by projection) or to causally intervene on the concept's representation (by adding the vector to the model's residual stream during inference).</w:t>
      </w:r>
    </w:p>
    <w:p>
      <w:pPr>
        <w:spacing w:after="160" w:before="0" w:line="360"/>
        <w:ind w:firstLine="720"/>
        <w:jc w:val="both"/>
      </w:pPr>
      <w:r>
        <w:rPr>
          <w:rFonts w:ascii="Times New Roman" w:cs="Times New Roman" w:eastAsia="Times New Roman" w:hAnsi="Times New Roman"/>
          <w:sz w:val="24"/>
          <w:szCs w:val="24"/>
        </w:rPr>
        <w:t xml:space="preserve">Zou, Phan, Chen, Campbell, Guo, and Steinhardt (2023) developed this insight into a practical toolkit under the name representation engineering. They demonstrated that linear directions in the residual streams of models including Llama, GPT-NeoX, and others encode high-level properties including honesty, fairness, emotion, and harmlessness, and that adding scaled versions of these directions to the residual stream reliably shifts model behavior in the predicted direction. Their work established the viability of the contrast-vector approach for a broad class of human-relevant concepts.</w:t>
      </w:r>
    </w:p>
    <w:p>
      <w:pPr>
        <w:spacing w:after="160" w:before="0" w:line="360"/>
        <w:ind w:firstLine="720"/>
        <w:jc w:val="both"/>
      </w:pPr>
      <w:r>
        <w:rPr>
          <w:rFonts w:ascii="Times New Roman" w:cs="Times New Roman" w:eastAsia="Times New Roman" w:hAnsi="Times New Roman"/>
          <w:sz w:val="24"/>
          <w:szCs w:val="24"/>
        </w:rPr>
        <w:t xml:space="preserve">Turner, Mini, MacDiarmid, and Rumbelow (2023) demonstrated causal steering via activation addition in GPT-2: injecting a "banana" direction into the residual stream caused the model to incorporate banana-related content into otherwise unrelated completions, with effects that were graded in the steering strength. Their work established that residual-stream interventions can causally alter model outputs in interpretable ways, providing a proof of concept for the steering paradigm we apply here.</w:t>
      </w:r>
    </w:p>
    <w:p>
      <w:pPr>
        <w:spacing w:after="160" w:before="0" w:line="360"/>
        <w:ind w:firstLine="720"/>
        <w:jc w:val="both"/>
      </w:pPr>
      <w:r>
        <w:rPr>
          <w:rFonts w:ascii="Times New Roman" w:cs="Times New Roman" w:eastAsia="Times New Roman" w:hAnsi="Times New Roman"/>
          <w:sz w:val="24"/>
          <w:szCs w:val="24"/>
        </w:rPr>
        <w:t xml:space="preserve">Most directly relevant to our work, Sofroniew, Lindsey, and colleagues (2026) applied these methods to study emotion concepts in Claude Sonnet. They generated a large corpus of short stories instantiating 171 distinct emotions, extracted residual-stream activations, and constructed contrast vectors for each emotion concept using the mean-difference approach. The resulting vectors satisfied multiple validation criteria: they classified held-out stories with high accuracy, their logit-lens projections upweighted semantically related tokens, their activation levels during normal conversations tracked the emotion's relevance to the unfolding context, and causally adding an emotion vector shifted the model's expressed preferences and its rate of misaligned behaviors (reward hacking, blackmail, sycophancy) in the predicted direction. This paper establishes the methodological template we follow, substituting warmth and competence—two dimensions of social perception rather than one of 171 emotions—and substituting hiring callback recommendations for expressions of preference.</w:t>
      </w:r>
    </w:p>
    <w:p>
      <w:pPr>
        <w:spacing w:after="160" w:before="0" w:line="360"/>
        <w:ind w:firstLine="720"/>
        <w:jc w:val="both"/>
      </w:pPr>
      <w:r>
        <w:rPr>
          <w:rFonts w:ascii="Times New Roman" w:cs="Times New Roman" w:eastAsia="Times New Roman" w:hAnsi="Times New Roman"/>
          <w:sz w:val="24"/>
          <w:szCs w:val="24"/>
        </w:rPr>
        <w:t xml:space="preserve">One important development in the tooling that supports this work is the release of GemmaScope 2 (Team et al., 2025), a set of pretrained Sparse Autoencoders (SAEs) trained on the residual streams of every layer of Gemma 3. SAEs decompose the residual stream into a sparse set of interpretable features—monosemantic directions corresponding to specific semantic or syntactic concepts—providing a vocabulary for identifying what a given direction encodes. We leverage GemmaScope 2 as a validation tool: the warmth and competence vectors we extract should decompose onto features that are semantically coherent with warmth and competence respectively, and importantly should not decompose primarily onto a single valence or sentiment feature—which would be evidence of the warmth-valence confound.</w:t>
      </w:r>
    </w:p>
    <w:p>
      <w:pPr>
        <w:pStyle w:val="Heading2"/>
        <w:spacing w:after="80" w:before="280"/>
      </w:pPr>
      <w:r>
        <w:rPr>
          <w:rFonts w:ascii="Times New Roman" w:cs="Times New Roman" w:eastAsia="Times New Roman" w:hAnsi="Times New Roman"/>
          <w:b/>
          <w:bCs/>
          <w:sz w:val="24"/>
          <w:szCs w:val="24"/>
        </w:rPr>
        <w:t xml:space="preserve">2.5 Research Gap and Contribution</w:t>
      </w:r>
    </w:p>
    <w:p>
      <w:pPr>
        <w:spacing w:after="160" w:before="0" w:line="360"/>
        <w:jc w:val="both"/>
      </w:pPr>
      <w:r>
        <w:rPr>
          <w:rFonts w:ascii="Times New Roman" w:cs="Times New Roman" w:eastAsia="Times New Roman" w:hAnsi="Times New Roman"/>
          <w:sz w:val="24"/>
          <w:szCs w:val="24"/>
        </w:rPr>
        <w:t xml:space="preserve">The literatures reviewed above are largely disconnected. Behavioral audit researchers know that LLMs discriminate in hiring but cannot explain the mechanism. Mechanistic interpretability researchers have established that concept representations in residual streams causally influence model behavior but have focused on emotions, factual knowledge, and safety-relevant behaviors rather than on the social stereotypes that drive real-world discrimination. Social psychologists have established that warmth and competence are the key dimensions of intergroup perception that predict discriminatory behavior but have not examined whether this structure is preserved in the internal representations of language models.</w:t>
      </w:r>
    </w:p>
    <w:p>
      <w:pPr>
        <w:spacing w:after="160" w:before="0" w:line="360"/>
        <w:ind w:firstLine="720"/>
        <w:jc w:val="both"/>
      </w:pPr>
      <w:r>
        <w:rPr>
          <w:rFonts w:ascii="Times New Roman" w:cs="Times New Roman" w:eastAsia="Times New Roman" w:hAnsi="Times New Roman"/>
          <w:sz w:val="24"/>
          <w:szCs w:val="24"/>
        </w:rPr>
        <w:t xml:space="preserve">This paper bridges these gaps. Our central contribution is to test whether warmth and competence are encoded as causally active linear directions in an LLM's residual stream, and whether those directions mediate the discriminatory hiring behavior documented in behavioral audits. Concretely, we offer three headline results: (1) a probe activation curve showing that the model's warmth and competence vectors correlate with human warmth and competence ratings of social signals across the range of signals included in the Gallo et al. (2024) meta-analysis; (2) a steering curve showing how callback probability shifts as a function of warmth and competence steering strength; and (3) a comparison of model-generated callback disparities against human correspondence-study disparities, testing whether the model's internal warmth and competence structure reproduces the pattern of discrimination observed in human hiring.</w:t>
      </w:r>
    </w:p>
    <w:p>
      <w:pPr>
        <w:spacing w:after="160" w:before="0" w:line="360"/>
        <w:ind w:firstLine="720"/>
        <w:jc w:val="both"/>
      </w:pPr>
      <w:r>
        <w:rPr>
          <w:rFonts w:ascii="Times New Roman" w:cs="Times New Roman" w:eastAsia="Times New Roman" w:hAnsi="Times New Roman"/>
          <w:sz w:val="24"/>
          <w:szCs w:val="24"/>
        </w:rPr>
        <w:t xml:space="preserve">We conduct this analysis using Gemma 3 12B (google/gemma-3-12b-it) as our primary model, with the TransformerLens library for activation extraction and steering, and GemmaScope 2 SAEs for representation validation. This choice is motivated by the availability of pretrained SAEs for Gemma 3 specifically, which are essential for the valence-confound checks that are necessary for credible warmth probing.</w:t>
      </w:r>
    </w:p>
    <w:p>
      <w:pPr>
        <w:pStyle w:val="Heading1"/>
        <w:spacing w:after="120" w:before="360"/>
      </w:pPr>
      <w:r>
        <w:rPr>
          <w:rFonts w:ascii="Times New Roman" w:cs="Times New Roman" w:eastAsia="Times New Roman" w:hAnsi="Times New Roman"/>
          <w:b/>
          <w:bCs/>
          <w:sz w:val="28"/>
          <w:szCs w:val="28"/>
        </w:rPr>
        <w:t xml:space="preserve">References</w:t>
      </w:r>
    </w:p>
    <w:p>
      <w:pPr>
        <w:spacing w:after="160" w:before="0" w:line="360"/>
        <w:jc w:val="both"/>
      </w:pPr>
      <w:r>
        <w:rPr>
          <w:rFonts w:ascii="Times New Roman" w:cs="Times New Roman" w:eastAsia="Times New Roman" w:hAnsi="Times New Roman"/>
          <w:sz w:val="24"/>
          <w:szCs w:val="24"/>
        </w:rPr>
        <w:t xml:space="preserve">Ameri, M., Schur, L., Adya, M., Bentley, F. S., McKay, P., &amp; Kruse, D. (2018). The disability employment puzzle: A field experiment on employer hiring behavior. ILR Review, 71(2), 329–364.</w:t>
      </w:r>
    </w:p>
    <w:p>
      <w:pPr>
        <w:spacing w:after="160" w:before="0" w:line="360"/>
        <w:ind w:firstLine="720"/>
        <w:jc w:val="both"/>
      </w:pPr>
      <w:r>
        <w:rPr>
          <w:rFonts w:ascii="Times New Roman" w:cs="Times New Roman" w:eastAsia="Times New Roman" w:hAnsi="Times New Roman"/>
          <w:sz w:val="24"/>
          <w:szCs w:val="24"/>
        </w:rPr>
        <w:t xml:space="preserve">Armstrong, R. E., Deng, M., Perez, E., &amp; Li, J. (2024). Do large language models discriminate in hiring decisions on the basis of race, ethnicity, and gender? arXiv:2406.10486.</w:t>
      </w:r>
    </w:p>
    <w:p>
      <w:pPr>
        <w:spacing w:after="160" w:before="0" w:line="360"/>
        <w:ind w:firstLine="720"/>
        <w:jc w:val="both"/>
      </w:pPr>
      <w:r>
        <w:rPr>
          <w:rFonts w:ascii="Times New Roman" w:cs="Times New Roman" w:eastAsia="Times New Roman" w:hAnsi="Times New Roman"/>
          <w:sz w:val="24"/>
          <w:szCs w:val="24"/>
        </w:rPr>
        <w:t xml:space="preserve">Bertrand, M., &amp; Mullainathan, S. (2004). Are Emily and Greg more employable than Lakisha and Jamal? A field experiment on labor market discrimination. American Economic Review, 94(4), 991–1013.</w:t>
      </w:r>
    </w:p>
    <w:p>
      <w:pPr>
        <w:spacing w:after="160" w:before="0" w:line="360"/>
        <w:ind w:firstLine="720"/>
        <w:jc w:val="both"/>
      </w:pPr>
      <w:r>
        <w:rPr>
          <w:rFonts w:ascii="Times New Roman" w:cs="Times New Roman" w:eastAsia="Times New Roman" w:hAnsi="Times New Roman"/>
          <w:sz w:val="24"/>
          <w:szCs w:val="24"/>
        </w:rPr>
        <w:t xml:space="preserve">Correll, S. J., Benard, S., &amp; Paik, I. (2007). Getting a job: Is there a motherhood penalty? American Journal of Sociology, 112(5), 1297–1338.</w:t>
      </w:r>
    </w:p>
    <w:p>
      <w:pPr>
        <w:spacing w:after="160" w:before="0" w:line="360"/>
        <w:ind w:firstLine="720"/>
        <w:jc w:val="both"/>
      </w:pPr>
      <w:r>
        <w:rPr>
          <w:rFonts w:ascii="Times New Roman" w:cs="Times New Roman" w:eastAsia="Times New Roman" w:hAnsi="Times New Roman"/>
          <w:sz w:val="24"/>
          <w:szCs w:val="24"/>
        </w:rPr>
        <w:t xml:space="preserve">Cuddy, A. J. C., Fiske, S. T., &amp; Glick, P. (2007). The BIAS map: Behaviors from intergroup affect and stereotypes. Journal of Personality and Social Psychology, 92(4), 631–648.</w:t>
      </w:r>
    </w:p>
    <w:p>
      <w:pPr>
        <w:spacing w:after="160" w:before="0" w:line="360"/>
        <w:ind w:firstLine="720"/>
        <w:jc w:val="both"/>
      </w:pPr>
      <w:r>
        <w:rPr>
          <w:rFonts w:ascii="Times New Roman" w:cs="Times New Roman" w:eastAsia="Times New Roman" w:hAnsi="Times New Roman"/>
          <w:sz w:val="24"/>
          <w:szCs w:val="24"/>
        </w:rPr>
        <w:t xml:space="preserve">Cuddy, A. J. C., Fiske, S. T., &amp; Glick, P. (2008). Warmth and competence as universal dimensions of social perception: The stereotype content model and the BIAS map. Advances in Experimental Social Psychology, 40, 61–149.</w:t>
      </w:r>
    </w:p>
    <w:p>
      <w:pPr>
        <w:spacing w:after="160" w:before="0" w:line="360"/>
        <w:ind w:firstLine="720"/>
        <w:jc w:val="both"/>
      </w:pPr>
      <w:r>
        <w:rPr>
          <w:rFonts w:ascii="Times New Roman" w:cs="Times New Roman" w:eastAsia="Times New Roman" w:hAnsi="Times New Roman"/>
          <w:sz w:val="24"/>
          <w:szCs w:val="24"/>
        </w:rPr>
        <w:t xml:space="preserve">Fiske, S. T. (2018). Stereotype content: Warmth and competence endure. Current Directions in Psychological Science, 27(2), 67–73.</w:t>
      </w:r>
    </w:p>
    <w:p>
      <w:pPr>
        <w:spacing w:after="160" w:before="0" w:line="360"/>
        <w:ind w:firstLine="720"/>
        <w:jc w:val="both"/>
      </w:pPr>
      <w:r>
        <w:rPr>
          <w:rFonts w:ascii="Times New Roman" w:cs="Times New Roman" w:eastAsia="Times New Roman" w:hAnsi="Times New Roman"/>
          <w:sz w:val="24"/>
          <w:szCs w:val="24"/>
        </w:rPr>
        <w:t xml:space="preserve">Fiske, S. T., Cuddy, A. J. C., &amp; Glick, P. (2007). Universal dimensions of social cognition: Warmth and competence. Trends in Cognitive Sciences, 11(2), 77–83.</w:t>
      </w:r>
    </w:p>
    <w:p>
      <w:pPr>
        <w:spacing w:after="160" w:before="0" w:line="360"/>
        <w:ind w:firstLine="720"/>
        <w:jc w:val="both"/>
      </w:pPr>
      <w:r>
        <w:rPr>
          <w:rFonts w:ascii="Times New Roman" w:cs="Times New Roman" w:eastAsia="Times New Roman" w:hAnsi="Times New Roman"/>
          <w:sz w:val="24"/>
          <w:szCs w:val="24"/>
        </w:rPr>
        <w:t xml:space="preserve">Fiske, S. T., Cuddy, A. J. C., Glick, P., &amp; Xu, J. (2002). A model of (often mixed) stereotype content: Competence and warmth respectively follow from perceived status and competition. Journal of Personality and Social Psychology, 82(6), 878–902.</w:t>
      </w:r>
    </w:p>
    <w:p>
      <w:pPr>
        <w:spacing w:after="160" w:before="0" w:line="360"/>
        <w:ind w:firstLine="720"/>
        <w:jc w:val="both"/>
      </w:pPr>
      <w:r>
        <w:rPr>
          <w:rFonts w:ascii="Times New Roman" w:cs="Times New Roman" w:eastAsia="Times New Roman" w:hAnsi="Times New Roman"/>
          <w:sz w:val="24"/>
          <w:szCs w:val="24"/>
        </w:rPr>
        <w:t xml:space="preserve">Gaebler, J. D., Goel, S., Huq, A., &amp; Tambe, P. (2024). Auditing large language models for race and gender disparities: Implications for artificial intelligence-based hiring. Socius: Sociological Research for a Dynamic World, https://doi.org/10.1177/23794607251320229.</w:t>
      </w:r>
    </w:p>
    <w:p>
      <w:pPr>
        <w:spacing w:after="160" w:before="0" w:line="360"/>
        <w:ind w:firstLine="720"/>
        <w:jc w:val="both"/>
      </w:pPr>
      <w:r>
        <w:rPr>
          <w:rFonts w:ascii="Times New Roman" w:cs="Times New Roman" w:eastAsia="Times New Roman" w:hAnsi="Times New Roman"/>
          <w:sz w:val="24"/>
          <w:szCs w:val="24"/>
        </w:rPr>
        <w:t xml:space="preserve">Gallo, E., Hausladen, C. I., Hsu, M., Jenkins, A., Ona, D., &amp; Camerer, C. (2024). Perceived warmth and competence predict callback rates in meta-analyzed North American labor market experiments. PLOS ONE, 19(7): e0304723.</w:t>
      </w:r>
    </w:p>
    <w:p>
      <w:pPr>
        <w:spacing w:after="160" w:before="0" w:line="360"/>
        <w:ind w:firstLine="720"/>
        <w:jc w:val="both"/>
      </w:pPr>
      <w:r>
        <w:rPr>
          <w:rFonts w:ascii="Times New Roman" w:cs="Times New Roman" w:eastAsia="Times New Roman" w:hAnsi="Times New Roman"/>
          <w:sz w:val="24"/>
          <w:szCs w:val="24"/>
        </w:rPr>
        <w:t xml:space="preserve">Mikolov, T., Chen, K., Corrado, G., &amp; Dean, J. (2013). Efficient estimation of word representations in vector space. arXiv:1301.3781.</w:t>
      </w:r>
    </w:p>
    <w:p>
      <w:pPr>
        <w:spacing w:after="160" w:before="0" w:line="360"/>
        <w:ind w:firstLine="720"/>
        <w:jc w:val="both"/>
      </w:pPr>
      <w:r>
        <w:rPr>
          <w:rFonts w:ascii="Times New Roman" w:cs="Times New Roman" w:eastAsia="Times New Roman" w:hAnsi="Times New Roman"/>
          <w:sz w:val="24"/>
          <w:szCs w:val="24"/>
        </w:rPr>
        <w:t xml:space="preserve">Neumark, D., Burn, I., &amp; Button, P. (2019). Is it harder for older workers to find jobs? New and improved evidence from a field experiment. Journal of Political Economy, 127(2), 922–970.</w:t>
      </w:r>
    </w:p>
    <w:p>
      <w:pPr>
        <w:spacing w:after="160" w:before="0" w:line="360"/>
        <w:ind w:firstLine="720"/>
        <w:jc w:val="both"/>
      </w:pPr>
      <w:r>
        <w:rPr>
          <w:rFonts w:ascii="Times New Roman" w:cs="Times New Roman" w:eastAsia="Times New Roman" w:hAnsi="Times New Roman"/>
          <w:sz w:val="24"/>
          <w:szCs w:val="24"/>
        </w:rPr>
        <w:t xml:space="preserve">Olah, C., Cammarata, N., Schubert, L., Goh, G., Petrov, M., &amp; Carter, S. (2020). Zoom in: An introduction to circuits. Distill. https://distill.pub/2020/circuits/zoom-in</w:t>
      </w:r>
    </w:p>
    <w:p>
      <w:pPr>
        <w:spacing w:after="160" w:before="0" w:line="360"/>
        <w:ind w:firstLine="720"/>
        <w:jc w:val="both"/>
      </w:pPr>
      <w:r>
        <w:rPr>
          <w:rFonts w:ascii="Times New Roman" w:cs="Times New Roman" w:eastAsia="Times New Roman" w:hAnsi="Times New Roman"/>
          <w:sz w:val="24"/>
          <w:szCs w:val="24"/>
        </w:rPr>
        <w:t xml:space="preserve">Oreopoulos, P. (2011). Why do skilled immigrants struggle in the labor market? A field experiment with thirteen thousand resumes. American Economic Journal: Economic Policy, 3(4), 148–171.</w:t>
      </w:r>
    </w:p>
    <w:p>
      <w:pPr>
        <w:spacing w:after="160" w:before="0" w:line="360"/>
        <w:ind w:firstLine="720"/>
        <w:jc w:val="both"/>
      </w:pPr>
      <w:r>
        <w:rPr>
          <w:rFonts w:ascii="Times New Roman" w:cs="Times New Roman" w:eastAsia="Times New Roman" w:hAnsi="Times New Roman"/>
          <w:sz w:val="24"/>
          <w:szCs w:val="24"/>
        </w:rPr>
        <w:t xml:space="preserve">Park, S., Lindsey, J., Heimersheim, S., Henighan, T., &amp; Olah, C. (2024). The geometry of concept space: Empirical evidence for the linear representation hypothesis. arXiv preprint.</w:t>
      </w:r>
    </w:p>
    <w:p>
      <w:pPr>
        <w:spacing w:after="160" w:before="0" w:line="360"/>
        <w:ind w:firstLine="720"/>
        <w:jc w:val="both"/>
      </w:pPr>
      <w:r>
        <w:rPr>
          <w:rFonts w:ascii="Times New Roman" w:cs="Times New Roman" w:eastAsia="Times New Roman" w:hAnsi="Times New Roman"/>
          <w:sz w:val="24"/>
          <w:szCs w:val="24"/>
        </w:rPr>
        <w:t xml:space="preserve">Patacchini, E., Ragusa, G., &amp; Zenou, Y. (2015). Unexplored dimensions of discrimination in Europe: Religion, homosexuality and physical appearance. IZA Journal of Labor Economics, 4(1), 1–24.</w:t>
      </w:r>
    </w:p>
    <w:p>
      <w:pPr>
        <w:spacing w:after="160" w:before="0" w:line="360"/>
        <w:ind w:firstLine="720"/>
        <w:jc w:val="both"/>
      </w:pPr>
      <w:r>
        <w:rPr>
          <w:rFonts w:ascii="Times New Roman" w:cs="Times New Roman" w:eastAsia="Times New Roman" w:hAnsi="Times New Roman"/>
          <w:sz w:val="24"/>
          <w:szCs w:val="24"/>
        </w:rPr>
        <w:t xml:space="preserve">Sofroniew, N., Kauvar, I., Saunders, W., Chen, R., Henighan, T., Hydrie, S., Citro, C., Pearce, A., Tarng, J., Gurnee, W., Batson, J., Zimmerman, S., Rivoire, K., Fish, K., Olah, C., &amp; Lindsey, J. (2026). Emotion concepts and their function in a large language model. arXiv:2604.07729.</w:t>
      </w:r>
    </w:p>
    <w:p>
      <w:pPr>
        <w:spacing w:after="160" w:before="0" w:line="360"/>
        <w:ind w:firstLine="720"/>
        <w:jc w:val="both"/>
      </w:pPr>
      <w:r>
        <w:rPr>
          <w:rFonts w:ascii="Times New Roman" w:cs="Times New Roman" w:eastAsia="Times New Roman" w:hAnsi="Times New Roman"/>
          <w:sz w:val="24"/>
          <w:szCs w:val="24"/>
        </w:rPr>
        <w:t xml:space="preserve">Tilcsik, A. (2011). Pride and prejudice: Employment discrimination against openly gay men in the United States. American Journal of Sociology, 117(2), 586–626.</w:t>
      </w:r>
    </w:p>
    <w:p>
      <w:pPr>
        <w:spacing w:after="160" w:before="0" w:line="360"/>
        <w:ind w:firstLine="720"/>
        <w:jc w:val="both"/>
      </w:pPr>
      <w:r>
        <w:rPr>
          <w:rFonts w:ascii="Times New Roman" w:cs="Times New Roman" w:eastAsia="Times New Roman" w:hAnsi="Times New Roman"/>
          <w:sz w:val="24"/>
          <w:szCs w:val="24"/>
        </w:rPr>
        <w:t xml:space="preserve">Turner, A., Mini, L., MacDiarmid, J., &amp; Rumbelow, M. (2023). Activation addition: Steering language models without optimization. arXiv:2308.10248.</w:t>
      </w:r>
    </w:p>
    <w:p>
      <w:pPr>
        <w:spacing w:after="160" w:before="0" w:line="360"/>
        <w:ind w:firstLine="720"/>
        <w:jc w:val="both"/>
      </w:pPr>
      <w:r>
        <w:rPr>
          <w:rFonts w:ascii="Times New Roman" w:cs="Times New Roman" w:eastAsia="Times New Roman" w:hAnsi="Times New Roman"/>
          <w:sz w:val="24"/>
          <w:szCs w:val="24"/>
        </w:rPr>
        <w:t xml:space="preserve">Zou, A., Phan, L., Chen, S., Campbell, J., Guo, P., &amp; Steinhardt, J. (2023). Representation engineering: A top-down approach to AI transparency. arXiv:2310.01405.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2026-06-08T14:35:08.970Z</dcterms:created>
  <dcterms:modified xsi:type="dcterms:W3CDTF">2026-06-08T14:35:08.970Z</dcterms:modified>
</cp:coreProperties>
</file>

<file path=docProps/custom.xml><?xml version="1.0" encoding="utf-8"?>
<Properties xmlns="http://schemas.openxmlformats.org/officeDocument/2006/custom-properties" xmlns:vt="http://schemas.openxmlformats.org/officeDocument/2006/docPropsVTypes"/>
</file>