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48A0" w14:textId="77777777" w:rsidR="00FC3378" w:rsidRDefault="00000000">
      <w:pPr>
        <w:spacing w:after="240"/>
        <w:jc w:val="center"/>
      </w:pPr>
      <w:r>
        <w:rPr>
          <w:b/>
          <w:bCs/>
          <w:sz w:val="32"/>
          <w:szCs w:val="32"/>
        </w:rPr>
        <w:t>Probing Warmth and Competence Representations in LLM Hiring Decisions</w:t>
      </w:r>
    </w:p>
    <w:p w14:paraId="58AA0FF8" w14:textId="77777777" w:rsidR="00FC3378" w:rsidRDefault="00000000">
      <w:pPr>
        <w:spacing w:after="80"/>
        <w:jc w:val="center"/>
      </w:pPr>
      <w:r>
        <w:rPr>
          <w:i/>
          <w:iCs/>
        </w:rPr>
        <w:t>Introduction — Working Draft</w:t>
      </w:r>
    </w:p>
    <w:p w14:paraId="0F338207" w14:textId="77777777" w:rsidR="00FC3378" w:rsidRDefault="00000000">
      <w:pPr>
        <w:spacing w:after="720"/>
        <w:jc w:val="center"/>
      </w:pPr>
      <w:r>
        <w:t xml:space="preserve">Jorge Andrés Lastra Cerda and </w:t>
      </w:r>
      <w:proofErr w:type="spellStart"/>
      <w:r>
        <w:t>Emrecan</w:t>
      </w:r>
      <w:proofErr w:type="spellEnd"/>
      <w:r>
        <w:t xml:space="preserve"> Ulu — June 2026</w:t>
      </w:r>
    </w:p>
    <w:p w14:paraId="460FED5B" w14:textId="77777777" w:rsidR="00FC3378" w:rsidRDefault="00000000">
      <w:pPr>
        <w:pStyle w:val="Heading1"/>
      </w:pPr>
      <w:r>
        <w:t>1. Introduction</w:t>
      </w:r>
    </w:p>
    <w:p w14:paraId="6C119958" w14:textId="77777777" w:rsidR="00FC3378" w:rsidRDefault="00000000">
      <w:pPr>
        <w:spacing w:after="160" w:line="360" w:lineRule="auto"/>
        <w:jc w:val="both"/>
      </w:pPr>
      <w:r>
        <w:t xml:space="preserve">Discrimination in hiring is one of the most persistent and consequential forms of social inequality. Access to work is not a neutral outcome. It shapes social mobility, material security, and the possibilities available to people across their lives. One of the most cited field experiments documenting the scope of this problem is Bertrand and Mullainathan (2004), who sent nearly 5,000 matched resumes to employers in Boston and Chicago, varying only the perceived race of the applicant through the name on the resume. Resumes assigned White-sounding names received approximately 50 percent more callbacks for interviews than otherwise identical resumes assigned African American-sounding names. That gap held across industries, occupations, and firm sizes. Similar audits have since documented comparable patterns for gender, age, disability, religion, sexual orientation, and national origin, establishing that differential treatment in hiring is not an isolated phenomenon but a structural feature of labor markets in North America and beyond (Correll, Benard, and Paik, 2007; Neumark, Burn, and Button, 2019; </w:t>
      </w:r>
      <w:proofErr w:type="spellStart"/>
      <w:r>
        <w:t>Tilcsik</w:t>
      </w:r>
      <w:proofErr w:type="spellEnd"/>
      <w:r>
        <w:t>, 2011).</w:t>
      </w:r>
    </w:p>
    <w:p w14:paraId="7A34A446" w14:textId="153D34A5" w:rsidR="00FC3378" w:rsidRDefault="00E5365A">
      <w:pPr>
        <w:spacing w:after="160" w:line="360" w:lineRule="auto"/>
        <w:ind w:firstLine="720"/>
        <w:jc w:val="both"/>
      </w:pPr>
      <w:r>
        <w:t>Social</w:t>
      </w:r>
      <w:r w:rsidR="00000000">
        <w:t xml:space="preserve"> psychology literature offers a theoretical framework for understanding why these disparities exist and what drives their magnitude. The Stereotype Content Model (Fiske, Cuddy, Glick, and Xu, 2002) proposes that social perception is organized along two fundamental dimensions: warmth, which captures perceived intentions and trustworthiness, and competence, which captures perceived ability and effectiveness. Groups that are stereotyped as low on warmth and low on competence elicit contempt and active harm, while groups stereotyped as high on both elicit admiration and active facilitation (Cuddy, Fiske, and Glick, 2007). Gallo, Hausladen, and colleagues (2024) tested this model directly against hiring outcomes. In a meta-analysis pooling callback data from over two decades of North American correspondence studies, they showed that human warmth and competence ratings of social signals predict callback disparities with substantial accuracy. The way people perceive the warmth and competence of a social group is not </w:t>
      </w:r>
      <w:r w:rsidR="00000000">
        <w:lastRenderedPageBreak/>
        <w:t>just a psychological description. It is a working predictor of whether members of that group get called back for a job interview.</w:t>
      </w:r>
    </w:p>
    <w:p w14:paraId="508F136E" w14:textId="77777777" w:rsidR="00FC3378" w:rsidRDefault="00000000">
      <w:pPr>
        <w:spacing w:after="160" w:line="360" w:lineRule="auto"/>
        <w:ind w:firstLine="720"/>
        <w:jc w:val="both"/>
      </w:pPr>
      <w:r>
        <w:t>Large language models are now entering this picture. They are being used to screen resumes, rank candidates, and support or automate hiring decisions at scale. This raises an urgent question: do these systems reproduce the discriminatory patterns documented in human hiring, and if so, what is the underlying mechanism? Behavioral audit studies have already begun to answer the first part. Armstrong and colleagues (2024) found systematic disparities in GPT-3.5 callback recommendations across racial and ethnic groups. Gaebler, Goel, Huq, and Tambe (2024) audited multiple LLMs and found persistent race and gender disparities with potential legal implications under equal employment opportunity law. What these studies cannot tell us is where in the model this differential treatment originates, and how it could be addressed at the source rather than patched at the output.</w:t>
      </w:r>
    </w:p>
    <w:p w14:paraId="2DA30F90" w14:textId="0547836B" w:rsidR="00E5365A" w:rsidRDefault="00E5365A">
      <w:pPr>
        <w:spacing w:after="160" w:line="360" w:lineRule="auto"/>
        <w:ind w:firstLine="720"/>
        <w:jc w:val="both"/>
      </w:pPr>
      <w:r w:rsidRPr="00E5365A">
        <w:t xml:space="preserve">These behavioral audit studies are valuable but inherently limited by their methodology. By treating the model as a black box — stimulus in, recommendation out — they can document </w:t>
      </w:r>
      <w:r w:rsidRPr="00E5365A">
        <w:rPr>
          <w:i/>
          <w:iCs/>
        </w:rPr>
        <w:t>that</w:t>
      </w:r>
      <w:r w:rsidRPr="00E5365A">
        <w:t xml:space="preserve"> disparities exist but cannot identify </w:t>
      </w:r>
      <w:r w:rsidRPr="00E5365A">
        <w:rPr>
          <w:i/>
          <w:iCs/>
        </w:rPr>
        <w:t>where in the model</w:t>
      </w:r>
      <w:r w:rsidRPr="00E5365A">
        <w:t xml:space="preserve"> they originate or </w:t>
      </w:r>
      <w:r w:rsidRPr="00E5365A">
        <w:rPr>
          <w:i/>
          <w:iCs/>
        </w:rPr>
        <w:t>what internal structure</w:t>
      </w:r>
      <w:r w:rsidRPr="00E5365A">
        <w:t xml:space="preserve"> produces them. This matters for two reasons. First, without a mechanistic account, debiasing efforts are forced to operate at the output level, correcting symptoms rather than causes. Second, and more fundamentally, the behavioral audit paradigm cannot test the theoretical claim that links human discrimination to LLM discrimination: that the same warmth and competence structure identified by Fiske and colleagues, and validated as a predictor of human callback rates by Gallo and Hausladen, is also encoded inside the model itself. The hypothesis that LLMs have internalized a representation of social perception organized along these two dimensions has not been tested. Methodological tools now exist to test it: representation engineering (Zou et al., 2023) and the emotion concept probing framework demonstrated by </w:t>
      </w:r>
      <w:proofErr w:type="spellStart"/>
      <w:r w:rsidRPr="00E5365A">
        <w:t>Sofroniew</w:t>
      </w:r>
      <w:proofErr w:type="spellEnd"/>
      <w:r w:rsidRPr="00E5365A">
        <w:t xml:space="preserve"> and colleagues (2026) provide a principled way to extract and causally manipulate linear concept directions in LLM residual streams. What is missing is the application of these tools to warmth and competence as social stereotype dimensions, and their connection to downstream hiring outcomes.</w:t>
      </w:r>
    </w:p>
    <w:p w14:paraId="1BE9427F" w14:textId="77777777" w:rsidR="00FC3378" w:rsidRDefault="00000000">
      <w:pPr>
        <w:spacing w:after="160" w:line="360" w:lineRule="auto"/>
        <w:ind w:firstLine="720"/>
        <w:jc w:val="both"/>
      </w:pPr>
      <w:r>
        <w:t xml:space="preserve">This paper addresses that gap by going inside the model. We ask whether warmth and competence, the same two dimensions that Gallo and Hausladen showed predict human hiring discrimination, are encoded as linear directions in the residual stream of an open-weights large </w:t>
      </w:r>
      <w:r>
        <w:lastRenderedPageBreak/>
        <w:t xml:space="preserve">language model. We then ask whether finding and manipulating those directions causally changes the model's hiring callback recommendations. Our approach adapts the method of </w:t>
      </w:r>
      <w:proofErr w:type="spellStart"/>
      <w:r>
        <w:t>Sofroniew</w:t>
      </w:r>
      <w:proofErr w:type="spellEnd"/>
      <w:r>
        <w:t>, Lindsey, and colleagues (2026), who demonstrated that emotion concepts exist as functional internal representations in Claude Sonnet and that steering those representations shifts model behavior in alignment-relevant ways. We apply the same logic to social stereotypes in hiring: we generate stories expressing high and low levels of warmth and competence, extract residual-stream activations at the two-thirds depth of Gemma 3 12B, construct contrast vectors, and steer those vectors during binary callback recommendation tasks built around the social signals in the Gallo and Hausladen benchmark.</w:t>
      </w:r>
    </w:p>
    <w:p w14:paraId="5EA8CC50" w14:textId="77777777" w:rsidR="00FC3378" w:rsidRDefault="00000000">
      <w:pPr>
        <w:spacing w:after="160" w:line="360" w:lineRule="auto"/>
        <w:ind w:firstLine="720"/>
        <w:jc w:val="both"/>
      </w:pPr>
      <w:r>
        <w:t>Preliminary results from smoke tests on Gemma 3 12B are encouraging. A cross-validated linear probe on warmth versus cold sentences achieves 86 percent accuracy at layer 31 (Cohen's d = 2.90). Warmth steering produces roughly twice the logit shift of an equivalent random direction, which is consistent with the vector encoding something beyond surface-level noise. This is not the main result, it is an early technical check, but it supports the feasibility of the approach before we run the full pipeline.</w:t>
      </w:r>
    </w:p>
    <w:p w14:paraId="0CB31286" w14:textId="77777777" w:rsidR="00FC3378" w:rsidRDefault="00000000">
      <w:pPr>
        <w:spacing w:after="160" w:line="360" w:lineRule="auto"/>
        <w:ind w:firstLine="720"/>
        <w:jc w:val="both"/>
      </w:pPr>
      <w:r>
        <w:t>If the warmth and competence vectors we extract correspond to the same dimensions that drive discrimination in human hiring, this has implications that go beyond documenting yet another case of algorithmic bias. First, it suggests a mechanism: models may have learned an internal structure of social perception that mirrors the Stereotype Content Model, inherited from the human-generated text on which they were trained. Second, it opens a path to debiasing at the source, targeting the representation rather than post-hoc filtering of outputs. Third, it provides a basis for understanding how AI hiring tools can fail and potentially be exploited. These are questions that matter both for the science of how large language models represent social knowledge and for anyone designing or regulating systems that make consequential decisions about people's working lives.</w:t>
      </w:r>
    </w:p>
    <w:p w14:paraId="4CDA6304" w14:textId="77777777" w:rsidR="00FC3378" w:rsidRDefault="00000000">
      <w:pPr>
        <w:spacing w:before="480" w:after="80"/>
      </w:pPr>
      <w:r>
        <w:rPr>
          <w:b/>
          <w:bCs/>
          <w:i/>
          <w:iCs/>
          <w:color w:val="888888"/>
          <w:sz w:val="22"/>
          <w:szCs w:val="22"/>
        </w:rPr>
        <w:t>[Note for Emre]</w:t>
      </w:r>
    </w:p>
    <w:p w14:paraId="71155D1A" w14:textId="77777777" w:rsidR="00FC3378" w:rsidRDefault="00000000">
      <w:pPr>
        <w:spacing w:after="160" w:line="360" w:lineRule="auto"/>
      </w:pPr>
      <w:r>
        <w:rPr>
          <w:i/>
          <w:iCs/>
          <w:color w:val="888888"/>
          <w:sz w:val="22"/>
          <w:szCs w:val="22"/>
        </w:rPr>
        <w:t xml:space="preserve">This is a first working draft of the introduction, written collaboratively to capture the core argument before revising. The structure is: (1) hiring discrimination is real and documented, (2) the SCM explains its structure, (3) AI enters the picture and behavioral audits show it discriminates, (4) we go inside the model, (5) preliminary smoke test results, (6) why this matters. Happy to discuss framing, the order of </w:t>
      </w:r>
      <w:r>
        <w:rPr>
          <w:i/>
          <w:iCs/>
          <w:color w:val="888888"/>
          <w:sz w:val="22"/>
          <w:szCs w:val="22"/>
        </w:rPr>
        <w:lastRenderedPageBreak/>
        <w:t>moves, or whether to include the preliminary results paragraph in the intro or move it to the results section. Comments welcome.</w:t>
      </w:r>
    </w:p>
    <w:sectPr w:rsidR="00FC337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8E5D" w14:textId="77777777" w:rsidR="00014F74" w:rsidRDefault="00014F74">
      <w:r>
        <w:separator/>
      </w:r>
    </w:p>
  </w:endnote>
  <w:endnote w:type="continuationSeparator" w:id="0">
    <w:p w14:paraId="4198C4F8" w14:textId="77777777" w:rsidR="00014F74" w:rsidRDefault="00014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AF1E" w14:textId="77777777" w:rsidR="00FC3378" w:rsidRDefault="00000000">
    <w:pPr>
      <w:jc w:val="center"/>
    </w:pPr>
    <w:r>
      <w:rPr>
        <w:sz w:val="20"/>
        <w:szCs w:val="20"/>
      </w:rPr>
      <w:fldChar w:fldCharType="begin"/>
    </w:r>
    <w:r>
      <w:rPr>
        <w:sz w:val="20"/>
        <w:szCs w:val="20"/>
      </w:rPr>
      <w:instrText>PAGE</w:instrText>
    </w:r>
    <w:r>
      <w:rPr>
        <w:sz w:val="20"/>
        <w:szCs w:val="20"/>
      </w:rPr>
      <w:fldChar w:fldCharType="separate"/>
    </w:r>
    <w:r w:rsidR="00E5365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271C" w14:textId="77777777" w:rsidR="00014F74" w:rsidRDefault="00014F74">
      <w:r>
        <w:separator/>
      </w:r>
    </w:p>
  </w:footnote>
  <w:footnote w:type="continuationSeparator" w:id="0">
    <w:p w14:paraId="423E7AD9" w14:textId="77777777" w:rsidR="00014F74" w:rsidRDefault="00014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475A8"/>
    <w:multiLevelType w:val="hybridMultilevel"/>
    <w:tmpl w:val="30C44488"/>
    <w:lvl w:ilvl="0" w:tplc="A01856C2">
      <w:start w:val="1"/>
      <w:numFmt w:val="bullet"/>
      <w:lvlText w:val="●"/>
      <w:lvlJc w:val="left"/>
      <w:pPr>
        <w:ind w:left="720" w:hanging="360"/>
      </w:pPr>
    </w:lvl>
    <w:lvl w:ilvl="1" w:tplc="E0969C50">
      <w:start w:val="1"/>
      <w:numFmt w:val="bullet"/>
      <w:lvlText w:val="○"/>
      <w:lvlJc w:val="left"/>
      <w:pPr>
        <w:ind w:left="1440" w:hanging="360"/>
      </w:pPr>
    </w:lvl>
    <w:lvl w:ilvl="2" w:tplc="41301E18">
      <w:start w:val="1"/>
      <w:numFmt w:val="bullet"/>
      <w:lvlText w:val="■"/>
      <w:lvlJc w:val="left"/>
      <w:pPr>
        <w:ind w:left="2160" w:hanging="360"/>
      </w:pPr>
    </w:lvl>
    <w:lvl w:ilvl="3" w:tplc="D93C6408">
      <w:start w:val="1"/>
      <w:numFmt w:val="bullet"/>
      <w:lvlText w:val="●"/>
      <w:lvlJc w:val="left"/>
      <w:pPr>
        <w:ind w:left="2880" w:hanging="360"/>
      </w:pPr>
    </w:lvl>
    <w:lvl w:ilvl="4" w:tplc="05C8089C">
      <w:start w:val="1"/>
      <w:numFmt w:val="bullet"/>
      <w:lvlText w:val="○"/>
      <w:lvlJc w:val="left"/>
      <w:pPr>
        <w:ind w:left="3600" w:hanging="360"/>
      </w:pPr>
    </w:lvl>
    <w:lvl w:ilvl="5" w:tplc="B9A21A5E">
      <w:start w:val="1"/>
      <w:numFmt w:val="bullet"/>
      <w:lvlText w:val="■"/>
      <w:lvlJc w:val="left"/>
      <w:pPr>
        <w:ind w:left="4320" w:hanging="360"/>
      </w:pPr>
    </w:lvl>
    <w:lvl w:ilvl="6" w:tplc="E12867D2">
      <w:start w:val="1"/>
      <w:numFmt w:val="bullet"/>
      <w:lvlText w:val="●"/>
      <w:lvlJc w:val="left"/>
      <w:pPr>
        <w:ind w:left="5040" w:hanging="360"/>
      </w:pPr>
    </w:lvl>
    <w:lvl w:ilvl="7" w:tplc="7F94BD1E">
      <w:start w:val="1"/>
      <w:numFmt w:val="bullet"/>
      <w:lvlText w:val="●"/>
      <w:lvlJc w:val="left"/>
      <w:pPr>
        <w:ind w:left="5760" w:hanging="360"/>
      </w:pPr>
    </w:lvl>
    <w:lvl w:ilvl="8" w:tplc="B4349D8A">
      <w:start w:val="1"/>
      <w:numFmt w:val="bullet"/>
      <w:lvlText w:val="●"/>
      <w:lvlJc w:val="left"/>
      <w:pPr>
        <w:ind w:left="6480" w:hanging="360"/>
      </w:pPr>
    </w:lvl>
  </w:abstractNum>
  <w:num w:numId="1" w16cid:durableId="1996642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78"/>
    <w:rsid w:val="00014F74"/>
    <w:rsid w:val="00DC7737"/>
    <w:rsid w:val="00E5365A"/>
    <w:rsid w:val="00FC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3E29"/>
  <w15:docId w15:val="{ED80BA18-EF2F-45EB-97B9-85609BBD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Lastra Cerda</cp:lastModifiedBy>
  <cp:revision>2</cp:revision>
  <dcterms:created xsi:type="dcterms:W3CDTF">2026-06-09T10:31:00Z</dcterms:created>
  <dcterms:modified xsi:type="dcterms:W3CDTF">2026-06-09T16:35:00Z</dcterms:modified>
</cp:coreProperties>
</file>