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Times New Roman" w:cs="Times New Roman" w:eastAsia="Times New Roman" w:hAnsi="Times New Roman"/>
          <w:b/>
          <w:bCs/>
          <w:sz w:val="32"/>
          <w:szCs w:val="32"/>
        </w:rPr>
        <w:t xml:space="preserve">Probing Warmth and Competence Representations in LLM Hiring Decisions</w:t>
      </w:r>
    </w:p>
    <w:p>
      <w:pPr>
        <w:spacing w:after="80" w:before="0"/>
        <w:jc w:val="center"/>
      </w:pPr>
      <w:r>
        <w:rPr>
          <w:rFonts w:ascii="Times New Roman" w:cs="Times New Roman" w:eastAsia="Times New Roman" w:hAnsi="Times New Roman"/>
          <w:i/>
          <w:iCs/>
          <w:sz w:val="24"/>
          <w:szCs w:val="24"/>
        </w:rPr>
        <w:t xml:space="preserve">Introduction — Working Draft v3</w:t>
      </w:r>
    </w:p>
    <w:p>
      <w:pPr>
        <w:spacing w:after="720" w:before="0"/>
        <w:jc w:val="center"/>
      </w:pPr>
      <w:r>
        <w:rPr>
          <w:rFonts w:ascii="Times New Roman" w:cs="Times New Roman" w:eastAsia="Times New Roman" w:hAnsi="Times New Roman"/>
          <w:sz w:val="24"/>
          <w:szCs w:val="24"/>
        </w:rPr>
        <w:t xml:space="preserve">Jorge Andrés Lastra Cerda and Emrecan Ulu — June 2026</w:t>
      </w:r>
    </w:p>
    <w:p>
      <w:pPr>
        <w:pStyle w:val="Heading1"/>
        <w:spacing w:after="120" w:before="360"/>
      </w:pPr>
      <w:r>
        <w:rPr>
          <w:rFonts w:ascii="Times New Roman" w:cs="Times New Roman" w:eastAsia="Times New Roman" w:hAnsi="Times New Roman"/>
          <w:b/>
          <w:bCs/>
          <w:sz w:val="28"/>
          <w:szCs w:val="28"/>
        </w:rPr>
        <w:t xml:space="preserve">1. Introduction</w:t>
      </w:r>
    </w:p>
    <w:p>
      <w:pPr>
        <w:spacing w:after="160" w:before="0" w:line="360"/>
        <w:jc w:val="both"/>
      </w:pPr>
      <w:r>
        <w:rPr>
          <w:rFonts w:ascii="Times New Roman" w:cs="Times New Roman" w:eastAsia="Times New Roman" w:hAnsi="Times New Roman"/>
          <w:sz w:val="24"/>
          <w:szCs w:val="24"/>
        </w:rPr>
        <w:t xml:space="preserve">Discrimination in hiring is one of the most persistent and consequential forms of social inequality. Access to work is not a neutral outcome. It shapes social mobility, material security, and the possibilities available to people across their lives. One of the most cited field experiments documenting the scope of this problem is Bertrand and Mullainathan (2004), who sent nearly 5,000 matched resumes to employers in Boston and Chicago, varying only the perceived race of the applicant through the name on the resume. Resumes assigned White-sounding names received approximately 50 percent more callbacks for interviews than otherwise identical resumes assigned African American-sounding names. That gap held across industries, occupations, and firm sizes. Similar audits have since documented comparable patterns for gender, age, disability, religion, sexual orientation, and national origin, establishing that differential treatment in hiring is not an isolated phenomenon but a structural feature of labor markets in North America and beyond (Correll, Benard, and Paik, 2007; Neumark, Burn, and Button, 2019; Tilcsik, 2011).</w:t>
      </w:r>
    </w:p>
    <w:p>
      <w:pPr>
        <w:spacing w:after="160" w:before="0" w:line="360"/>
        <w:ind w:firstLine="720"/>
        <w:jc w:val="both"/>
      </w:pPr>
      <w:r>
        <w:rPr>
          <w:rFonts w:ascii="Times New Roman" w:cs="Times New Roman" w:eastAsia="Times New Roman" w:hAnsi="Times New Roman"/>
          <w:sz w:val="24"/>
          <w:szCs w:val="24"/>
        </w:rPr>
        <w:t xml:space="preserve">Social psychology offers a theoretical framework for understanding why these disparities exist and what drives their magnitude. The Stereotype Content Model (Fiske, Cuddy, Glick, and Xu, 2002) proposes that social perception is organized along two fundamental dimensions: warmth, which captures perceived intentions and trustworthiness, and competence, which captures perceived ability and effectiveness. Groups stereotyped as low on warmth and low on competence elicit contempt and active harm, while groups stereotyped as high on both elicit admiration and active facilitation (Cuddy, Fiske, and Glick, 2007). Gallo, Hausladen, and colleagues (2024) tested this model directly against hiring outcomes. In a meta-analysis pooling callback data from over two decades of North American correspondence studies, they showed that human warmth and competence ratings of social signals predict callback disparities with substantial accuracy. The way people perceive the warmth and competence of a social group is not just a psychological description. It is a working predictor of whether members of that group get called back for a job interview.</w:t>
      </w:r>
    </w:p>
    <w:p>
      <w:pPr>
        <w:spacing w:after="160" w:before="0" w:line="360"/>
        <w:ind w:firstLine="720"/>
        <w:jc w:val="both"/>
      </w:pPr>
      <w:r>
        <w:rPr>
          <w:rFonts w:ascii="Times New Roman" w:cs="Times New Roman" w:eastAsia="Times New Roman" w:hAnsi="Times New Roman"/>
          <w:sz w:val="24"/>
          <w:szCs w:val="24"/>
        </w:rPr>
        <w:t xml:space="preserve">Large language models are now entering this picture. They are being used to screen resumes, rank candidates, and support or automate hiring decisions at scale. This raises an urgent question: do these systems reproduce the discriminatory patterns documented in human hiring, and if so, what is the underlying mechanism? Behavioral audit studies have already begun to answer the first part. Armstrong and colleagues (2024) found systematic disparities in GPT-3.5 callback recommendations across racial and ethnic groups. Gaebler, Goel, Huq, and Tambe (2024) audited multiple LLMs and found persistent race and gender disparities with potential legal implications under equal employment opportunity law. What these studies cannot tell us is where in the model this differential treatment originates, and how it could be addressed at the source rather than patched at the output.</w:t>
      </w:r>
    </w:p>
    <w:p>
      <w:pPr>
        <w:pStyle w:val="Heading1"/>
        <w:spacing w:after="120" w:before="360"/>
      </w:pPr>
      <w:r>
        <w:rPr>
          <w:rFonts w:ascii="Times New Roman" w:cs="Times New Roman" w:eastAsia="Times New Roman" w:hAnsi="Times New Roman"/>
          <w:b/>
          <w:bCs/>
          <w:sz w:val="28"/>
          <w:szCs w:val="28"/>
        </w:rPr>
        <w:t xml:space="preserve">2. Literature Gap</w:t>
      </w:r>
    </w:p>
    <w:p>
      <w:pPr>
        <w:spacing w:after="160" w:before="0" w:line="360"/>
        <w:jc w:val="both"/>
      </w:pPr>
      <w:r>
        <w:rPr>
          <w:rFonts w:ascii="Times New Roman" w:cs="Times New Roman" w:eastAsia="Times New Roman" w:hAnsi="Times New Roman"/>
          <w:sz w:val="24"/>
          <w:szCs w:val="24"/>
        </w:rPr>
        <w:t xml:space="preserve">Four distinct bodies of literature converge on the problem this paper addresses, and each leaves a specific gap.</w:t>
      </w:r>
    </w:p>
    <w:p>
      <w:pPr>
        <w:pStyle w:val="Heading2"/>
        <w:spacing w:after="80" w:before="280"/>
      </w:pPr>
      <w:r>
        <w:rPr>
          <w:rFonts w:ascii="Times New Roman" w:cs="Times New Roman" w:eastAsia="Times New Roman" w:hAnsi="Times New Roman"/>
          <w:b/>
          <w:bCs/>
          <w:sz w:val="26"/>
          <w:szCs w:val="26"/>
        </w:rPr>
        <w:t xml:space="preserve">2.1 Correspondence Studies</w:t>
      </w:r>
    </w:p>
    <w:p>
      <w:pPr>
        <w:spacing w:after="160" w:before="0" w:line="360"/>
        <w:jc w:val="both"/>
      </w:pPr>
      <w:r>
        <w:rPr>
          <w:rFonts w:ascii="Times New Roman" w:cs="Times New Roman" w:eastAsia="Times New Roman" w:hAnsi="Times New Roman"/>
          <w:sz w:val="24"/>
          <w:szCs w:val="24"/>
        </w:rPr>
        <w:t xml:space="preserve">Correspondence studies have proven that discrimination in hiring is real and measurable across race, gender, age, disability, and national origin. What they cannot tell us is why it happens at the level of cognitive mechanism. They describe the outcome but not the process that produces it.</w:t>
      </w:r>
    </w:p>
    <w:p>
      <w:pPr>
        <w:pStyle w:val="Heading2"/>
        <w:spacing w:after="80" w:before="280"/>
      </w:pPr>
      <w:r>
        <w:rPr>
          <w:rFonts w:ascii="Times New Roman" w:cs="Times New Roman" w:eastAsia="Times New Roman" w:hAnsi="Times New Roman"/>
          <w:b/>
          <w:bCs/>
          <w:sz w:val="26"/>
          <w:szCs w:val="26"/>
        </w:rPr>
        <w:t xml:space="preserve">2.2 The Stereotype Content Model</w:t>
      </w:r>
    </w:p>
    <w:p>
      <w:pPr>
        <w:spacing w:after="160" w:before="0" w:line="360"/>
        <w:jc w:val="both"/>
      </w:pPr>
      <w:r>
        <w:rPr>
          <w:rFonts w:ascii="Times New Roman" w:cs="Times New Roman" w:eastAsia="Times New Roman" w:hAnsi="Times New Roman"/>
          <w:sz w:val="24"/>
          <w:szCs w:val="24"/>
        </w:rPr>
        <w:t xml:space="preserve">The Stereotype Content Model answers that question for humans: warmth and competence are the two dimensions through which social groups are perceived, and those perceptions predict who gets called back, as Gallo, Hausladen, and colleagues (2024) demonstrated directly. But the SCM was built entirely within human psychology. Nobody has tested whether this same structure exists inside a machine. If a language model trained on human-generated text has internalized warmth and competence as internal representations, that would be a meaningful finding. If it has not, that is equally important to know.</w:t>
      </w:r>
    </w:p>
    <w:p>
      <w:pPr>
        <w:pStyle w:val="Heading2"/>
        <w:spacing w:after="80" w:before="280"/>
      </w:pPr>
      <w:r>
        <w:rPr>
          <w:rFonts w:ascii="Times New Roman" w:cs="Times New Roman" w:eastAsia="Times New Roman" w:hAnsi="Times New Roman"/>
          <w:b/>
          <w:bCs/>
          <w:sz w:val="26"/>
          <w:szCs w:val="26"/>
        </w:rPr>
        <w:t xml:space="preserve">2.3 LLM Bias Audits</w:t>
      </w:r>
    </w:p>
    <w:p>
      <w:pPr>
        <w:spacing w:after="160" w:before="0" w:line="360"/>
        <w:jc w:val="both"/>
      </w:pPr>
      <w:r>
        <w:rPr>
          <w:rFonts w:ascii="Times New Roman" w:cs="Times New Roman" w:eastAsia="Times New Roman" w:hAnsi="Times New Roman"/>
          <w:sz w:val="24"/>
          <w:szCs w:val="24"/>
        </w:rPr>
        <w:t xml:space="preserve">Behavioral audits of large language models have confirmed that AI systems also discriminate in hiring (Armstrong et al., 2024; Gaebler et al., 2024). But by treating the model as a black box, these studies can document that disparities exist without explaining where in the model they originate or what internal structure produces them. Knowing that a model recommends against an applicant with a Black-sounding name more often than an identical applicant with a White-sounding name is useful, but it does not tell us how to fix it or where the bias lives.</w:t>
      </w:r>
    </w:p>
    <w:p>
      <w:pPr>
        <w:pStyle w:val="Heading2"/>
        <w:spacing w:after="80" w:before="280"/>
      </w:pPr>
      <w:r>
        <w:rPr>
          <w:rFonts w:ascii="Times New Roman" w:cs="Times New Roman" w:eastAsia="Times New Roman" w:hAnsi="Times New Roman"/>
          <w:b/>
          <w:bCs/>
          <w:sz w:val="26"/>
          <w:szCs w:val="26"/>
        </w:rPr>
        <w:t xml:space="preserve">2.4 Mechanistic Interpretability</w:t>
      </w:r>
    </w:p>
    <w:p>
      <w:pPr>
        <w:spacing w:after="160" w:before="0" w:line="360"/>
        <w:jc w:val="both"/>
      </w:pPr>
      <w:r>
        <w:rPr>
          <w:rFonts w:ascii="Times New Roman" w:cs="Times New Roman" w:eastAsia="Times New Roman" w:hAnsi="Times New Roman"/>
          <w:sz w:val="24"/>
          <w:szCs w:val="24"/>
        </w:rPr>
        <w:t xml:space="preserve">Mechanistic interpretability gives us the tools to open that box. Representation engineering (Zou et al., 2023) and activation addition (Turner et al., 2023) have shown that high-level concepts are encoded as linear directions in LLM residual streams and can be causally manipulated. Most recently, Sofroniew, Lindsey, and colleagues (2026) applied this framework to emotion concepts in Claude Sonnet, showing that internal emotion representations causally influence model behavior. But these tools have never been applied to warmth and competence as social stereotype dimensions, and never connected to hiring discrimination.</w:t>
      </w:r>
    </w:p>
    <w:p>
      <w:pPr>
        <w:pStyle w:val="Heading2"/>
        <w:spacing w:after="80" w:before="280"/>
      </w:pPr>
      <w:r>
        <w:rPr>
          <w:rFonts w:ascii="Times New Roman" w:cs="Times New Roman" w:eastAsia="Times New Roman" w:hAnsi="Times New Roman"/>
          <w:b/>
          <w:bCs/>
          <w:sz w:val="26"/>
          <w:szCs w:val="26"/>
        </w:rPr>
        <w:t xml:space="preserve">2.5 This Paper</w:t>
      </w:r>
    </w:p>
    <w:p>
      <w:pPr>
        <w:spacing w:after="160" w:before="0" w:line="360"/>
        <w:jc w:val="both"/>
      </w:pPr>
      <w:r>
        <w:rPr>
          <w:rFonts w:ascii="Times New Roman" w:cs="Times New Roman" w:eastAsia="Times New Roman" w:hAnsi="Times New Roman"/>
          <w:sz w:val="24"/>
          <w:szCs w:val="24"/>
        </w:rPr>
        <w:t xml:space="preserve">This paper sits at the intersection of all four gaps. We take the conceptual framework from the SCM, the empirical benchmark from correspondence studies, the motivating question from LLM bias audits, and the methodological tools from mechanistic interpretability. We open Gemma 3 12B and look for internal vectors of warmth and competence, to test whether the SCM structure is not just a human phenomenon but something the model has learned from human-generated text, and whether those representations causally drive the hiring disparities that behavioral audits have documented from the outside.</w:t>
      </w:r>
    </w:p>
    <w:p>
      <w:pPr>
        <w:pStyle w:val="Heading1"/>
        <w:spacing w:after="120" w:before="360"/>
      </w:pPr>
      <w:r>
        <w:rPr>
          <w:rFonts w:ascii="Times New Roman" w:cs="Times New Roman" w:eastAsia="Times New Roman" w:hAnsi="Times New Roman"/>
          <w:b/>
          <w:bCs/>
          <w:sz w:val="28"/>
          <w:szCs w:val="28"/>
        </w:rPr>
        <w:t xml:space="preserve">3. Approach and Preliminary Results</w:t>
      </w:r>
    </w:p>
    <w:p>
      <w:pPr>
        <w:spacing w:after="160" w:before="0" w:line="360"/>
        <w:jc w:val="both"/>
      </w:pPr>
      <w:r>
        <w:rPr>
          <w:rFonts w:ascii="Times New Roman" w:cs="Times New Roman" w:eastAsia="Times New Roman" w:hAnsi="Times New Roman"/>
          <w:sz w:val="24"/>
          <w:szCs w:val="24"/>
        </w:rPr>
        <w:t xml:space="preserve">We generate stories expressing high and low levels of warmth and competence, extract residual-stream activations at the two-thirds depth of Gemma 3 12B, construct contrast vectors, and steer those vectors during binary callback recommendation tasks built around the social signals in the Gallo and Hausladen benchmark. Our approach adapts the method of Sofroniew, Lindsey, and colleagues (2026), substituting warmth and competence as social perception dimensions for the emotion concepts they studied.</w:t>
      </w:r>
    </w:p>
    <w:p>
      <w:pPr>
        <w:spacing w:after="160" w:before="0" w:line="360"/>
        <w:ind w:firstLine="720"/>
        <w:jc w:val="both"/>
      </w:pPr>
      <w:r>
        <w:rPr>
          <w:rFonts w:ascii="Times New Roman" w:cs="Times New Roman" w:eastAsia="Times New Roman" w:hAnsi="Times New Roman"/>
          <w:sz w:val="24"/>
          <w:szCs w:val="24"/>
        </w:rPr>
        <w:t xml:space="preserve">Preliminary results from smoke tests on Gemma 3 12B are encouraging. A cross-validated linear probe on warmth versus cold sentences achieves 86 percent accuracy at layer 31 (Cohen's d = 2.90). Warmth steering produces roughly twice the logit shift of an equivalent random direction, consistent with the vector encoding something beyond surface-level noise. This is an early technical check, not the main result, but it supports the feasibility of the approach.</w:t>
      </w:r>
    </w:p>
    <w:p>
      <w:pPr>
        <w:spacing w:after="160" w:before="0" w:line="360"/>
        <w:ind w:firstLine="720"/>
        <w:jc w:val="both"/>
      </w:pPr>
      <w:r>
        <w:rPr>
          <w:rFonts w:ascii="Times New Roman" w:cs="Times New Roman" w:eastAsia="Times New Roman" w:hAnsi="Times New Roman"/>
          <w:sz w:val="24"/>
          <w:szCs w:val="24"/>
        </w:rPr>
        <w:t xml:space="preserve">If the warmth and competence vectors we extract correspond to the same dimensions that drive discrimination in human hiring, this has implications that go beyond documenting yet another case of algorithmic bias. It suggests a mechanism: models may have learned an internal structure of social perception that mirrors the SCM, inherited from the human-generated text on which they were trained. It opens a path to debiasing at the source, targeting the representation rather than post-hoc filtering of outputs. And it provides a basis for understanding how AI hiring tools can fail and potentially be exploited. These are questions that matter both for the science of how language models represent social knowledge and for anyone designing or regulating systems that make consequential decisions about people's working lives.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28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2026-06-09T18:58:43.601Z</dcterms:created>
  <dcterms:modified xsi:type="dcterms:W3CDTF">2026-06-09T18:58:43.601Z</dcterms:modified>
</cp:coreProperties>
</file>

<file path=docProps/custom.xml><?xml version="1.0" encoding="utf-8"?>
<Properties xmlns="http://schemas.openxmlformats.org/officeDocument/2006/custom-properties" xmlns:vt="http://schemas.openxmlformats.org/officeDocument/2006/docPropsVTypes"/>
</file>