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bookmarkStart w:colFirst="0" w:colLast="0" w:name="_heading=h.rh0rq865nuw1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</wp:posOffset>
                </wp:positionH>
                <wp:positionV relativeFrom="paragraph">
                  <wp:posOffset>9525</wp:posOffset>
                </wp:positionV>
                <wp:extent cx="6238875" cy="1562100"/>
                <wp:effectExtent b="0" l="0" r="0" t="0"/>
                <wp:wrapNone/>
                <wp:docPr id="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26550" y="2998950"/>
                          <a:ext cx="6238875" cy="1562100"/>
                          <a:chOff x="2226550" y="2998950"/>
                          <a:chExt cx="6238900" cy="1562100"/>
                        </a:xfrm>
                      </wpg:grpSpPr>
                      <wpg:grpSp>
                        <wpg:cNvGrpSpPr/>
                        <wpg:grpSpPr>
                          <a:xfrm>
                            <a:off x="2226563" y="2998950"/>
                            <a:ext cx="6238875" cy="1562100"/>
                            <a:chOff x="2226550" y="2998950"/>
                            <a:chExt cx="6238900" cy="15621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2226550" y="2998950"/>
                              <a:ext cx="6238900" cy="1562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2226563" y="2998950"/>
                              <a:ext cx="6238875" cy="1562100"/>
                              <a:chOff x="0" y="0"/>
                              <a:chExt cx="5991225" cy="1562100"/>
                            </a:xfrm>
                          </wpg:grpSpPr>
                          <wps:wsp>
                            <wps:cNvSpPr/>
                            <wps:cNvPr id="5" name="Shape 5"/>
                            <wps:spPr>
                              <a:xfrm>
                                <a:off x="0" y="0"/>
                                <a:ext cx="5991225" cy="15621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6" name="Shape 6"/>
                            <wps:spPr>
                              <a:xfrm>
                                <a:off x="1024671" y="299473"/>
                                <a:ext cx="4966554" cy="1262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8"/>
                                      <w:vertAlign w:val="baseline"/>
                                    </w:rPr>
                                  </w: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1f3864"/>
                                      <w:sz w:val="48"/>
                                      <w:vertAlign w:val="baseline"/>
                                    </w:rPr>
                                    <w:t xml:space="preserve">Guía2. Desarrollo Proyecto APT </w:t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1f3864"/>
                                      <w:sz w:val="48"/>
                                      <w:vertAlign w:val="baseline"/>
                                    </w:rPr>
                                  </w: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1f3864"/>
                                      <w:sz w:val="48"/>
                                      <w:vertAlign w:val="baseline"/>
                                    </w:rPr>
                                    <w:t xml:space="preserve">Asignatura Capstone</w:t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  <wps:wsp>
                            <wps:cNvSpPr/>
                            <wps:cNvPr id="7" name="Shape 7"/>
                            <wps:spPr>
                              <a:xfrm>
                                <a:off x="0" y="0"/>
                                <a:ext cx="993140" cy="1486894"/>
                              </a:xfrm>
                              <a:prstGeom prst="rect">
                                <a:avLst/>
                              </a:prstGeom>
                              <a:solidFill>
                                <a:srgbClr val="1F3864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</wp:posOffset>
                </wp:positionH>
                <wp:positionV relativeFrom="paragraph">
                  <wp:posOffset>9525</wp:posOffset>
                </wp:positionV>
                <wp:extent cx="6238875" cy="1562100"/>
                <wp:effectExtent b="0" l="0" r="0" t="0"/>
                <wp:wrapNone/>
                <wp:docPr id="3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38875" cy="1562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3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39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639"/>
        <w:tblGridChange w:id="0">
          <w:tblGrid>
            <w:gridCol w:w="9639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9">
            <w:pPr>
              <w:rPr>
                <w:b w:val="1"/>
                <w:bCs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1. Resumen avance Proyecto APT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 continuación, encontrarás distintos campos que deberás completar con la información solicitada. </w:t>
            </w:r>
          </w:p>
        </w:tc>
      </w:tr>
    </w:tbl>
    <w:p w:rsidR="00000000" w:rsidDel="00000000" w:rsidP="00000000" w:rsidRDefault="00000000" w:rsidRPr="00000000" w14:paraId="0000000B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639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528"/>
        <w:gridCol w:w="7111"/>
        <w:tblGridChange w:id="0">
          <w:tblGrid>
            <w:gridCol w:w="2528"/>
            <w:gridCol w:w="7111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D">
            <w:pPr>
              <w:jc w:val="both"/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Resumen de avance proyecto APT</w:t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Durante el transcurso de la Fase 2, el equipo ha avanzado de manera sustancial en el desarrollo del ecosistema tecnológico para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Transportes Contreras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 concentrándose en la arquitectura backend, la capa de seguridad, la administración centralizada de la flota y el flujo de despacho logístico (Sprints 1 y 2, y bases operativas del Sprint 3). </w:t>
            </w:r>
          </w:p>
        </w:tc>
      </w:tr>
      <w:tr>
        <w:trPr>
          <w:cantSplit w:val="0"/>
          <w:trHeight w:val="124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F">
            <w:pPr>
              <w:jc w:val="both"/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Objetivos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(Sin ajustes estructurales respecto a la Fase 1). Se mantienen los objetivos generales y específicos formulados en la Guía 1.5, ratificando el foco en la digitalización de la operación, el control de la flota y la rendición de cuentas.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3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1">
            <w:pPr>
              <w:jc w:val="both"/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Metodología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(Sin ajustes de marco). Se continúa aplicando el marco de trabajo ágil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Scrum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 organizado en Sprints de 2 semanas con seguimiento mediante Jira y control de versiones en GitHub mediante Pull Requests. Se han reforzado las definiciones de "Hecho" (Definition of Done) para exigir validaciones de diseño responsivo y sanitización de datos antes de dar por cerrada cada Historia de Usuario en el tablero.</w:t>
            </w: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237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3">
            <w:pPr>
              <w:jc w:val="both"/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Evidencias de avance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spacing w:after="240" w:line="276" w:lineRule="auto"/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Descripción de las evidencias presentadas:</w:t>
            </w:r>
          </w:p>
          <w:p w:rsidR="00000000" w:rsidDel="00000000" w:rsidP="00000000" w:rsidRDefault="00000000" w:rsidRPr="00000000" w14:paraId="00000015">
            <w:pPr>
              <w:numPr>
                <w:ilvl w:val="0"/>
                <w:numId w:val="2"/>
              </w:numPr>
              <w:spacing w:after="0" w:afterAutospacing="0" w:line="276" w:lineRule="auto"/>
              <w:ind w:left="720" w:hanging="36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Panel Web de Gestión Administrativa Operativo (Desplegado en Producción):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Capturas de pantalla y enlace a la aplicación web funcional en Firebase Hosting, evidenciando:</w:t>
            </w:r>
          </w:p>
          <w:p w:rsidR="00000000" w:rsidDel="00000000" w:rsidP="00000000" w:rsidRDefault="00000000" w:rsidRPr="00000000" w14:paraId="00000016">
            <w:pPr>
              <w:numPr>
                <w:ilvl w:val="1"/>
                <w:numId w:val="2"/>
              </w:numPr>
              <w:spacing w:after="240" w:line="276" w:lineRule="auto"/>
              <w:ind w:left="1440" w:hanging="360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Módulos de administración de flota (camiones), conductores, clientes y consignatarios.</w:t>
            </w:r>
          </w:p>
          <w:p w:rsidR="00000000" w:rsidDel="00000000" w:rsidP="00000000" w:rsidRDefault="00000000" w:rsidRPr="00000000" w14:paraId="00000017">
            <w:pPr>
              <w:spacing w:after="240" w:line="276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</w:rPr>
              <w:drawing>
                <wp:inline distB="114300" distT="114300" distL="114300" distR="114300">
                  <wp:extent cx="4381500" cy="2374900"/>
                  <wp:effectExtent b="0" l="0" r="0" t="0"/>
                  <wp:docPr id="12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1500" cy="2374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numPr>
                <w:ilvl w:val="1"/>
                <w:numId w:val="2"/>
              </w:numPr>
              <w:spacing w:after="240" w:line="276" w:lineRule="auto"/>
              <w:ind w:left="1440" w:hanging="360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Módulo de asignación y programación de viajes logísticos.</w:t>
            </w:r>
          </w:p>
          <w:p w:rsidR="00000000" w:rsidDel="00000000" w:rsidP="00000000" w:rsidRDefault="00000000" w:rsidRPr="00000000" w14:paraId="00000019">
            <w:pPr>
              <w:spacing w:after="240" w:line="276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</w:rPr>
              <w:drawing>
                <wp:inline distB="114300" distT="114300" distL="114300" distR="114300">
                  <wp:extent cx="4381500" cy="2362200"/>
                  <wp:effectExtent b="0" l="0" r="0" t="0"/>
                  <wp:docPr id="11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1500" cy="2362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numPr>
                <w:ilvl w:val="1"/>
                <w:numId w:val="2"/>
              </w:numPr>
              <w:spacing w:after="240" w:line="276" w:lineRule="auto"/>
              <w:ind w:left="1440" w:hanging="360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Adaptación de ventanas o screens con diseño adaptativo móvil/escritorio.</w:t>
            </w:r>
          </w:p>
          <w:p w:rsidR="00000000" w:rsidDel="00000000" w:rsidP="00000000" w:rsidRDefault="00000000" w:rsidRPr="00000000" w14:paraId="0000001B">
            <w:pPr>
              <w:spacing w:after="240" w:line="276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</w:rPr>
              <w:drawing>
                <wp:inline distB="114300" distT="114300" distL="114300" distR="114300">
                  <wp:extent cx="1659506" cy="3571191"/>
                  <wp:effectExtent b="0" l="0" r="0" t="0"/>
                  <wp:docPr id="7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9506" cy="357119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numPr>
                <w:ilvl w:val="0"/>
                <w:numId w:val="2"/>
              </w:numPr>
              <w:spacing w:after="0" w:afterAutospacing="0" w:line="276" w:lineRule="auto"/>
              <w:ind w:left="720" w:hanging="36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Repositorio de Código y Control de Versiones en GitHub:</w:t>
            </w:r>
          </w:p>
          <w:p w:rsidR="00000000" w:rsidDel="00000000" w:rsidP="00000000" w:rsidRDefault="00000000" w:rsidRPr="00000000" w14:paraId="0000001D">
            <w:pPr>
              <w:numPr>
                <w:ilvl w:val="1"/>
                <w:numId w:val="2"/>
              </w:numPr>
              <w:spacing w:after="240" w:line="276" w:lineRule="auto"/>
              <w:ind w:left="1440" w:hanging="36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Repositorio del proyecto con la estructura de fases y colaboradores activos.</w:t>
            </w:r>
          </w:p>
          <w:p w:rsidR="00000000" w:rsidDel="00000000" w:rsidP="00000000" w:rsidRDefault="00000000" w:rsidRPr="00000000" w14:paraId="0000001E">
            <w:pPr>
              <w:spacing w:after="240" w:line="276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</w:rPr>
              <w:drawing>
                <wp:inline distB="114300" distT="114300" distL="114300" distR="114300">
                  <wp:extent cx="4381500" cy="2374900"/>
                  <wp:effectExtent b="0" l="0" r="0" t="0"/>
                  <wp:docPr id="10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1500" cy="2374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numPr>
                <w:ilvl w:val="1"/>
                <w:numId w:val="2"/>
              </w:numPr>
              <w:spacing w:after="240" w:line="276" w:lineRule="auto"/>
              <w:ind w:left="1440" w:hanging="36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Historial de commits organizados que reflejan las iteraciones del equipo y el cierre de los Sprints 1 y 2. </w:t>
            </w:r>
          </w:p>
          <w:p w:rsidR="00000000" w:rsidDel="00000000" w:rsidP="00000000" w:rsidRDefault="00000000" w:rsidRPr="00000000" w14:paraId="00000020">
            <w:pPr>
              <w:spacing w:after="240" w:line="276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</w:rPr>
              <w:drawing>
                <wp:inline distB="114300" distT="114300" distL="114300" distR="114300">
                  <wp:extent cx="4381500" cy="2362200"/>
                  <wp:effectExtent b="0" l="0" r="0" t="0"/>
                  <wp:docPr id="14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1500" cy="2362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numPr>
                <w:ilvl w:val="0"/>
                <w:numId w:val="2"/>
              </w:numPr>
              <w:spacing w:after="0" w:afterAutospacing="0" w:line="276" w:lineRule="auto"/>
              <w:ind w:left="720" w:hanging="36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Base de Datos y Seguridad en Supabase: </w:t>
            </w:r>
          </w:p>
          <w:p w:rsidR="00000000" w:rsidDel="00000000" w:rsidP="00000000" w:rsidRDefault="00000000" w:rsidRPr="00000000" w14:paraId="00000022">
            <w:pPr>
              <w:numPr>
                <w:ilvl w:val="1"/>
                <w:numId w:val="2"/>
              </w:numPr>
              <w:spacing w:after="240" w:line="276" w:lineRule="auto"/>
              <w:ind w:left="1440" w:hanging="36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Esquema de tablas relacionales y configuración de políticas de seguridad por fila (Row-Level Security - RLS) para el aislamiento y protección del acceso a los datos. </w:t>
            </w:r>
          </w:p>
          <w:p w:rsidR="00000000" w:rsidDel="00000000" w:rsidP="00000000" w:rsidRDefault="00000000" w:rsidRPr="00000000" w14:paraId="00000023">
            <w:pPr>
              <w:jc w:val="both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381500" cy="2235200"/>
                  <wp:effectExtent b="0" l="0" r="0" t="0"/>
                  <wp:docPr id="4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1500" cy="2235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14300" distT="114300" distL="114300" distR="114300">
                  <wp:extent cx="4381500" cy="2235200"/>
                  <wp:effectExtent b="0" l="0" r="0" t="0"/>
                  <wp:docPr id="5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1500" cy="2235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jc w:val="both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381500" cy="2235200"/>
                  <wp:effectExtent b="0" l="0" r="0" t="0"/>
                  <wp:docPr id="6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1500" cy="2235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jc w:val="both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381500" cy="2362200"/>
                  <wp:effectExtent b="0" l="0" r="0" t="0"/>
                  <wp:docPr id="13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1500" cy="2362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jc w:val="both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381500" cy="2374900"/>
                  <wp:effectExtent b="0" l="0" r="0" t="0"/>
                  <wp:docPr id="9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1500" cy="2374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spacing w:after="240" w:line="276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Justificación y resguardo de la calidad: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Estas evidencias demuestran de manera tangible el paso desde el diseño conceptual y arquitectónico (Fase 1) a un producto de software robusto, interactivo y en funcionamiento (Fase 2). Se resguardó la calidad técnica a través de:</w:t>
            </w:r>
          </w:p>
          <w:p w:rsidR="00000000" w:rsidDel="00000000" w:rsidP="00000000" w:rsidRDefault="00000000" w:rsidRPr="00000000" w14:paraId="00000028">
            <w:pPr>
              <w:numPr>
                <w:ilvl w:val="0"/>
                <w:numId w:val="1"/>
              </w:numPr>
              <w:spacing w:after="0" w:afterAutospacing="0" w:line="276" w:lineRule="auto"/>
              <w:ind w:left="720" w:hanging="36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Principio de consistencia visual y accesibilidad (UX/UI):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Uso estandarizado de paletas de color (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AppColors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), retroalimentación clara al usuario con diálogos modales de confirmación (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mostrarDialogoConfirmacion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) y eliminación de elementos redundantes en pantallas pequeñas.</w:t>
            </w:r>
          </w:p>
          <w:p w:rsidR="00000000" w:rsidDel="00000000" w:rsidP="00000000" w:rsidRDefault="00000000" w:rsidRPr="00000000" w14:paraId="00000029">
            <w:pPr>
              <w:numPr>
                <w:ilvl w:val="0"/>
                <w:numId w:val="1"/>
              </w:numPr>
              <w:spacing w:after="0" w:afterAutospacing="0" w:line="276" w:lineRule="auto"/>
              <w:ind w:left="720" w:hanging="36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Integridad de datos: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Validación estricta mediante regex para RUT chileno, teléfonos de 9 dígitos y montos numéricos, complementada con sanitización automática (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capitalizarTexto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y mayúsculas de patentes) para evitar duplicidades o datos desordenados en base de datos.</w:t>
            </w:r>
          </w:p>
          <w:p w:rsidR="00000000" w:rsidDel="00000000" w:rsidP="00000000" w:rsidRDefault="00000000" w:rsidRPr="00000000" w14:paraId="0000002A">
            <w:pPr>
              <w:numPr>
                <w:ilvl w:val="0"/>
                <w:numId w:val="1"/>
              </w:numPr>
              <w:spacing w:after="240" w:line="276" w:lineRule="auto"/>
              <w:ind w:left="720" w:hanging="36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Seguridad de la información: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Aislamiento de credenciales mediante Edge Functions sin exponer llaves privilegiadas de administración en el cliente web.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639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639"/>
        <w:tblGridChange w:id="0">
          <w:tblGrid>
            <w:gridCol w:w="9639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1">
            <w:pPr>
              <w:jc w:val="both"/>
              <w:rPr>
                <w:b w:val="1"/>
                <w:bCs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2. Monitoreo del Plan de Trabajo 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32">
            <w:pPr>
              <w:jc w:val="both"/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Examina cuidadosamente tu plan de trabajo, enfocándote especialmente en la columna de estado de avance y ajustes.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spacing w:after="0" w:line="24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68475667"/>
        <w:tag w:val="goog_rdk_0"/>
      </w:sdtPr>
      <w:sdtContent>
        <w:tbl>
          <w:tblPr>
            <w:tblStyle w:val="Table4"/>
            <w:tblpPr w:leftFromText="180" w:rightFromText="180" w:topFromText="0" w:bottomFromText="0" w:vertAnchor="text" w:horzAnchor="text" w:tblpX="-585" w:tblpY="0"/>
            <w:tblW w:w="10380.0" w:type="dxa"/>
            <w:jc w:val="left"/>
            <w:tbl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  <w:insideH w:color="bfbfbf" w:space="0" w:sz="4" w:val="single"/>
              <w:insideV w:color="bfbfbf" w:space="0" w:sz="4" w:val="single"/>
            </w:tblBorders>
            <w:tblLayout w:type="fixed"/>
            <w:tblLook w:val="0400"/>
          </w:tblPr>
          <w:tblGrid>
            <w:gridCol w:w="1305"/>
            <w:gridCol w:w="1485"/>
            <w:gridCol w:w="1350"/>
            <w:gridCol w:w="1155"/>
            <w:gridCol w:w="1110"/>
            <w:gridCol w:w="1635"/>
            <w:gridCol w:w="990"/>
            <w:gridCol w:w="1350"/>
            <w:tblGridChange w:id="0">
              <w:tblGrid>
                <w:gridCol w:w="1305"/>
                <w:gridCol w:w="1485"/>
                <w:gridCol w:w="1350"/>
                <w:gridCol w:w="1155"/>
                <w:gridCol w:w="1110"/>
                <w:gridCol w:w="1635"/>
                <w:gridCol w:w="990"/>
                <w:gridCol w:w="1350"/>
              </w:tblGrid>
            </w:tblGridChange>
          </w:tblGrid>
          <w:tr>
            <w:trPr>
              <w:cantSplit w:val="0"/>
              <w:trHeight w:val="415" w:hRule="atLeast"/>
              <w:tblHeader w:val="0"/>
            </w:trPr>
            <w:tc>
              <w:tcPr>
                <w:gridSpan w:val="8"/>
                <w:vAlign w:val="center"/>
              </w:tcPr>
              <w:p w:rsidR="00000000" w:rsidDel="00000000" w:rsidP="00000000" w:rsidRDefault="00000000" w:rsidRPr="00000000" w14:paraId="00000034">
                <w:pPr>
                  <w:jc w:val="both"/>
                  <w:rPr>
                    <w:color w:val="1f3864"/>
                    <w:sz w:val="18"/>
                    <w:szCs w:val="18"/>
                  </w:rPr>
                </w:pPr>
                <w:r w:rsidDel="00000000" w:rsidR="00000000" w:rsidRPr="00000000">
                  <w:rPr>
                    <w:color w:val="1f3864"/>
                    <w:sz w:val="18"/>
                    <w:szCs w:val="18"/>
                    <w:rtl w:val="0"/>
                  </w:rPr>
                  <w:t xml:space="preserve">Plan de Trabajo</w:t>
                </w:r>
              </w:p>
            </w:tc>
          </w:tr>
          <w:tr>
            <w:trPr>
              <w:cantSplit w:val="0"/>
              <w:trHeight w:val="711" w:hRule="atLeast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3C">
                <w:pPr>
                  <w:jc w:val="both"/>
                  <w:rPr>
                    <w:color w:val="1f3864"/>
                    <w:sz w:val="18"/>
                    <w:szCs w:val="18"/>
                  </w:rPr>
                </w:pPr>
                <w:r w:rsidDel="00000000" w:rsidR="00000000" w:rsidRPr="00000000">
                  <w:rPr>
                    <w:color w:val="1f3864"/>
                    <w:sz w:val="18"/>
                    <w:szCs w:val="18"/>
                    <w:rtl w:val="0"/>
                  </w:rPr>
                  <w:t xml:space="preserve">Competencia o unidades de competencias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3D">
                <w:pPr>
                  <w:jc w:val="both"/>
                  <w:rPr>
                    <w:color w:val="1f3864"/>
                    <w:sz w:val="18"/>
                    <w:szCs w:val="18"/>
                  </w:rPr>
                </w:pPr>
                <w:r w:rsidDel="00000000" w:rsidR="00000000" w:rsidRPr="00000000">
                  <w:rPr>
                    <w:color w:val="1f3864"/>
                    <w:sz w:val="18"/>
                    <w:szCs w:val="18"/>
                    <w:rtl w:val="0"/>
                  </w:rPr>
                  <w:t xml:space="preserve">Actividades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3E">
                <w:pPr>
                  <w:jc w:val="both"/>
                  <w:rPr>
                    <w:color w:val="1f3864"/>
                    <w:sz w:val="18"/>
                    <w:szCs w:val="18"/>
                  </w:rPr>
                </w:pPr>
                <w:r w:rsidDel="00000000" w:rsidR="00000000" w:rsidRPr="00000000">
                  <w:rPr>
                    <w:color w:val="1f3864"/>
                    <w:sz w:val="18"/>
                    <w:szCs w:val="18"/>
                    <w:rtl w:val="0"/>
                  </w:rPr>
                  <w:t xml:space="preserve">Recursos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3F">
                <w:pPr>
                  <w:jc w:val="both"/>
                  <w:rPr>
                    <w:color w:val="1f3864"/>
                    <w:sz w:val="18"/>
                    <w:szCs w:val="18"/>
                  </w:rPr>
                </w:pPr>
                <w:r w:rsidDel="00000000" w:rsidR="00000000" w:rsidRPr="00000000">
                  <w:rPr>
                    <w:color w:val="1f3864"/>
                    <w:sz w:val="18"/>
                    <w:szCs w:val="18"/>
                    <w:rtl w:val="0"/>
                  </w:rPr>
                  <w:t xml:space="preserve">Duración de la actividad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40">
                <w:pPr>
                  <w:jc w:val="both"/>
                  <w:rPr>
                    <w:color w:val="1f3864"/>
                    <w:sz w:val="18"/>
                    <w:szCs w:val="18"/>
                  </w:rPr>
                </w:pPr>
                <w:r w:rsidDel="00000000" w:rsidR="00000000" w:rsidRPr="00000000">
                  <w:rPr>
                    <w:color w:val="1f3864"/>
                    <w:sz w:val="18"/>
                    <w:szCs w:val="18"/>
                    <w:rtl w:val="0"/>
                  </w:rPr>
                  <w:t xml:space="preserve">Responsable</w:t>
                </w:r>
                <w:r w:rsidDel="00000000" w:rsidR="00000000" w:rsidRPr="00000000">
                  <w:rPr>
                    <w:color w:val="1f3864"/>
                    <w:sz w:val="18"/>
                    <w:szCs w:val="18"/>
                    <w:vertAlign w:val="superscript"/>
                  </w:rPr>
                  <w:footnoteReference w:customMarkFollows="0" w:id="0"/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41">
                <w:pPr>
                  <w:jc w:val="both"/>
                  <w:rPr>
                    <w:color w:val="1f3864"/>
                    <w:sz w:val="18"/>
                    <w:szCs w:val="18"/>
                  </w:rPr>
                </w:pPr>
                <w:r w:rsidDel="00000000" w:rsidR="00000000" w:rsidRPr="00000000">
                  <w:rPr>
                    <w:color w:val="1f3864"/>
                    <w:sz w:val="18"/>
                    <w:szCs w:val="18"/>
                    <w:rtl w:val="0"/>
                  </w:rPr>
                  <w:t xml:space="preserve">Observaciones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42">
                <w:pPr>
                  <w:jc w:val="both"/>
                  <w:rPr>
                    <w:color w:val="1f3864"/>
                    <w:sz w:val="18"/>
                    <w:szCs w:val="18"/>
                  </w:rPr>
                </w:pPr>
                <w:r w:rsidDel="00000000" w:rsidR="00000000" w:rsidRPr="00000000">
                  <w:rPr>
                    <w:color w:val="1f3864"/>
                    <w:sz w:val="18"/>
                    <w:szCs w:val="18"/>
                    <w:rtl w:val="0"/>
                  </w:rPr>
                  <w:t xml:space="preserve">Estado de avance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43">
                <w:pPr>
                  <w:jc w:val="both"/>
                  <w:rPr>
                    <w:color w:val="1f3864"/>
                    <w:sz w:val="18"/>
                    <w:szCs w:val="18"/>
                  </w:rPr>
                </w:pPr>
                <w:r w:rsidDel="00000000" w:rsidR="00000000" w:rsidRPr="00000000">
                  <w:rPr>
                    <w:color w:val="1f3864"/>
                    <w:sz w:val="18"/>
                    <w:szCs w:val="18"/>
                    <w:rtl w:val="0"/>
                  </w:rPr>
                  <w:t xml:space="preserve">Ajustes</w:t>
                </w:r>
              </w:p>
            </w:tc>
          </w:tr>
          <w:tr>
            <w:trPr>
              <w:cantSplit w:val="0"/>
              <w:trHeight w:val="2410" w:hRule="atLeast"/>
              <w:tblHeader w:val="0"/>
            </w:trPr>
            <w:tc>
              <w:tcPr>
                <w:tcBorders>
                  <w:bottom w:color="c4c7c5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4">
                <w:pPr>
                  <w:jc w:val="both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Ingeniería de Software / Base de Datos</w:t>
                </w:r>
              </w:p>
            </w:tc>
            <w:tc>
              <w:tcPr>
                <w:tcBorders>
                  <w:bottom w:color="c4c7c5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5">
                <w:pPr>
                  <w:jc w:val="both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Configuración Backend, Políticas RLS y Seguridad (HU-004, HU-005, HU-016)</w:t>
                </w:r>
              </w:p>
            </w:tc>
            <w:tc>
              <w:tcPr>
                <w:tcBorders>
                  <w:bottom w:color="c4c7c5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6">
                <w:pPr>
                  <w:jc w:val="both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Supabase, PostgreSQL, Edge Functions, GitHub, VS Code</w:t>
                </w:r>
              </w:p>
            </w:tc>
            <w:tc>
              <w:tcPr>
                <w:tcBorders>
                  <w:bottom w:color="c4c7c5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7">
                <w:pPr>
                  <w:jc w:val="both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2 semanas (Sprint 1)</w:t>
                </w:r>
              </w:p>
            </w:tc>
            <w:tc>
              <w:tcPr>
                <w:tcBorders>
                  <w:bottom w:color="c4c7c5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8">
                <w:pPr>
                  <w:jc w:val="both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Jorge Lorca / Lucas Contreras</w:t>
                </w:r>
              </w:p>
            </w:tc>
            <w:tc>
              <w:tcPr>
                <w:tcBorders>
                  <w:bottom w:color="c4c7c5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9">
                <w:pPr>
                  <w:jc w:val="both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Facilitador: La infraestructura serverless de Supabase aceleró la creación de tablas y almacenamiento.</w:t>
                </w:r>
              </w:p>
              <w:p w:rsidR="00000000" w:rsidDel="00000000" w:rsidP="00000000" w:rsidRDefault="00000000" w:rsidRPr="00000000" w14:paraId="0000004A">
                <w:pPr>
                  <w:jc w:val="both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Dificultad: La creación de usuarios requirió una Edge Function para no exponer permisos de service_role.</w:t>
                </w:r>
              </w:p>
            </w:tc>
            <w:tc>
              <w:tcPr>
                <w:tcBorders>
                  <w:bottom w:color="c4c7c5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B">
                <w:pPr>
                  <w:jc w:val="both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Completado</w:t>
                </w:r>
              </w:p>
            </w:tc>
            <w:tc>
              <w:tcPr>
                <w:tcBorders>
                  <w:bottom w:color="c4c7c5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C">
                <w:pPr>
                  <w:jc w:val="both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Se añadió una Edge Function (crear_conductor) para sincronizar el alta de Auth con la tabla conductores.</w:t>
                </w:r>
              </w:p>
            </w:tc>
          </w:tr>
          <w:tr>
            <w:trPr>
              <w:cantSplit w:val="0"/>
              <w:trHeight w:val="2410" w:hRule="atLeast"/>
              <w:tblHeader w:val="0"/>
            </w:trPr>
            <w:tc>
              <w:tcPr>
                <w:tcBorders>
                  <w:bottom w:color="c4c7c5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D">
                <w:pPr>
                  <w:jc w:val="both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Desarrollo Web / UI / UX</w:t>
                </w:r>
              </w:p>
            </w:tc>
            <w:tc>
              <w:tcPr>
                <w:tcBorders>
                  <w:bottom w:color="c4c7c5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E">
                <w:pPr>
                  <w:jc w:val="both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Panel Web Administrativo: Formularios Maestros y Modificación Responsiva (HU-004)</w:t>
                </w:r>
              </w:p>
            </w:tc>
            <w:tc>
              <w:tcPr>
                <w:tcBorders>
                  <w:bottom w:color="c4c7c5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F">
                <w:pPr>
                  <w:jc w:val="both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Flutter Web, Dart, Theme corporativo, Firebase Hosting</w:t>
                </w:r>
              </w:p>
            </w:tc>
            <w:tc>
              <w:tcPr>
                <w:tcBorders>
                  <w:bottom w:color="c4c7c5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0">
                <w:pPr>
                  <w:jc w:val="both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2 semanas (Sprint 1 - 2)</w:t>
                </w:r>
              </w:p>
            </w:tc>
            <w:tc>
              <w:tcPr>
                <w:tcBorders>
                  <w:bottom w:color="c4c7c5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1">
                <w:pPr>
                  <w:jc w:val="both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Valentina Cisterna / Jorge Lorca</w:t>
                </w:r>
              </w:p>
            </w:tc>
            <w:tc>
              <w:tcPr>
                <w:tcBorders>
                  <w:bottom w:color="c4c7c5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2">
                <w:pPr>
                  <w:jc w:val="both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Dificultad: Desbordes visuales en pantallas móviles en formularios complejos (tarifas, horas y botones duplicados).</w:t>
                </w:r>
              </w:p>
              <w:p w:rsidR="00000000" w:rsidDel="00000000" w:rsidP="00000000" w:rsidRDefault="00000000" w:rsidRPr="00000000" w14:paraId="00000053">
                <w:pPr>
                  <w:jc w:val="both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Solución: Implementación de LayoutBuilder y reorganización adaptativa.</w:t>
                </w:r>
              </w:p>
            </w:tc>
            <w:tc>
              <w:tcPr>
                <w:tcBorders>
                  <w:bottom w:color="c4c7c5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4">
                <w:pPr>
                  <w:jc w:val="both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Completado</w:t>
                </w:r>
              </w:p>
            </w:tc>
            <w:tc>
              <w:tcPr>
                <w:tcBorders>
                  <w:bottom w:color="c4c7c5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5">
                <w:pPr>
                  <w:jc w:val="both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Reestructuración de formularios a 1 o 2 columnas según ancho y eliminación de botones de cancelación redundantes en TopBars móviles.</w:t>
                </w:r>
              </w:p>
            </w:tc>
          </w:tr>
          <w:tr>
            <w:trPr>
              <w:cantSplit w:val="0"/>
              <w:trHeight w:val="2410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6">
                <w:pPr>
                  <w:jc w:val="both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Desarrollo Móvil y Web / Logística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7">
                <w:pPr>
                  <w:jc w:val="both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Módulo de Asignación y Despacho de Viajes (HU-001, HU-002, HU-003, HU-013)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8">
                <w:pPr>
                  <w:jc w:val="both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Flutter, Supabase Client, Git, Emuladores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9">
                <w:pPr>
                  <w:jc w:val="both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2 semanas (Sprint 2)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A">
                <w:pPr>
                  <w:jc w:val="both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Lucas Contreras / Valentina Cisterna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B">
                <w:pPr>
                  <w:jc w:val="both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Facilitador: Conocimiento del negocio por parte del PO para modelar las tarifas por tipo de camión (simple/rampla).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C">
                <w:pPr>
                  <w:jc w:val="both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Completado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D">
                <w:pPr>
                  <w:jc w:val="both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Inclusión de previsualización dinámica de direcciones al seleccionar cliente o consignatario en la web.</w:t>
                </w:r>
              </w:p>
            </w:tc>
          </w:tr>
          <w:tr>
            <w:trPr>
              <w:cantSplit w:val="0"/>
              <w:trHeight w:val="2410" w:hRule="atLeast"/>
              <w:tblHeader w:val="0"/>
            </w:trPr>
            <w:tc>
              <w:tcPr>
                <w:tcBorders>
                  <w:bottom w:color="c4c7c5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E">
                <w:pPr>
                  <w:jc w:val="both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Gestión de Calidad / Integridad de Datos</w:t>
                </w:r>
              </w:p>
            </w:tc>
            <w:tc>
              <w:tcPr>
                <w:tcBorders>
                  <w:bottom w:color="c4c7c5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F">
                <w:pPr>
                  <w:jc w:val="both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Normalización de Datos y Sanitización de Entradas</w:t>
                </w:r>
              </w:p>
            </w:tc>
            <w:tc>
              <w:tcPr>
                <w:tcBorders>
                  <w:bottom w:color="c4c7c5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0">
                <w:pPr>
                  <w:jc w:val="both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Dart, PostgreSQL Scripting, Supabase SQL Editor</w:t>
                </w:r>
              </w:p>
            </w:tc>
            <w:tc>
              <w:tcPr>
                <w:tcBorders>
                  <w:bottom w:color="c4c7c5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1">
                <w:pPr>
                  <w:jc w:val="both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1 semana (Transversal)</w:t>
                </w:r>
              </w:p>
            </w:tc>
            <w:tc>
              <w:tcPr>
                <w:tcBorders>
                  <w:bottom w:color="c4c7c5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2">
                <w:pPr>
                  <w:jc w:val="both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Jorge Lorca</w:t>
                </w:r>
              </w:p>
            </w:tc>
            <w:tc>
              <w:tcPr>
                <w:tcBorders>
                  <w:bottom w:color="c4c7c5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3">
                <w:pPr>
                  <w:jc w:val="both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Dificultad: Inconsistencia de mayúsculas/minúsculas ingresadas por usuarios en pruebas.</w:t>
                </w:r>
              </w:p>
              <w:p w:rsidR="00000000" w:rsidDel="00000000" w:rsidP="00000000" w:rsidRDefault="00000000" w:rsidRPr="00000000" w14:paraId="00000064">
                <w:pPr>
                  <w:jc w:val="both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Solución: Helper capitalizarTexto en frontend y script SQL en BD.</w:t>
                </w:r>
              </w:p>
            </w:tc>
            <w:tc>
              <w:tcPr>
                <w:tcBorders>
                  <w:bottom w:color="c4c7c5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5">
                <w:pPr>
                  <w:jc w:val="both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Completado</w:t>
                </w:r>
              </w:p>
            </w:tc>
            <w:tc>
              <w:tcPr>
                <w:tcBorders>
                  <w:bottom w:color="c4c7c5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6">
                <w:pPr>
                  <w:jc w:val="both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Integración obligatoria del helper de capitalización previo a cualquier inserción o actualización en base de datos.</w:t>
                </w:r>
              </w:p>
            </w:tc>
          </w:tr>
          <w:tr>
            <w:trPr>
              <w:cantSplit w:val="0"/>
              <w:trHeight w:val="2410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7">
                <w:pPr>
                  <w:jc w:val="both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Arquitectura Móvil / Persistencia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8">
                <w:pPr>
                  <w:jc w:val="both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Captura Operativa en Terreno: Combustible, Asistencia e Incidentes (HU-007, HU-009, HU-012)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9">
                <w:pPr>
                  <w:jc w:val="both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Flutter, SQLite, Geolocator, Camera Plugin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A">
                <w:pPr>
                  <w:jc w:val="both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2 semanas (Sprint 3)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B">
                <w:pPr>
                  <w:jc w:val="both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Jorge Lorca / Valentina Cisterna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C">
                <w:pPr>
                  <w:jc w:val="both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Dificultad: Pruebas de georreferenciación y persistencia local sin conexión requieren pruebas exhaustivas en dispositivos físicos Android.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D">
                <w:pPr>
                  <w:jc w:val="both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En curso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E">
                <w:pPr>
                  <w:jc w:val="both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Ninguno. Se mantiene la estructura planificada.</w:t>
                </w:r>
              </w:p>
            </w:tc>
          </w:tr>
          <w:tr>
            <w:trPr>
              <w:cantSplit w:val="0"/>
              <w:trHeight w:val="2410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F">
                <w:pPr>
                  <w:jc w:val="both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Desarrollo Web / Analítica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0">
                <w:pPr>
                  <w:jc w:val="both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Dashboard de Supervisión, Auditoría de Vouchers y Mapa (HU-008, HU-010, HU-015)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1">
                <w:pPr>
                  <w:jc w:val="both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Flutter Web, Mapas API, Supabase Storage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2">
                <w:pPr>
                  <w:jc w:val="both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2 semanas (Sprint 4)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3">
                <w:pPr>
                  <w:jc w:val="both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Lucas Contreras / Valentina Cisterna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4">
                <w:pPr>
                  <w:jc w:val="both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Dependiente de la carga de vouchers del Sprint 3. Se avanza en los componentes visuales del panel.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5">
                <w:pPr>
                  <w:jc w:val="both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No iniciado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6">
                <w:pPr>
                  <w:jc w:val="both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Ninguno. Programado según carta Gantt para Semanas 11-12.</w:t>
                </w:r>
              </w:p>
            </w:tc>
          </w:tr>
          <w:tr>
            <w:trPr>
              <w:cantSplit w:val="0"/>
              <w:trHeight w:val="2410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7">
                <w:pPr>
                  <w:jc w:val="both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Gestión Financiera / Cierre Contable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8">
                <w:pPr>
                  <w:jc w:val="both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Rendición y Liquidación Mensual de Planillas (HU-006, HU-011, HU-014)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9">
                <w:pPr>
                  <w:jc w:val="both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Dart, Supabase Database, PDF Reporter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A">
                <w:pPr>
                  <w:jc w:val="both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2 semanas (Sprint 5)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B">
                <w:pPr>
                  <w:jc w:val="both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Lucas Contreras / Jorge Lorca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C">
                <w:pPr>
                  <w:jc w:val="both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Requiere validación de las reglas de liquidación (ciclo del día 21 al 20) con la administración.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D">
                <w:pPr>
                  <w:jc w:val="both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No iniciado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E">
                <w:pPr>
                  <w:jc w:val="both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Ninguno. Programado según carta Gantt para Semanas 13-14.</w:t>
                </w:r>
              </w:p>
            </w:tc>
          </w:tr>
          <w:tr>
            <w:trPr>
              <w:cantSplit w:val="0"/>
              <w:trHeight w:val="2410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F">
                <w:pPr>
                  <w:jc w:val="both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QA / Arquitectura Cloud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0">
                <w:pPr>
                  <w:jc w:val="both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Estabilización e Integración Fase 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1">
                <w:pPr>
                  <w:jc w:val="both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Dispositivos físicos Android, Postman, Firebase Hosting, Git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2">
                <w:pPr>
                  <w:jc w:val="both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1 semana (Semana 15)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3">
                <w:pPr>
                  <w:jc w:val="both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Equipo Completo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4">
                <w:pPr>
                  <w:jc w:val="both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Hito crítico para consolidar el Prototipo Funcional Integrado previo a la entrega final de Fase 2.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5">
                <w:pPr>
                  <w:jc w:val="both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No iniciado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6">
                <w:pPr>
                  <w:jc w:val="both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Ninguno.</w:t>
                </w:r>
              </w:p>
            </w:tc>
          </w:tr>
        </w:tbl>
      </w:sdtContent>
    </w:sdt>
    <w:p w:rsidR="00000000" w:rsidDel="00000000" w:rsidP="00000000" w:rsidRDefault="00000000" w:rsidRPr="00000000" w14:paraId="00000087">
      <w:pPr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498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8"/>
        <w:tblGridChange w:id="0">
          <w:tblGrid>
            <w:gridCol w:w="9498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9">
            <w:pPr>
              <w:jc w:val="both"/>
              <w:rPr>
                <w:b w:val="1"/>
                <w:bCs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3. Ajustes a partir del monitoreo 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Profundiza en las observaciones de tu plan de trabajo. Analiza las actividades planificadas y señala qué aspectos facilitaron u obstaculizaron la ejecución del plan. Plantea cómo abordaste y/o abordarás los obstáculos. Por último, señala los ajustes que realizaste al plan de trabajo a partir de este análisis.</w:t>
            </w:r>
          </w:p>
        </w:tc>
      </w:tr>
    </w:tbl>
    <w:p w:rsidR="00000000" w:rsidDel="00000000" w:rsidP="00000000" w:rsidRDefault="00000000" w:rsidRPr="00000000" w14:paraId="0000008B">
      <w:pPr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pPr w:leftFromText="180" w:rightFromText="180" w:topFromText="0" w:bottomFromText="0" w:vertAnchor="text" w:horzAnchor="text" w:tblpX="-572" w:tblpY="1"/>
        <w:tblW w:w="949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6"/>
        <w:tblGridChange w:id="0">
          <w:tblGrid>
            <w:gridCol w:w="9496"/>
          </w:tblGrid>
        </w:tblGridChange>
      </w:tblGrid>
      <w:tr>
        <w:trPr>
          <w:cantSplit w:val="0"/>
          <w:trHeight w:val="193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C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Factores que han facilitado y/o dificultado el desarrollo de mi plan de trabaj</w:t>
            </w:r>
            <w:r w:rsidDel="00000000" w:rsidR="00000000" w:rsidRPr="00000000">
              <w:rPr>
                <w:color w:val="1f3864"/>
                <w:rtl w:val="0"/>
              </w:rPr>
              <w:t xml:space="preserve">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spacing w:line="276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Factores Facilitadores:</w:t>
            </w:r>
          </w:p>
          <w:p w:rsidR="00000000" w:rsidDel="00000000" w:rsidP="00000000" w:rsidRDefault="00000000" w:rsidRPr="00000000" w14:paraId="0000008E">
            <w:pPr>
              <w:numPr>
                <w:ilvl w:val="0"/>
                <w:numId w:val="4"/>
              </w:numPr>
              <w:spacing w:after="0" w:afterAutospacing="0" w:line="276" w:lineRule="auto"/>
              <w:ind w:left="720" w:hanging="36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Unificación del ecosistema Flutter / Dart:</w:t>
            </w:r>
            <w:r w:rsidDel="00000000" w:rsidR="00000000" w:rsidRPr="00000000">
              <w:rPr>
                <w:rtl w:val="0"/>
              </w:rPr>
              <w:t xml:space="preserve"> Trabajar con el mismo lenguaje y librería para móvil y panel web permitió reutilizar modelos de dominio (Camión, </w:t>
            </w:r>
            <w:r w:rsidDel="00000000" w:rsidR="00000000" w:rsidRPr="00000000">
              <w:rPr>
                <w:rtl w:val="0"/>
              </w:rPr>
              <w:t xml:space="preserve">Cliente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tl w:val="0"/>
              </w:rPr>
              <w:t xml:space="preserve">Conductor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tl w:val="0"/>
              </w:rPr>
              <w:t xml:space="preserve">Consignatario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tl w:val="0"/>
              </w:rPr>
              <w:t xml:space="preserve">Viaje</w:t>
            </w:r>
            <w:r w:rsidDel="00000000" w:rsidR="00000000" w:rsidRPr="00000000">
              <w:rPr>
                <w:rtl w:val="0"/>
              </w:rPr>
              <w:t xml:space="preserve">) y utilitarios de validación/formato (</w:t>
            </w:r>
            <w:r w:rsidDel="00000000" w:rsidR="00000000" w:rsidRPr="00000000">
              <w:rPr>
                <w:rtl w:val="0"/>
              </w:rPr>
              <w:t xml:space="preserve">formato.dart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tl w:val="0"/>
              </w:rPr>
              <w:t xml:space="preserve">AppColors</w:t>
            </w:r>
            <w:r w:rsidDel="00000000" w:rsidR="00000000" w:rsidRPr="00000000">
              <w:rPr>
                <w:rtl w:val="0"/>
              </w:rPr>
              <w:t xml:space="preserve">) sin duplicar lógica.</w:t>
            </w:r>
          </w:p>
          <w:p w:rsidR="00000000" w:rsidDel="00000000" w:rsidP="00000000" w:rsidRDefault="00000000" w:rsidRPr="00000000" w14:paraId="0000008F">
            <w:pPr>
              <w:numPr>
                <w:ilvl w:val="0"/>
                <w:numId w:val="4"/>
              </w:numPr>
              <w:spacing w:after="0" w:afterAutospacing="0" w:line="276" w:lineRule="auto"/>
              <w:ind w:left="720" w:hanging="36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Capacidades BaaS de Supabase:</w:t>
            </w:r>
            <w:r w:rsidDel="00000000" w:rsidR="00000000" w:rsidRPr="00000000">
              <w:rPr>
                <w:rtl w:val="0"/>
              </w:rPr>
              <w:t xml:space="preserve"> La rápida generación de endpoints mediante Supabase Client y la visualización instantánea de datos y políticas de seguridad facilitaron el desarrollo ágil frente a la construcción de un backend tradicional desde cero.</w:t>
            </w:r>
          </w:p>
          <w:p w:rsidR="00000000" w:rsidDel="00000000" w:rsidP="00000000" w:rsidRDefault="00000000" w:rsidRPr="00000000" w14:paraId="00000090">
            <w:pPr>
              <w:numPr>
                <w:ilvl w:val="0"/>
                <w:numId w:val="4"/>
              </w:numPr>
              <w:spacing w:after="240" w:line="276" w:lineRule="auto"/>
              <w:ind w:left="720" w:hanging="36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Uso de Firebase Hosting para despliegues continuos:</w:t>
            </w:r>
            <w:r w:rsidDel="00000000" w:rsidR="00000000" w:rsidRPr="00000000">
              <w:rPr>
                <w:rtl w:val="0"/>
              </w:rPr>
              <w:t xml:space="preserve"> Permitió probar el panel en múltiples dispositivos y resoluciones reales (celulares personales, tablets y notebooks) identificando de inmediato comportamientos anómalos de interfaz.</w:t>
            </w:r>
          </w:p>
          <w:p w:rsidR="00000000" w:rsidDel="00000000" w:rsidP="00000000" w:rsidRDefault="00000000" w:rsidRPr="00000000" w14:paraId="00000091">
            <w:pPr>
              <w:spacing w:line="276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Factores Dificultadores y Acciones Tomadas:</w:t>
            </w:r>
          </w:p>
          <w:p w:rsidR="00000000" w:rsidDel="00000000" w:rsidP="00000000" w:rsidRDefault="00000000" w:rsidRPr="00000000" w14:paraId="00000092">
            <w:pPr>
              <w:numPr>
                <w:ilvl w:val="0"/>
                <w:numId w:val="3"/>
              </w:numPr>
              <w:spacing w:after="0" w:afterAutospacing="0" w:line="276" w:lineRule="auto"/>
              <w:ind w:left="720" w:hanging="36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Desbordes de UI en pantallas móviles angostas (Android, iPhone) en los módulos del panel web:</w:t>
            </w:r>
            <w:r w:rsidDel="00000000" w:rsidR="00000000" w:rsidRPr="00000000">
              <w:rPr>
                <w:rtl w:val="0"/>
              </w:rPr>
              <w:t xml:space="preserve"> Formularios extensos como el de Clientes (tarifas) o Asignación de Viaje presentaban solapamiento de textos en la cabecera y desbordes en filas con múltiples botones o campos pequeños.</w:t>
            </w:r>
          </w:p>
          <w:p w:rsidR="00000000" w:rsidDel="00000000" w:rsidP="00000000" w:rsidRDefault="00000000" w:rsidRPr="00000000" w14:paraId="00000093">
            <w:pPr>
              <w:numPr>
                <w:ilvl w:val="1"/>
                <w:numId w:val="3"/>
              </w:numPr>
              <w:spacing w:after="0" w:afterAutospacing="0" w:line="276" w:lineRule="auto"/>
              <w:ind w:left="1440" w:hanging="36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Acción tomada:</w:t>
            </w:r>
            <w:r w:rsidDel="00000000" w:rsidR="00000000" w:rsidRPr="00000000">
              <w:rPr>
                <w:rtl w:val="0"/>
              </w:rPr>
              <w:t xml:space="preserve"> Se implementó un rediseño responsivo granular mediante </w:t>
            </w:r>
            <w:r w:rsidDel="00000000" w:rsidR="00000000" w:rsidRPr="00000000">
              <w:rPr>
                <w:rtl w:val="0"/>
              </w:rPr>
              <w:t xml:space="preserve">LayoutBuilder</w:t>
            </w:r>
            <w:r w:rsidDel="00000000" w:rsidR="00000000" w:rsidRPr="00000000">
              <w:rPr>
                <w:rtl w:val="0"/>
              </w:rPr>
              <w:t xml:space="preserve">. En pantallas menores a 750px/650px, los campos se redistribuyen verticalmente ocupando el ancho completo, se eliminaron los botones de navegación secundarios redundantes y se adoptó </w:t>
            </w:r>
            <w:r w:rsidDel="00000000" w:rsidR="00000000" w:rsidRPr="00000000">
              <w:rPr>
                <w:rtl w:val="0"/>
              </w:rPr>
              <w:t xml:space="preserve">Wrap</w:t>
            </w:r>
            <w:r w:rsidDel="00000000" w:rsidR="00000000" w:rsidRPr="00000000">
              <w:rPr>
                <w:rtl w:val="0"/>
              </w:rPr>
              <w:t xml:space="preserve"> con textos compactos en footers.</w:t>
            </w:r>
          </w:p>
          <w:p w:rsidR="00000000" w:rsidDel="00000000" w:rsidP="00000000" w:rsidRDefault="00000000" w:rsidRPr="00000000" w14:paraId="00000094">
            <w:pPr>
              <w:numPr>
                <w:ilvl w:val="0"/>
                <w:numId w:val="3"/>
              </w:numPr>
              <w:spacing w:after="0" w:afterAutospacing="0" w:line="276" w:lineRule="auto"/>
              <w:ind w:left="720" w:hanging="36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Creación de credenciales de choferes sin comprometer la seguridad:</w:t>
            </w:r>
            <w:r w:rsidDel="00000000" w:rsidR="00000000" w:rsidRPr="00000000">
              <w:rPr>
                <w:rtl w:val="0"/>
              </w:rPr>
              <w:t xml:space="preserve"> Desde Flutter no se podían registrar choferes en Supabase Auth directamente con la clave anónima sin dar permisos globales inseguros.</w:t>
            </w:r>
          </w:p>
          <w:p w:rsidR="00000000" w:rsidDel="00000000" w:rsidP="00000000" w:rsidRDefault="00000000" w:rsidRPr="00000000" w14:paraId="00000095">
            <w:pPr>
              <w:numPr>
                <w:ilvl w:val="1"/>
                <w:numId w:val="3"/>
              </w:numPr>
              <w:spacing w:after="0" w:afterAutospacing="0" w:line="276" w:lineRule="auto"/>
              <w:ind w:left="1440" w:hanging="360"/>
              <w:jc w:val="both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Acción tomada:</w:t>
            </w:r>
            <w:r w:rsidDel="00000000" w:rsidR="00000000" w:rsidRPr="00000000">
              <w:rPr>
                <w:rtl w:val="0"/>
              </w:rPr>
              <w:t xml:space="preserve"> Se implementó una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Supabase Edge Function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rtl w:val="0"/>
              </w:rPr>
              <w:t xml:space="preserve">crear_conductor</w:t>
            </w:r>
            <w:r w:rsidDel="00000000" w:rsidR="00000000" w:rsidRPr="00000000">
              <w:rPr>
                <w:rtl w:val="0"/>
              </w:rPr>
              <w:t xml:space="preserve">) que utiliza el token privilegiado de forma serverless para crear el usuario en Auth y retornar el UID de manera transparente y segura.</w:t>
            </w:r>
          </w:p>
          <w:p w:rsidR="00000000" w:rsidDel="00000000" w:rsidP="00000000" w:rsidRDefault="00000000" w:rsidRPr="00000000" w14:paraId="00000096">
            <w:pPr>
              <w:numPr>
                <w:ilvl w:val="0"/>
                <w:numId w:val="3"/>
              </w:numPr>
              <w:spacing w:after="0" w:afterAutospacing="0" w:line="276" w:lineRule="auto"/>
              <w:ind w:left="720" w:hanging="36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Inconsistencia de digitación de texto:</w:t>
            </w:r>
            <w:r w:rsidDel="00000000" w:rsidR="00000000" w:rsidRPr="00000000">
              <w:rPr>
                <w:rtl w:val="0"/>
              </w:rPr>
              <w:t xml:space="preserve"> Los registros guardados con minúsculas afectaban la presentación profesional en listas y reportes.</w:t>
            </w:r>
          </w:p>
          <w:p w:rsidR="00000000" w:rsidDel="00000000" w:rsidP="00000000" w:rsidRDefault="00000000" w:rsidRPr="00000000" w14:paraId="00000097">
            <w:pPr>
              <w:numPr>
                <w:ilvl w:val="1"/>
                <w:numId w:val="3"/>
              </w:numPr>
              <w:spacing w:after="240" w:line="276" w:lineRule="auto"/>
              <w:ind w:left="1440" w:hanging="36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Acción tomada:</w:t>
            </w:r>
            <w:r w:rsidDel="00000000" w:rsidR="00000000" w:rsidRPr="00000000">
              <w:rPr>
                <w:rtl w:val="0"/>
              </w:rPr>
              <w:t xml:space="preserve"> Se programó la función </w:t>
            </w:r>
            <w:r w:rsidDel="00000000" w:rsidR="00000000" w:rsidRPr="00000000">
              <w:rPr>
                <w:rtl w:val="0"/>
              </w:rPr>
              <w:t xml:space="preserve">capitalizarTexto</w:t>
            </w:r>
            <w:r w:rsidDel="00000000" w:rsidR="00000000" w:rsidRPr="00000000">
              <w:rPr>
                <w:rtl w:val="0"/>
              </w:rPr>
              <w:t xml:space="preserve"> respetando siglas empresariales chilenas (</w:t>
            </w:r>
            <w:r w:rsidDel="00000000" w:rsidR="00000000" w:rsidRPr="00000000">
              <w:rPr>
                <w:rtl w:val="0"/>
              </w:rPr>
              <w:t xml:space="preserve">S.A.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tl w:val="0"/>
              </w:rPr>
              <w:t xml:space="preserve">SpA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tl w:val="0"/>
              </w:rPr>
              <w:t xml:space="preserve">Ltda.</w:t>
            </w:r>
            <w:r w:rsidDel="00000000" w:rsidR="00000000" w:rsidRPr="00000000">
              <w:rPr>
                <w:rtl w:val="0"/>
              </w:rPr>
              <w:t xml:space="preserve">) y forzando mayúsculas en patentes y modelos tanto en frontend como mediante script SQL en la base de datos.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8">
      <w:pPr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pPr w:leftFromText="180" w:rightFromText="180" w:topFromText="0" w:bottomFromText="0" w:vertAnchor="text" w:horzAnchor="text" w:tblpX="-572" w:tblpY="107"/>
        <w:tblW w:w="9493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3"/>
        <w:tblGridChange w:id="0">
          <w:tblGrid>
            <w:gridCol w:w="9493"/>
          </w:tblGrid>
        </w:tblGridChange>
      </w:tblGrid>
      <w:tr>
        <w:trPr>
          <w:cantSplit w:val="0"/>
          <w:trHeight w:val="193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9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Actividades ajustadas o eliminadas: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 se han eliminado actividades</w:t>
            </w:r>
            <w:r w:rsidDel="00000000" w:rsidR="00000000" w:rsidRPr="00000000">
              <w:rPr>
                <w:rtl w:val="0"/>
              </w:rPr>
              <w:t xml:space="preserve"> del plan maestro, ya que el alcance de las 16 Historias de Usuario sigue siendo estrictamente necesario para cumplir con los objetivos del negocio.</w:t>
            </w:r>
          </w:p>
          <w:p w:rsidR="00000000" w:rsidDel="00000000" w:rsidP="00000000" w:rsidRDefault="00000000" w:rsidRPr="00000000" w14:paraId="0000009B">
            <w:pPr>
              <w:spacing w:line="276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Actividades ajustadas:</w:t>
            </w:r>
          </w:p>
          <w:p w:rsidR="00000000" w:rsidDel="00000000" w:rsidP="00000000" w:rsidRDefault="00000000" w:rsidRPr="00000000" w14:paraId="0000009C">
            <w:pPr>
              <w:numPr>
                <w:ilvl w:val="0"/>
                <w:numId w:val="6"/>
              </w:numPr>
              <w:spacing w:after="240" w:line="276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 añadió una tarea de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Refactorización Responsiva y Normalización de Entradas</w:t>
            </w:r>
            <w:r w:rsidDel="00000000" w:rsidR="00000000" w:rsidRPr="00000000">
              <w:rPr>
                <w:rtl w:val="0"/>
              </w:rPr>
              <w:t xml:space="preserve"> dentro del ciclo de los Sprints 1 y 2. Si bien la creación de pantallas estaba planificada, la experiencia de usuario real en terreno evidenció que los choferes y administradores podían utilizar teléfonos de diversas dimensiones para acceder al panel web, en situaciones donde no se tuviera acceso rápido a un computador de escritorio o notebook, haciendo imprescindible que cada pantalla web se adaptara automáticamente al viewport móvil sin romper la disposición.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D">
      <w:pPr>
        <w:spacing w:after="0" w:line="240" w:lineRule="auto"/>
        <w:jc w:val="both"/>
        <w:rPr>
          <w:rFonts w:ascii="Calibri" w:cs="Calibri" w:eastAsia="Calibri" w:hAnsi="Calibri"/>
          <w:i w:val="1"/>
          <w:iCs w:val="1"/>
          <w:color w:val="548dd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0" w:line="240" w:lineRule="auto"/>
        <w:jc w:val="both"/>
        <w:rPr>
          <w:rFonts w:ascii="Calibri" w:cs="Calibri" w:eastAsia="Calibri" w:hAnsi="Calibri"/>
          <w:i w:val="1"/>
          <w:iCs w:val="1"/>
          <w:color w:val="548dd4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498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8"/>
        <w:tblGridChange w:id="0">
          <w:tblGrid>
            <w:gridCol w:w="9498"/>
          </w:tblGrid>
        </w:tblGridChange>
      </w:tblGrid>
      <w:tr>
        <w:trPr>
          <w:cantSplit w:val="0"/>
          <w:trHeight w:val="196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F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Actividades que no has iniciado o están retrasadas: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spacing w:line="276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Actividades no iniciadas (Planificadas según cronograma):</w:t>
            </w:r>
          </w:p>
          <w:p w:rsidR="00000000" w:rsidDel="00000000" w:rsidP="00000000" w:rsidRDefault="00000000" w:rsidRPr="00000000" w14:paraId="000000A1">
            <w:pPr>
              <w:numPr>
                <w:ilvl w:val="0"/>
                <w:numId w:val="7"/>
              </w:numPr>
              <w:spacing w:after="0" w:afterAutospacing="0" w:line="276" w:lineRule="auto"/>
              <w:ind w:left="720" w:hanging="36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Sprint 4 (Dashboard Analítico, Auditoría de Vouchers y Monitoreo de Flota): Programado formalmente para las semanas 11 y 12.</w:t>
            </w:r>
          </w:p>
          <w:p w:rsidR="00000000" w:rsidDel="00000000" w:rsidP="00000000" w:rsidRDefault="00000000" w:rsidRPr="00000000" w14:paraId="000000A2">
            <w:pPr>
              <w:numPr>
                <w:ilvl w:val="0"/>
                <w:numId w:val="7"/>
              </w:numPr>
              <w:spacing w:after="0" w:afterAutospacing="0" w:line="276" w:lineRule="auto"/>
              <w:ind w:left="720" w:hanging="36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Sprint 5 (Consolidación de Planillas y Cierre de Liquidaciones): Programado formalmente para las semanas 13 y 14.</w:t>
            </w:r>
          </w:p>
          <w:p w:rsidR="00000000" w:rsidDel="00000000" w:rsidP="00000000" w:rsidRDefault="00000000" w:rsidRPr="00000000" w14:paraId="000000A3">
            <w:pPr>
              <w:numPr>
                <w:ilvl w:val="0"/>
                <w:numId w:val="7"/>
              </w:numPr>
              <w:spacing w:after="240" w:line="276" w:lineRule="auto"/>
              <w:ind w:left="720" w:hanging="36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Estabilización y Despliegue Final (Fases 2 y 3): Programados para las semanas 15 a 18.</w:t>
            </w:r>
          </w:p>
          <w:p w:rsidR="00000000" w:rsidDel="00000000" w:rsidP="00000000" w:rsidRDefault="00000000" w:rsidRPr="00000000" w14:paraId="000000A4">
            <w:pPr>
              <w:spacing w:line="276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 de cumplimiento:</w:t>
            </w:r>
          </w:p>
          <w:p w:rsidR="00000000" w:rsidDel="00000000" w:rsidP="00000000" w:rsidRDefault="00000000" w:rsidRPr="00000000" w14:paraId="000000A5">
            <w:pPr>
              <w:numPr>
                <w:ilvl w:val="0"/>
                <w:numId w:val="5"/>
              </w:numPr>
              <w:spacing w:after="240" w:line="276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proyecto se encuentra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estrictamente en fecha y sin retrasos críticos</w:t>
            </w:r>
            <w:r w:rsidDel="00000000" w:rsidR="00000000" w:rsidRPr="00000000">
              <w:rPr>
                <w:rtl w:val="0"/>
              </w:rPr>
              <w:t xml:space="preserve"> respecto a la Carta Gantt original de la Fase 1. Los Sprints 1 y 2 han alcanzado el 100% de sus metas funcionales, y las bases del Sprint 3 (captura de datos en terreno) se encuentran actualmente en desarrollo dentro de los plazos proyectados.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sectPr>
      <w:headerReference r:id="rId19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0AC">
      <w:pPr>
        <w:spacing w:after="0" w:line="240" w:lineRule="auto"/>
        <w:rPr>
          <w:color w:val="595959"/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color w:val="595959"/>
          <w:sz w:val="20"/>
          <w:szCs w:val="20"/>
          <w:rtl w:val="0"/>
        </w:rPr>
        <w:t xml:space="preserve"> En caso de que el Proyecto APT sea grupal, en esta columna deben indicar el nombre de los responsables de cada tarea o actividad. Esto posteriormente permitirá diferenciar la evaluación por cada integrante.</w:t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7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595959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9"/>
      <w:tblW w:w="10170.0" w:type="dxa"/>
      <w:jc w:val="left"/>
      <w:tblInd w:w="-709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954"/>
      <w:gridCol w:w="4216"/>
      <w:tblGridChange w:id="0">
        <w:tblGrid>
          <w:gridCol w:w="5954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A8">
          <w:pPr>
            <w:spacing w:after="0" w:lineRule="auto"/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Guía Estudiante - Desarrollo Proyecto APT </w:t>
          </w:r>
        </w:p>
        <w:p w:rsidR="00000000" w:rsidDel="00000000" w:rsidP="00000000" w:rsidRDefault="00000000" w:rsidRPr="00000000" w14:paraId="000000A9">
          <w:pPr>
            <w:spacing w:after="0" w:lineRule="auto"/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2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AA">
          <w:pPr>
            <w:jc w:val="center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8" name="image4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4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A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3.png"/><Relationship Id="rId13" Type="http://schemas.openxmlformats.org/officeDocument/2006/relationships/image" Target="media/image5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8.png"/><Relationship Id="rId15" Type="http://schemas.openxmlformats.org/officeDocument/2006/relationships/image" Target="media/image7.png"/><Relationship Id="rId14" Type="http://schemas.openxmlformats.org/officeDocument/2006/relationships/image" Target="media/image9.png"/><Relationship Id="rId17" Type="http://schemas.openxmlformats.org/officeDocument/2006/relationships/image" Target="media/image11.png"/><Relationship Id="rId16" Type="http://schemas.openxmlformats.org/officeDocument/2006/relationships/image" Target="media/image6.png"/><Relationship Id="rId5" Type="http://schemas.openxmlformats.org/officeDocument/2006/relationships/numbering" Target="numbering.xml"/><Relationship Id="rId19" Type="http://schemas.openxmlformats.org/officeDocument/2006/relationships/header" Target="header1.xml"/><Relationship Id="rId6" Type="http://schemas.openxmlformats.org/officeDocument/2006/relationships/styles" Target="styles.xml"/><Relationship Id="rId18" Type="http://schemas.openxmlformats.org/officeDocument/2006/relationships/image" Target="media/image10.png"/><Relationship Id="rId7" Type="http://schemas.openxmlformats.org/officeDocument/2006/relationships/customXml" Target="../customXML/item1.xml"/><Relationship Id="rId8" Type="http://schemas.openxmlformats.org/officeDocument/2006/relationships/image" Target="media/image1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6CShm1o88H2V96VTWtBwacwaIMA==">CgMxLjAaHwoBMBIaChgICVIUChJ0YWJsZS4xODUyM2t2aWNoaHQyDmgucmgwcnE4NjVudXcxOAByITEwMmhna1AzMGxyMW1oSUlzdTFkMDlGdHJaRVpRNGgyUg==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</Properties>
</file>