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0"/>
      </w:pPr>
    </w:p>
    <w:p>
      <w:pPr>
        <w:spacing w:after="280"/>
        <w:jc w:val="center"/>
      </w:pPr>
      <w:r>
        <w:rPr>
          <w:rFonts w:ascii="Calibri" w:hAnsi="Calibri"/>
          <w:b/>
          <w:color w:val="137052"/>
          <w:sz w:val="30"/>
        </w:rPr>
        <w:t>OUTSHARE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60"/>
        </w:rPr>
        <w:t>Dossier de Produto</w:t>
        <w:br/>
        <w:t>Segurador</w:t>
      </w:r>
    </w:p>
    <w:p>
      <w:pPr>
        <w:spacing w:after="360"/>
        <w:jc w:val="center"/>
      </w:pPr>
      <w:r>
        <w:rPr>
          <w:rFonts w:ascii="Calibri" w:hAnsi="Calibri"/>
          <w:color w:val="596473"/>
          <w:sz w:val="28"/>
        </w:rPr>
        <w:t>Proposta de seguro integrado para operações de aluguer de equipamentos de lazer outdoor entre particulares</w:t>
      </w:r>
    </w:p>
    <w:p>
      <w:pPr>
        <w:spacing w:after="1840"/>
        <w:jc w:val="center"/>
      </w:pPr>
      <w:r>
        <w:rPr>
          <w:rFonts w:ascii="Calibri" w:hAnsi="Calibri"/>
          <w:b/>
          <w:color w:val="137052"/>
          <w:sz w:val="21"/>
        </w:rPr>
        <w:t>Capa e capítulos 1, 2, 3 e 4  |  Documento de trabalho</w:t>
      </w:r>
    </w:p>
    <w:p>
      <w:pPr>
        <w:spacing w:after="0"/>
        <w:jc w:val="center"/>
      </w:pPr>
      <w:r>
        <w:rPr>
          <w:rFonts w:ascii="Calibri" w:hAnsi="Calibri"/>
          <w:i/>
          <w:color w:val="596473"/>
          <w:sz w:val="18"/>
        </w:rPr>
        <w:t>Documento para discussão com potenciais parceiros seguradores. Não constitui uma apólice, uma oferta de seguro ou um compromisso de cobertura.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37052"/>
          <w:sz w:val="18"/>
        </w:rPr>
        <w:t>CAPÍTULO 1</w:t>
      </w:r>
    </w:p>
    <w:p>
      <w:pPr>
        <w:pStyle w:val="Heading1"/>
      </w:pPr>
      <w:r>
        <w:t>A OutShare e o seu modelo operacional</w:t>
      </w:r>
    </w:p>
    <w:p>
      <w:pPr>
        <w:keepLines w:val="0"/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A OutShare pretende criar um marketplace digital português especializado no aluguer, entre particulares, de equipamentos premium para vida, lazer e outdoor. A plataforma permitirá que proprietários rentabilizem bens de utilização ocasional e que outras pessoas lhes acedam temporariamente para viajar, acampar, praticar atividades ao ar livre ou transportar equipamento, sem suportarem o custo integral da compra.</w:t>
      </w:r>
    </w:p>
    <w:p>
      <w:pPr>
        <w:keepLines w:val="0"/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O lançamento será concentrado numa única categoria coerente, com identidade clara e riscos analisáveis. Serão considerados equipamentos individuais com valor de aquisição ou substituição superior a 500 euros, transporte compatível com um automóvel ligeiro, estado verificável e utilização ocasional. A OutShare não será proprietária dos bens nem funcionará como um simples site de anúncios.</w:t>
      </w:r>
    </w:p>
    <w:p>
      <w:pPr>
        <w:keepLines w:val="0"/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A sua função será organizar e acompanhar a operação entre pessoas que não se conhecem. A camada de confiança combinará autenticação, contrato automático, pagamento, caução, seguro por operação, comunicação interna, registo fotográfico antes e depois e apoio em caso de incidente ou desacordo.</w:t>
      </w:r>
    </w:p>
    <w:p>
      <w:pPr>
        <w:pStyle w:val="Heading2"/>
      </w:pPr>
      <w:r>
        <w:t>Processo operacional pretendido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Registo e autenticação. </w:t>
      </w:r>
      <w:r>
        <w:rPr>
          <w:rFonts w:ascii="Calibri" w:hAnsi="Calibri"/>
          <w:color w:val="000000"/>
          <w:sz w:val="21"/>
        </w:rPr>
        <w:t>Proprietário e arrendatário criam conta e validam a identidade e os dados necessários para operar.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Publicação e validação. </w:t>
      </w:r>
      <w:r>
        <w:rPr>
          <w:rFonts w:ascii="Calibri" w:hAnsi="Calibri"/>
          <w:color w:val="000000"/>
          <w:sz w:val="21"/>
        </w:rPr>
        <w:t>O proprietário identifica o equipamento e apresenta marca, modelo, prova de propriedade, valor, estado, fotografias, condições de utilização e preço.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Pedido e comunicação. </w:t>
      </w:r>
      <w:r>
        <w:rPr>
          <w:rFonts w:ascii="Calibri" w:hAnsi="Calibri"/>
          <w:color w:val="000000"/>
          <w:sz w:val="21"/>
        </w:rPr>
        <w:t>O arrendatário escolhe datas e envia um pedido. As partes esclarecem utilização, compatibilidade e recolha através do chat interno.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Aceitação e formalização. </w:t>
      </w:r>
      <w:r>
        <w:rPr>
          <w:rFonts w:ascii="Calibri" w:hAnsi="Calibri"/>
          <w:color w:val="000000"/>
          <w:sz w:val="21"/>
        </w:rPr>
        <w:t>A plataforma confirma as condições, gera o contrato, processa o pagamento, autoriza a caução e ativa o seguro da operação.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Recolha e estado inicial. </w:t>
      </w:r>
      <w:r>
        <w:rPr>
          <w:rFonts w:ascii="Calibri" w:hAnsi="Calibri"/>
          <w:color w:val="000000"/>
          <w:sz w:val="21"/>
        </w:rPr>
        <w:t>Ambas as partes confirmam identidade, bem entregue, acessórios declarados e defeitos preexistentes, com fotografias associadas à operação.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Transporte e utilização. </w:t>
      </w:r>
      <w:r>
        <w:rPr>
          <w:rFonts w:ascii="Calibri" w:hAnsi="Calibri"/>
          <w:color w:val="000000"/>
          <w:sz w:val="21"/>
        </w:rPr>
        <w:t>O equipamento é transportado e utilizado dentro da finalidade, território, período e condições contratadas.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Devolução e verificação. </w:t>
      </w:r>
      <w:r>
        <w:rPr>
          <w:rFonts w:ascii="Calibri" w:hAnsi="Calibri"/>
          <w:color w:val="000000"/>
          <w:sz w:val="21"/>
        </w:rPr>
        <w:t>As partes registam novas fotografias e confirmam o estado final, permitindo comparar a condição antes e depois da utilização.</w:t>
      </w:r>
    </w:p>
    <w:p>
      <w:pPr>
        <w:keepLines/>
        <w:numPr>
          <w:ilvl w:val="0"/>
          <w:numId w:val="10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Conclusão ou incidente. </w:t>
      </w:r>
      <w:r>
        <w:rPr>
          <w:rFonts w:ascii="Calibri" w:hAnsi="Calibri"/>
          <w:color w:val="000000"/>
          <w:sz w:val="21"/>
        </w:rPr>
        <w:t>Sem danos, o pagamento e a caução são libertados, idealmente no imediato e no máximo em 24 horas. Havendo desacordo, dano, roubo ou não devolução, a operação é suspensa para análise.</w:t>
      </w:r>
    </w:p>
    <w:p>
      <w:pPr>
        <w:keepLines w:val="0"/>
        <w:spacing w:before="120" w:after="0" w:line="264" w:lineRule="auto"/>
      </w:pPr>
      <w:r>
        <w:rPr>
          <w:rFonts w:ascii="Calibri" w:hAnsi="Calibri"/>
          <w:b w:val="0"/>
          <w:color w:val="000000"/>
          <w:sz w:val="22"/>
        </w:rPr>
        <w:t>Cada aluguer terá um percurso único, registado e verificável. A OutShare organiza a operação e a respetiva evidência; o parceiro segurador assume apenas o risco contratado e decide sobre a cobertura e a regularização dos sinistros.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37052"/>
          <w:sz w:val="18"/>
        </w:rPr>
        <w:t>CAPÍTULO 2</w:t>
      </w:r>
    </w:p>
    <w:p>
      <w:pPr>
        <w:pStyle w:val="Heading1"/>
      </w:pPr>
      <w:r>
        <w:t>Equipamentos abrangidos no lançamento</w:t>
      </w:r>
    </w:p>
    <w:p>
      <w:pPr>
        <w:keepLines w:val="0"/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Para tornar o risco compreensível e tarifável, a OutShare propõe iniciar com um catálogo limitado a equipamentos de lazer outdoor. A presença de uma família no catálogo não torna todos os modelos automaticamente elegíveis: cada bem será avaliado individualmente antes da primeira operação segurada.</w:t>
      </w:r>
    </w:p>
    <w:p>
      <w:pPr>
        <w:pStyle w:val="Heading2"/>
      </w:pPr>
      <w:r>
        <w:t>Famílias e produtos propostos</w:t>
      </w:r>
    </w:p>
    <w:p>
      <w:pPr>
        <w:keepLines/>
        <w:numPr>
          <w:ilvl w:val="0"/>
          <w:numId w:val="11"/>
        </w:numPr>
        <w:spacing w:before="0" w:after="80" w:line="252" w:lineRule="auto"/>
      </w:pPr>
      <w:r>
        <w:rPr>
          <w:rFonts w:ascii="Calibri" w:hAnsi="Calibri"/>
          <w:b/>
          <w:color w:val="000000"/>
          <w:sz w:val="21"/>
        </w:rPr>
        <w:t xml:space="preserve">Transporte e mobilidade outdoor. </w:t>
      </w:r>
      <w:r>
        <w:rPr>
          <w:rFonts w:ascii="Calibri" w:hAnsi="Calibri"/>
          <w:color w:val="000000"/>
          <w:sz w:val="21"/>
        </w:rPr>
        <w:t>Malas de tejadilho; caixas de carga para engate; plataformas de carga de tejadilho; sistemas de barras de tejadilho; suportes premium de bicicletas para engate; malas rígidas de transporte de bicicletas; e atrelados multidesporto para bicicleta.</w:t>
      </w:r>
    </w:p>
    <w:p>
      <w:pPr>
        <w:keepLines/>
        <w:numPr>
          <w:ilvl w:val="0"/>
          <w:numId w:val="11"/>
        </w:numPr>
        <w:spacing w:before="0" w:after="80" w:line="252" w:lineRule="auto"/>
      </w:pPr>
      <w:r>
        <w:rPr>
          <w:rFonts w:ascii="Calibri" w:hAnsi="Calibri"/>
          <w:b/>
          <w:color w:val="000000"/>
          <w:sz w:val="21"/>
        </w:rPr>
        <w:t xml:space="preserve">Campismo e abrigo. </w:t>
      </w:r>
      <w:r>
        <w:rPr>
          <w:rFonts w:ascii="Calibri" w:hAnsi="Calibri"/>
          <w:color w:val="000000"/>
          <w:sz w:val="21"/>
        </w:rPr>
        <w:t>Tendas familiares insufláveis premium; tendas de tejadilho; tendas montadas no engate; toldos ou avançados de campismo identificáveis como um único produto; e frigoríficos elétricos portáteis.</w:t>
      </w:r>
    </w:p>
    <w:p>
      <w:pPr>
        <w:keepLines/>
        <w:numPr>
          <w:ilvl w:val="0"/>
          <w:numId w:val="11"/>
        </w:numPr>
        <w:spacing w:before="0" w:after="80" w:line="252" w:lineRule="auto"/>
      </w:pPr>
      <w:r>
        <w:rPr>
          <w:rFonts w:ascii="Calibri" w:hAnsi="Calibri"/>
          <w:b/>
          <w:color w:val="000000"/>
          <w:sz w:val="21"/>
        </w:rPr>
        <w:t xml:space="preserve">Desportos aquáticos. </w:t>
      </w:r>
      <w:r>
        <w:rPr>
          <w:rFonts w:ascii="Calibri" w:hAnsi="Calibri"/>
          <w:color w:val="000000"/>
          <w:sz w:val="21"/>
        </w:rPr>
        <w:t>Kayaks insufláveis ou dobráveis e pranchas de stand up paddle premium. Cada anúncio corresponde a um bem principal individual, sem agregação num conjunto segurado.</w:t>
      </w:r>
    </w:p>
    <w:p>
      <w:pPr>
        <w:keepLines/>
        <w:numPr>
          <w:ilvl w:val="0"/>
          <w:numId w:val="11"/>
        </w:numPr>
        <w:spacing w:before="0" w:after="80" w:line="252" w:lineRule="auto"/>
      </w:pPr>
      <w:r>
        <w:rPr>
          <w:rFonts w:ascii="Calibri" w:hAnsi="Calibri"/>
          <w:b/>
          <w:color w:val="000000"/>
          <w:sz w:val="21"/>
        </w:rPr>
        <w:t xml:space="preserve">Energia e autonomia. </w:t>
      </w:r>
      <w:r>
        <w:rPr>
          <w:rFonts w:ascii="Calibri" w:hAnsi="Calibri"/>
          <w:color w:val="000000"/>
          <w:sz w:val="21"/>
        </w:rPr>
        <w:t>Estações de energia portáteis e painéis solares portáteis, desde que o equipamento individual cumpra o valor mínimo e permita identificar capacidade, número de série, estado da bateria e histórico de utilização.</w:t>
      </w:r>
    </w:p>
    <w:p>
      <w:pPr>
        <w:pStyle w:val="Heading2"/>
      </w:pPr>
      <w:r>
        <w:t>Critérios comuns de elegibilidade</w:t>
      </w:r>
    </w:p>
    <w:p>
      <w:pPr>
        <w:keepLines/>
        <w:numPr>
          <w:ilvl w:val="0"/>
          <w:numId w:val="11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Bem individual. </w:t>
      </w:r>
      <w:r>
        <w:rPr>
          <w:rFonts w:ascii="Calibri" w:hAnsi="Calibri"/>
          <w:color w:val="000000"/>
          <w:sz w:val="21"/>
        </w:rPr>
        <w:t>Um anúncio e um certificado correspondem a um equipamento principal identificável; não são aceites conjuntos formados por vários objetos.</w:t>
      </w:r>
    </w:p>
    <w:p>
      <w:pPr>
        <w:keepLines/>
        <w:numPr>
          <w:ilvl w:val="0"/>
          <w:numId w:val="11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Valor mínimo. </w:t>
      </w:r>
      <w:r>
        <w:rPr>
          <w:rFonts w:ascii="Calibri" w:hAnsi="Calibri"/>
          <w:color w:val="000000"/>
          <w:sz w:val="21"/>
        </w:rPr>
        <w:t>Valor de aquisição ou substituição superior a 500 euros, comprovável por fatura, referência de mercado ou documentação equivalente.</w:t>
      </w:r>
    </w:p>
    <w:p>
      <w:pPr>
        <w:keepLines/>
        <w:numPr>
          <w:ilvl w:val="0"/>
          <w:numId w:val="11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Identificação e propriedade. </w:t>
      </w:r>
      <w:r>
        <w:rPr>
          <w:rFonts w:ascii="Calibri" w:hAnsi="Calibri"/>
          <w:color w:val="000000"/>
          <w:sz w:val="21"/>
        </w:rPr>
        <w:t>Marca, modelo, número de série quando existente, prova de propriedade e fotografias suficientes para reconhecer o bem.</w:t>
      </w:r>
    </w:p>
    <w:p>
      <w:pPr>
        <w:keepLines/>
        <w:numPr>
          <w:ilvl w:val="0"/>
          <w:numId w:val="11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Estado verificável. </w:t>
      </w:r>
      <w:r>
        <w:rPr>
          <w:rFonts w:ascii="Calibri" w:hAnsi="Calibri"/>
          <w:color w:val="000000"/>
          <w:sz w:val="21"/>
        </w:rPr>
        <w:t>Inspeção simples na recolha e devolução, com registo do funcionamento, desgaste, danos preexistentes e acessórios pertencentes ao produto.</w:t>
      </w:r>
    </w:p>
    <w:p>
      <w:pPr>
        <w:keepLines/>
        <w:numPr>
          <w:ilvl w:val="0"/>
          <w:numId w:val="11"/>
        </w:numPr>
        <w:spacing w:before="0" w:after="60" w:line="252" w:lineRule="auto"/>
      </w:pPr>
      <w:r>
        <w:rPr>
          <w:rFonts w:ascii="Calibri" w:hAnsi="Calibri"/>
          <w:b/>
          <w:color w:val="000000"/>
          <w:sz w:val="21"/>
        </w:rPr>
        <w:t xml:space="preserve">Utilização controlável. </w:t>
      </w:r>
      <w:r>
        <w:rPr>
          <w:rFonts w:ascii="Calibri" w:hAnsi="Calibri"/>
          <w:color w:val="000000"/>
          <w:sz w:val="21"/>
        </w:rPr>
        <w:t>Uso ocasional, transporte relativamente simples e risco operacional compatível com as condições que venham a ser acordadas com o segurador.</w:t>
      </w:r>
    </w:p>
    <w:p>
      <w:pPr>
        <w:pStyle w:val="Heading2"/>
      </w:pPr>
      <w:r>
        <w:t>Informação de risco e exclusões iniciais</w:t>
      </w:r>
    </w:p>
    <w:p>
      <w:pPr>
        <w:keepLines w:val="0"/>
        <w:spacing w:before="0" w:after="80" w:line="264" w:lineRule="auto"/>
      </w:pPr>
      <w:r>
        <w:rPr>
          <w:rFonts w:ascii="Calibri" w:hAnsi="Calibri"/>
          <w:b w:val="0"/>
          <w:color w:val="000000"/>
          <w:sz w:val="22"/>
        </w:rPr>
        <w:t>O dossier de cada equipamento deverá reunir categoria, marca, modelo, número de série, idade, prova de propriedade, valor, estado, manutenção quando aplicável e fotografias. Nos acessórios automóveis serão ainda registadas compatibilidade, carga máxima, componentes de fixação e pontos de montagem; nos equipamentos aquáticos, condições de utilização e limites definidos para o piloto; e nos equipamentos elétricos, bateria, carregamento e sinais de dano.</w:t>
      </w:r>
    </w:p>
    <w:p>
      <w:pPr>
        <w:keepLines w:val="0"/>
        <w:spacing w:before="0" w:after="0" w:line="264" w:lineRule="auto"/>
      </w:pPr>
      <w:r>
        <w:rPr>
          <w:rFonts w:ascii="Calibri" w:hAnsi="Calibri"/>
          <w:b/>
          <w:color w:val="000000"/>
          <w:sz w:val="22"/>
        </w:rPr>
        <w:t xml:space="preserve">Não integram o catálogo inicial: </w:t>
      </w:r>
      <w:r>
        <w:rPr>
          <w:rFonts w:ascii="Calibri" w:hAnsi="Calibri"/>
          <w:b w:val="0"/>
          <w:color w:val="000000"/>
          <w:sz w:val="22"/>
        </w:rPr>
        <w:t>kits completos de campismo, conjuntos completos de ski e conjuntos completos de snowboard. A decisão resulta da dificuldade em identificar, valorizar e segurar vários bens diferentes sob o mesmo anúncio. Outros equipamentos motorizados, de segurança crítica ou com risco elevado dependerão de avaliação posterior e de aceitação expressa do parceiro segurador.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37052"/>
          <w:sz w:val="18"/>
        </w:rPr>
        <w:t>CAPÍTULO 3</w:t>
      </w:r>
    </w:p>
    <w:p>
      <w:pPr>
        <w:pStyle w:val="Heading1"/>
        <w:spacing w:after="100"/>
      </w:pPr>
      <w:r>
        <w:t>Condições do seguro pretendido</w:t>
      </w:r>
    </w:p>
    <w:p>
      <w:pPr>
        <w:keepLines/>
        <w:spacing w:before="0" w:after="80" w:line="254" w:lineRule="auto"/>
      </w:pPr>
      <w:r>
        <w:rPr>
          <w:rFonts w:ascii="Calibri" w:hAnsi="Calibri"/>
          <w:i w:val="0"/>
          <w:color w:val="000000"/>
          <w:sz w:val="20"/>
        </w:rPr>
        <w:t>A OutShare pretende integrar em cada aluguer elegível um seguro temporário que proteja o proprietário e o arrendatário desde a recolha até à devolução. A cobertura será ativada depois da formalização da operação, pagamento, caução e confirmação bilateral do estado inicial. O contrato, a caução, a prova documental e o seguro atuarão em conjunto, sem substituir as obrigações de utilização diligente.</w:t>
      </w:r>
    </w:p>
    <w:p>
      <w:pPr>
        <w:keepLines/>
        <w:spacing w:before="0" w:after="80" w:line="254" w:lineRule="auto"/>
      </w:pPr>
      <w:r>
        <w:rPr>
          <w:rFonts w:ascii="Calibri" w:hAnsi="Calibri"/>
          <w:i w:val="0"/>
          <w:color w:val="000000"/>
          <w:sz w:val="20"/>
        </w:rPr>
        <w:t>Para o catálogo inicial de equipamentos outdoor e lazer, a proposta parte de três blocos de risco. A frequência e severidade indicadas são hipóteses de subscrição que terão de ser confirmadas com a seguradora e com os dados do piloto.</w:t>
      </w:r>
    </w:p>
    <w:p>
      <w:pPr>
        <w:pStyle w:val="Heading2"/>
        <w:keepNext/>
        <w:spacing w:before="100" w:after="60"/>
      </w:pPr>
      <w:r>
        <w:t>Estrutura dos riscos</w:t>
      </w:r>
    </w:p>
    <w:p>
      <w:pPr>
        <w:keepLines/>
        <w:numPr>
          <w:ilvl w:val="0"/>
          <w:numId w:val="11"/>
        </w:numPr>
        <w:spacing w:before="0" w:after="40" w:line="247" w:lineRule="auto"/>
      </w:pPr>
      <w:r>
        <w:rPr>
          <w:rFonts w:ascii="Calibri" w:hAnsi="Calibri"/>
          <w:b/>
          <w:color w:val="000000"/>
          <w:sz w:val="19"/>
        </w:rPr>
        <w:t xml:space="preserve">Dano acidental. </w:t>
      </w:r>
      <w:r>
        <w:rPr>
          <w:rFonts w:ascii="Calibri" w:hAnsi="Calibri"/>
          <w:color w:val="000000"/>
          <w:sz w:val="19"/>
        </w:rPr>
        <w:t>Risco previsivelmente baixo na generalidade dos produtos, podendo ser superior em tendas de tejadilho, kayaks, canoas e equipamentos sujeitos a montagem, carga ou transporte.</w:t>
      </w:r>
    </w:p>
    <w:p>
      <w:pPr>
        <w:keepLines/>
        <w:numPr>
          <w:ilvl w:val="0"/>
          <w:numId w:val="11"/>
        </w:numPr>
        <w:spacing w:before="0" w:after="40" w:line="247" w:lineRule="auto"/>
      </w:pPr>
      <w:r>
        <w:rPr>
          <w:rFonts w:ascii="Calibri" w:hAnsi="Calibri"/>
          <w:b/>
          <w:color w:val="000000"/>
          <w:sz w:val="19"/>
        </w:rPr>
        <w:t xml:space="preserve">Furto ou roubo por terceiro. </w:t>
      </w:r>
      <w:r>
        <w:rPr>
          <w:rFonts w:ascii="Calibri" w:hAnsi="Calibri"/>
          <w:color w:val="000000"/>
          <w:sz w:val="19"/>
        </w:rPr>
        <w:t>Frequência potencialmente baixa, mas severidade elevada, porque alguns equipamentos podem representar perdas de vários milhares de euros.</w:t>
      </w:r>
    </w:p>
    <w:p>
      <w:pPr>
        <w:keepLines/>
        <w:numPr>
          <w:ilvl w:val="0"/>
          <w:numId w:val="11"/>
        </w:numPr>
        <w:spacing w:before="0" w:after="40" w:line="247" w:lineRule="auto"/>
      </w:pPr>
      <w:r>
        <w:rPr>
          <w:rFonts w:ascii="Calibri" w:hAnsi="Calibri"/>
          <w:b/>
          <w:color w:val="000000"/>
          <w:sz w:val="19"/>
        </w:rPr>
        <w:t xml:space="preserve">Não restituição pelo locatário. </w:t>
      </w:r>
      <w:r>
        <w:rPr>
          <w:rFonts w:ascii="Calibri" w:hAnsi="Calibri"/>
          <w:color w:val="000000"/>
          <w:sz w:val="19"/>
        </w:rPr>
        <w:t>Risco prioritário para o proprietário e provavelmente o mais exigente na negociação com a seguradora, por resultar da retenção ou apropriação do bem por quem o recebeu voluntariamente.</w:t>
      </w:r>
    </w:p>
    <w:p>
      <w:pPr>
        <w:pStyle w:val="Heading2"/>
        <w:keepNext/>
        <w:spacing w:before="100" w:after="60"/>
      </w:pPr>
      <w:r>
        <w:t>Cobertura central solicitada</w:t>
      </w:r>
    </w:p>
    <w:p>
      <w:pPr>
        <w:keepLines/>
        <w:spacing w:before="0" w:after="60" w:line="254" w:lineRule="auto"/>
      </w:pPr>
      <w:r>
        <w:rPr>
          <w:rFonts w:ascii="Calibri" w:hAnsi="Calibri"/>
          <w:b/>
          <w:color w:val="000000"/>
          <w:sz w:val="20"/>
        </w:rPr>
        <w:t xml:space="preserve">A cobertura pretendida deve combinar </w:t>
      </w:r>
      <w:r>
        <w:rPr>
          <w:rFonts w:ascii="Calibri" w:hAnsi="Calibri"/>
          <w:i w:val="0"/>
          <w:color w:val="000000"/>
          <w:sz w:val="20"/>
        </w:rPr>
        <w:t>dano acidental, furto ou roubo, perda total e não restituição ou apropriação ilegítima pelo locatário.</w:t>
      </w:r>
    </w:p>
    <w:p>
      <w:pPr>
        <w:keepLines/>
        <w:spacing w:before="0" w:after="80" w:line="254" w:lineRule="auto"/>
      </w:pPr>
      <w:r>
        <w:rPr>
          <w:rFonts w:ascii="Calibri" w:hAnsi="Calibri"/>
          <w:i w:val="0"/>
          <w:color w:val="000000"/>
          <w:sz w:val="20"/>
        </w:rPr>
        <w:t>A apólice deverá distinguir expressamente o furto ou roubo praticado por terceiro da não restituição por um locatário que recebeu legitimamente o equipamento. Uma garantia genérica de roubo não será considerada suficiente. Se a apólice base excluir fraude, abuso de confiança, apropriação ou retenção ilegítima, será necessária uma cobertura especial ou outro mecanismo de garantia aceite pela seguradora.</w:t>
      </w:r>
    </w:p>
    <w:p>
      <w:pPr>
        <w:pStyle w:val="Heading2"/>
        <w:keepNext/>
        <w:spacing w:before="100" w:after="60"/>
      </w:pPr>
      <w:r>
        <w:t>Proteção do proprietário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Furto ou roubo por terceiro durante uma operação válida e dentro das medidas de segurança acordadas.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Não restituição, retenção ou apropriação ilegítima pelo locatário, através de uma garantia expressa e não de uma referência genérica a roubo.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Danos acidentais ocorridos na carga, transporte, descarga, montagem ou utilização autorizada.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Equipamento devolvido danificado ou completamente não funcional em consequência de um evento coberto.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Reparação ou indemnização por perda total, dentro do capital seguro e da base de valorização acordados.</w:t>
      </w:r>
    </w:p>
    <w:p>
      <w:r>
        <w:br w:type="page"/>
      </w:r>
    </w:p>
    <w:p>
      <w:pPr>
        <w:pStyle w:val="Heading2"/>
        <w:keepNext/>
        <w:spacing w:before="0" w:after="60"/>
      </w:pPr>
      <w:r>
        <w:t>Proteção do arrendatário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Danos acidentais causados ao equipamento durante a utilização autorizada.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Acidentes e danos ocorridos na carga, descarga e transporte efetuados pelo método aprovado.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Determinadas avarias surgidas durante utilização legítima, sem imputação automática ao arrendatário.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Responsabilidade civil por danos materiais ou corporais causados a terceiros, quando essa cobertura for contratada.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color w:val="000000"/>
          <w:sz w:val="19"/>
        </w:rPr>
        <w:t>Limitação da exposição financeira à franquia aplicável, salvo fraude, dolo, negligência grave ou outra situação expressamente excluída.</w:t>
      </w:r>
    </w:p>
    <w:p>
      <w:pPr>
        <w:pStyle w:val="Heading2"/>
        <w:keepNext/>
        <w:spacing w:before="100" w:after="60"/>
      </w:pPr>
      <w:r>
        <w:t>Redução do risco de não restituição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Identidade verificada. </w:t>
      </w:r>
      <w:r>
        <w:rPr>
          <w:rFonts w:ascii="Calibri" w:hAnsi="Calibri"/>
          <w:color w:val="000000"/>
          <w:sz w:val="19"/>
        </w:rPr>
        <w:t>Autenticação reforçada antes de o utilizador poder realizar operações.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Pagamento validado. </w:t>
      </w:r>
      <w:r>
        <w:rPr>
          <w:rFonts w:ascii="Calibri" w:hAnsi="Calibri"/>
          <w:color w:val="000000"/>
          <w:sz w:val="19"/>
        </w:rPr>
        <w:t>Meio de pagamento associado a uma conta autenticada e sujeito aos controlos do prestador.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Contrato e caução. </w:t>
      </w:r>
      <w:r>
        <w:rPr>
          <w:rFonts w:ascii="Calibri" w:hAnsi="Calibri"/>
          <w:color w:val="000000"/>
          <w:sz w:val="19"/>
        </w:rPr>
        <w:t>Obrigações, prazos, valor do bem, consequências da não devolução e garantia financeira claramente definidos.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Histórico e reputação. </w:t>
      </w:r>
      <w:r>
        <w:rPr>
          <w:rFonts w:ascii="Calibri" w:hAnsi="Calibri"/>
          <w:color w:val="000000"/>
          <w:sz w:val="19"/>
        </w:rPr>
        <w:t>Registo de operações, incidentes e avaliações para apoiar regras de elegibilidade e prevenção de fraude.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Entrega documentada. </w:t>
      </w:r>
      <w:r>
        <w:rPr>
          <w:rFonts w:ascii="Calibri" w:hAnsi="Calibri"/>
          <w:color w:val="000000"/>
          <w:sz w:val="19"/>
        </w:rPr>
        <w:t>Identificação, número de série, acessórios, fotografias e confirmação bilateral do momento em que o bem é entregue.</w:t>
      </w:r>
    </w:p>
    <w:p>
      <w:pPr>
        <w:keepLines/>
        <w:spacing w:before="0" w:after="80" w:line="254" w:lineRule="auto"/>
      </w:pPr>
      <w:r>
        <w:rPr>
          <w:rFonts w:ascii="Calibri" w:hAnsi="Calibri"/>
          <w:i w:val="0"/>
          <w:color w:val="000000"/>
          <w:sz w:val="19"/>
        </w:rPr>
        <w:t>Estes controlos não eliminam o risco, mas dão à seguradora critérios de aceitação, prova da operação e meios de recuperação. A cobertura de não restituição deverá definir prazo, tentativas de contacto, participação às autoridades, documentação exigida, cooperação do proprietário e momento em que o sinistro se considera constituído.</w:t>
      </w:r>
    </w:p>
    <w:p>
      <w:pPr>
        <w:pStyle w:val="Heading2"/>
        <w:keepNext/>
        <w:spacing w:before="100" w:after="60"/>
      </w:pPr>
      <w:r>
        <w:t>Capital franquia caução e exclusões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Valor seguro. </w:t>
      </w:r>
      <w:r>
        <w:rPr>
          <w:rFonts w:ascii="Calibri" w:hAnsi="Calibri"/>
          <w:color w:val="000000"/>
          <w:sz w:val="19"/>
        </w:rPr>
        <w:t>Baseado em fatura, marca, modelo, número de série, idade, estado e valor de substituição ou de mercado.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Franquia e caução. </w:t>
      </w:r>
      <w:r>
        <w:rPr>
          <w:rFonts w:ascii="Calibri" w:hAnsi="Calibri"/>
          <w:color w:val="000000"/>
          <w:sz w:val="19"/>
        </w:rPr>
        <w:t>A franquia será definida pela seguradora. A caução permanece separada do prémio e da indemnização e poderá responder por franquia, pequenos danos ou encargos não cobertos.</w:t>
      </w:r>
    </w:p>
    <w:p>
      <w:pPr>
        <w:keepLines/>
        <w:numPr>
          <w:ilvl w:val="0"/>
          <w:numId w:val="11"/>
        </w:numPr>
        <w:spacing w:before="0" w:after="30" w:line="247" w:lineRule="auto"/>
      </w:pPr>
      <w:r>
        <w:rPr>
          <w:rFonts w:ascii="Calibri" w:hAnsi="Calibri"/>
          <w:b/>
          <w:color w:val="000000"/>
          <w:sz w:val="19"/>
        </w:rPr>
        <w:t xml:space="preserve">Exclusões. </w:t>
      </w:r>
      <w:r>
        <w:rPr>
          <w:rFonts w:ascii="Calibri" w:hAnsi="Calibri"/>
          <w:color w:val="000000"/>
          <w:sz w:val="19"/>
        </w:rPr>
        <w:t>Desgaste normal, consumíveis, defeitos preexistentes, falta de manutenção, fraude, conluio, subaluguer e utilização, montagem ou transporte não autorizados serão delimitados de forma clara.</w:t>
      </w:r>
    </w:p>
    <w:p>
      <w:pPr>
        <w:pStyle w:val="Heading2"/>
        <w:keepNext/>
        <w:spacing w:before="100" w:after="60"/>
      </w:pPr>
      <w:r>
        <w:t>Prémio e integração operacional</w:t>
      </w:r>
    </w:p>
    <w:p>
      <w:pPr>
        <w:keepLines/>
        <w:spacing w:before="0" w:after="60" w:line="254" w:lineRule="auto"/>
      </w:pPr>
      <w:r>
        <w:rPr>
          <w:rFonts w:ascii="Calibri" w:hAnsi="Calibri"/>
          <w:i w:val="0"/>
          <w:color w:val="000000"/>
          <w:sz w:val="19"/>
        </w:rPr>
        <w:t>O prémio será único por aluguer. A projeção económica utiliza, apenas como hipótese de trabalho, um prémio equivalente a 10% do valor da operação, suportado em 70% pelo arrendatário e em 30% pela OutShare através da comissão cobrada ao proprietário. A tarifa final deverá considerar categoria, valor, duração, transporte, montagem, perfil do utilizador, medidas de segurança, capital e franquia.</w:t>
      </w:r>
    </w:p>
    <w:p>
      <w:pPr>
        <w:keepLines/>
        <w:spacing w:before="0" w:after="0" w:line="254" w:lineRule="auto"/>
      </w:pPr>
      <w:r>
        <w:rPr>
          <w:rFonts w:ascii="Calibri" w:hAnsi="Calibri"/>
          <w:i/>
          <w:color w:val="000000"/>
          <w:sz w:val="19"/>
        </w:rPr>
        <w:t>As coberturas, exclusões, limites, franquias, beneficiários, territorialidade e procedimento de sinistro deverão constar expressamente das condições gerais, especiais e particulares aplicáveis. A OutShare só apresentará este produto numa estrutura de distribuição juridicamente validada com a seguradora ou com um mediador autorizado.</w:t>
      </w:r>
    </w:p>
    <w:p>
      <w:r>
        <w:br w:type="page"/>
      </w:r>
    </w:p>
    <w:p>
      <w:pPr>
        <w:keepNext/>
        <w:spacing w:before="0" w:after="100"/>
      </w:pPr>
      <w:r>
        <w:rPr>
          <w:rFonts w:ascii="Calibri" w:hAnsi="Calibri"/>
          <w:b/>
          <w:color w:val="137052"/>
          <w:sz w:val="18"/>
        </w:rPr>
        <w:t>CAPÍTULO 4</w:t>
      </w:r>
    </w:p>
    <w:p>
      <w:pPr>
        <w:pStyle w:val="Heading1"/>
      </w:pPr>
      <w:r>
        <w:t>O que procuramos da seguradora</w:t>
      </w:r>
    </w:p>
    <w:p>
      <w:pPr>
        <w:keepLines/>
        <w:spacing w:before="0" w:after="100" w:line="254" w:lineRule="auto"/>
      </w:pPr>
      <w:r>
        <w:rPr>
          <w:rFonts w:ascii="Calibri" w:hAnsi="Calibri"/>
          <w:i w:val="0"/>
          <w:color w:val="000000"/>
          <w:sz w:val="21"/>
        </w:rPr>
        <w:t>A OutShare procura um parceiro segurador disponível para cocriar um produto específico para o aluguer de equipamentos de lazer outdoor entre particulares. O objetivo não é apenas contratar uma apólice existente: é construir uma proteção integrada na reserva, compatível com o percurso digital e capaz de evoluir com os dados recolhidos no piloto.</w:t>
      </w:r>
    </w:p>
    <w:p>
      <w:pPr>
        <w:pStyle w:val="Heading2"/>
      </w:pPr>
      <w:r>
        <w:t>Capacidades pretendidas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Desenho conjunto do produto. </w:t>
      </w:r>
      <w:r>
        <w:rPr>
          <w:rFonts w:ascii="Calibri" w:hAnsi="Calibri"/>
          <w:color w:val="000000"/>
          <w:sz w:val="20"/>
        </w:rPr>
        <w:t>Definir coberturas adequadas aos riscos do proprietário e do arrendatário, com linguagem clara e condições aplicáveis a operações temporárias.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Modelo de embedded insurance. </w:t>
      </w:r>
      <w:r>
        <w:rPr>
          <w:rFonts w:ascii="Calibri" w:hAnsi="Calibri"/>
          <w:color w:val="000000"/>
          <w:sz w:val="20"/>
        </w:rPr>
        <w:t>Associar o seguro automaticamente a cada aluguer elegível, dentro do checkout e sem um processo separado para o utilizador.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Emissão automática. </w:t>
      </w:r>
      <w:r>
        <w:rPr>
          <w:rFonts w:ascii="Calibri" w:hAnsi="Calibri"/>
          <w:color w:val="000000"/>
          <w:sz w:val="20"/>
        </w:rPr>
        <w:t>Disponibilizar API ou processo operacional equivalente para cotação, emissão, certificado, alteração, cancelamento e consulta do estado da cobertura.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Pricing estruturado. </w:t>
      </w:r>
      <w:r>
        <w:rPr>
          <w:rFonts w:ascii="Calibri" w:hAnsi="Calibri"/>
          <w:color w:val="000000"/>
          <w:sz w:val="20"/>
        </w:rPr>
        <w:t>Criar uma tabela de prémios por categoria, valor seguro e duração, incorporando quando necessário fatores de transporte, utilização, histórico e franquia.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Sinistro simples e digital. </w:t>
      </w:r>
      <w:r>
        <w:rPr>
          <w:rFonts w:ascii="Calibri" w:hAnsi="Calibri"/>
          <w:color w:val="000000"/>
          <w:sz w:val="20"/>
        </w:rPr>
        <w:t>Permitir participação online, envio de fotografias e documentos, acompanhamento do estado e escalamento para análise humana quando exista desacordo.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Condições acordadas. </w:t>
      </w:r>
      <w:r>
        <w:rPr>
          <w:rFonts w:ascii="Calibri" w:hAnsi="Calibri"/>
          <w:color w:val="000000"/>
          <w:sz w:val="20"/>
        </w:rPr>
        <w:t>Definir em conjunto exclusões, franquias, capitais e durações máximas, regras de valorização, medidas de segurança, prazos e documentos exigidos.</w:t>
      </w:r>
    </w:p>
    <w:p>
      <w:pPr>
        <w:pStyle w:val="Heading2"/>
      </w:pPr>
      <w:r>
        <w:t>Economia potencial para o parceiro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Prémio por transação. </w:t>
      </w:r>
      <w:r>
        <w:rPr>
          <w:rFonts w:ascii="Calibri" w:hAnsi="Calibri"/>
          <w:color w:val="000000"/>
          <w:sz w:val="20"/>
        </w:rPr>
        <w:t>Cada aluguer segurado origina um prémio, criando receita recorrente diretamente associada à utilização da plataforma.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Crescimento ligado ao marketplace. </w:t>
      </w:r>
      <w:r>
        <w:rPr>
          <w:rFonts w:ascii="Calibri" w:hAnsi="Calibri"/>
          <w:color w:val="000000"/>
          <w:sz w:val="20"/>
        </w:rPr>
        <w:t>O volume de prémios tende a acompanhar o número de alugueres e o valor bruto das transações (GMV), sem garantir antecipadamente um volume mínimo.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Aquisição assegurada pela OutShare. </w:t>
      </w:r>
      <w:r>
        <w:rPr>
          <w:rFonts w:ascii="Calibri" w:hAnsi="Calibri"/>
          <w:color w:val="000000"/>
          <w:sz w:val="20"/>
        </w:rPr>
        <w:t>A plataforma promove o serviço, capta proprietários e arrendatários e conduz o utilizador até à reserva e ativação do seguro.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Dados estruturados. </w:t>
      </w:r>
      <w:r>
        <w:rPr>
          <w:rFonts w:ascii="Calibri" w:hAnsi="Calibri"/>
          <w:color w:val="000000"/>
          <w:sz w:val="20"/>
        </w:rPr>
        <w:t>Categoria, valor, idade e estado do equipamento, identidade e histórico dos utilizadores, duração, transporte e evidência antes/depois podem apoiar seleção, pricing, prevenção de fraude e sinistros.</w:t>
      </w:r>
    </w:p>
    <w:p>
      <w:pPr>
        <w:keepLines/>
        <w:numPr>
          <w:ilvl w:val="0"/>
          <w:numId w:val="11"/>
        </w:numPr>
        <w:spacing w:before="0" w:after="60" w:line="250" w:lineRule="auto"/>
      </w:pPr>
      <w:r>
        <w:rPr>
          <w:rFonts w:ascii="Calibri" w:hAnsi="Calibri"/>
          <w:b/>
          <w:color w:val="000000"/>
          <w:sz w:val="20"/>
        </w:rPr>
        <w:t xml:space="preserve">Evolução da oferta. </w:t>
      </w:r>
      <w:r>
        <w:rPr>
          <w:rFonts w:ascii="Calibri" w:hAnsi="Calibri"/>
          <w:color w:val="000000"/>
          <w:sz w:val="20"/>
        </w:rPr>
        <w:t>Após validação do produto-base, poderá ser estudada a introdução de extensões ou produtos adicionais para responsabilidade civil, assistência ou outras necessidades demonstradas.</w:t>
      </w:r>
    </w:p>
    <w:p>
      <w:pPr>
        <w:pStyle w:val="Heading2"/>
      </w:pPr>
      <w:r>
        <w:t>Proposta de colaboração inicial</w:t>
      </w:r>
    </w:p>
    <w:p>
      <w:pPr>
        <w:keepLines/>
        <w:spacing w:before="0" w:after="0" w:line="254" w:lineRule="auto"/>
      </w:pPr>
      <w:r>
        <w:rPr>
          <w:rFonts w:ascii="Calibri" w:hAnsi="Calibri"/>
          <w:i w:val="0"/>
          <w:color w:val="000000"/>
          <w:sz w:val="20"/>
        </w:rPr>
        <w:t>Propomos começar por um piloto controlado: catálogo e valores limitados, critérios de elegibilidade definidos, processo digital documentado e reporte conjunto. O trabalho inicial deverá produzir um term sheet com coberturas, exclusões, capital, franquias, pricing, emissão, cancelamento, sinistros, responsabilidades regulatórias e métricas de revisão. A decisão de escalar será tomada com base na exposição, frequência e severidade de incidentes, fraude, tempo de regularização e sustentabilidade económica do produto.</w:t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137052"/>
          <w:sz w:val="17"/>
        </w:rPr>
        <w:t>CONTINUAÇÃO DO CAPÍTULO 4</w:t>
      </w:r>
    </w:p>
    <w:p>
      <w:pPr>
        <w:pStyle w:val="Heading1"/>
        <w:spacing w:before="160" w:after="100"/>
      </w:pPr>
      <w:r>
        <w:t>Projeção económica a três anos</w:t>
      </w:r>
    </w:p>
    <w:p>
      <w:pPr>
        <w:keepLines/>
        <w:spacing w:before="0" w:after="80" w:line="245" w:lineRule="auto"/>
      </w:pPr>
      <w:r>
        <w:rPr>
          <w:rFonts w:ascii="Calibri" w:hAnsi="Calibri"/>
          <w:i w:val="0"/>
          <w:color w:val="000000"/>
          <w:sz w:val="18"/>
        </w:rPr>
        <w:t>A projeção incorpora duas fontes de receita: a comissão de 20% sobre o aluguer e uma comissão de intermediação correspondente a 10% do prémio de seguro. O prémio é estimado em 10% do valor de cada operação. Os custos refletem uma estrutura enxuta, apoiada por IA e automação, com intervenção humana nas decisões de risco, conflitos, sinistros e matérias jurídicas.</w:t>
      </w:r>
    </w:p>
    <w:p>
      <w:pPr>
        <w:pStyle w:val="Heading2"/>
        <w:spacing w:before="80" w:after="60"/>
      </w:pPr>
      <w:r>
        <w:t>Cenário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1584"/>
        <w:gridCol w:w="1584"/>
        <w:gridCol w:w="1584"/>
      </w:tblGrid>
      <w:tr>
        <w:trPr>
          <w:tblHeader w:val="true"/>
          <w:cantSplit/>
          <w:cantSplit/>
        </w:trPr>
        <w:tc>
          <w:tcPr>
            <w:tcW w:type="dxa" w:w="4608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Indicador (€)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1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2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3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Operações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1.500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7.500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Valor médio por operação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165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180</w:t>
            </w:r>
          </w:p>
        </w:tc>
      </w:tr>
      <w:tr>
        <w:trPr>
          <w:cantSplit/>
          <w:cantSplit/>
        </w:trPr>
        <w:tc>
          <w:tcPr>
            <w:tcW w:type="dxa" w:w="4608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GMV / valor total alugado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225.000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1.237.500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4.500.000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Comissão de aluguer OutShare 20%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45.000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247.500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900.000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Prémio médio de seguro por operação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16,50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Prémios brutos gerados para a seguradora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22.500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123.750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450.000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Comissão de seguro OutShare 10%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2.250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12.375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45.000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Receita total OutShare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47.250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259.875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945.000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Pagamentos e cauções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4.875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26.625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96.250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Plataforma online e infraestrutura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30.000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Ferramentas de IA e automação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12.000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24.000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Produto, desenvolvimento e integrações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35.000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50.000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75.000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Jurídico, compliance e seguros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Operações e apoio ao cliente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3.750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18.750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62.500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Marketing e aquisição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20.000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120.000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30% do prémio financiado pela OutShare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6.750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37.125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135.000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Administração, contabilidade e outros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14.000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Custos totais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117.375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246.500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592.750</w:t>
            </w:r>
          </w:p>
        </w:tc>
      </w:tr>
      <w:tr>
        <w:trPr>
          <w:cantSplit/>
          <w:cantSplit/>
        </w:trPr>
        <w:tc>
          <w:tcPr>
            <w:tcW w:type="dxa" w:w="4608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Resultado operacional indicativo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-70.125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13.375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352.250</w:t>
            </w:r>
          </w:p>
        </w:tc>
      </w:tr>
    </w:tbl>
    <w:p>
      <w:pPr>
        <w:keepLines/>
        <w:spacing w:before="0" w:after="0" w:line="245" w:lineRule="auto"/>
      </w:pPr>
      <w:r>
        <w:rPr>
          <w:rFonts w:ascii="Calibri" w:hAnsi="Calibri"/>
          <w:i w:val="0"/>
          <w:color w:val="000000"/>
          <w:sz w:val="17"/>
        </w:rPr>
        <w:t>O cenário-base passa a resultado positivo no segundo ano e atinge 352.250 € no terceiro. O resultado acumulado é 295.500 €. No ano 3, a receita média por operação é 37,80 € e a margem de contribuição é 26,05 €. Com 299.000 € de custos fixos e semifixos, o ponto de equilíbrio é aproximadamente 11.478 operações anuais, cerca de 32 por dia.</w:t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137052"/>
          <w:sz w:val="17"/>
        </w:rPr>
        <w:t>CONTINUAÇÃO DO CAPÍTULO 4</w:t>
      </w:r>
    </w:p>
    <w:p>
      <w:pPr>
        <w:pStyle w:val="Heading1"/>
        <w:spacing w:before="160" w:after="100"/>
      </w:pPr>
      <w:r>
        <w:t>Cenário pessimista</w:t>
      </w:r>
    </w:p>
    <w:p>
      <w:pPr>
        <w:keepLines/>
        <w:spacing w:before="0" w:after="80" w:line="245" w:lineRule="auto"/>
      </w:pPr>
      <w:r>
        <w:rPr>
          <w:rFonts w:ascii="Calibri" w:hAnsi="Calibri"/>
          <w:i w:val="0"/>
          <w:color w:val="000000"/>
          <w:sz w:val="18"/>
        </w:rPr>
        <w:t>Este cenário assume menor adesão e crescimento mais lento. A OutShare reage com contratação faseada e menor despesa de produto, marketing e infraestrutura, sem retirar o orçamento mínimo para segurança, apoio e conformidade.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1584"/>
        <w:gridCol w:w="1584"/>
        <w:gridCol w:w="1584"/>
      </w:tblGrid>
      <w:tr>
        <w:trPr>
          <w:tblHeader w:val="true"/>
          <w:cantSplit/>
          <w:cantSplit/>
        </w:trPr>
        <w:tc>
          <w:tcPr>
            <w:tcW w:type="dxa" w:w="4608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Indicador (€)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1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2</w:t>
            </w:r>
          </w:p>
        </w:tc>
        <w:tc>
          <w:tcPr>
            <w:tcW w:type="dxa" w:w="1584"/>
            <w:shd w:fill="137052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Ano 3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Operações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750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2.200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Valor médio por operação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165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180</w:t>
            </w:r>
          </w:p>
        </w:tc>
      </w:tr>
      <w:tr>
        <w:trPr>
          <w:cantSplit/>
          <w:cantSplit/>
        </w:trPr>
        <w:tc>
          <w:tcPr>
            <w:tcW w:type="dxa" w:w="4608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GMV / valor total alugado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112.500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363.000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900.000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Comissão de aluguer OutShare 20%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22.500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72.600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180.000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Prémio médio de seguro por operação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16,50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Prémios brutos gerados para a seguradora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11.250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36.300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90.000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Comissão de seguro OutShare 10%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1.125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3.630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9.000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Receita total OutShare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23.625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76.230</w:t>
            </w:r>
          </w:p>
        </w:tc>
        <w:tc>
          <w:tcPr>
            <w:tcW w:type="dxa" w:w="1584"/>
            <w:shd w:fill="EAF5F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137052"/>
                <w:sz w:val="14"/>
              </w:rPr>
              <w:t>189.000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Pagamentos e cauções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2.437,50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7.810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19.250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Plataforma online e infraestrutura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14.000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Ferramentas de IA e automação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12.000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Produto, desenvolvimento e integrações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30.000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35.000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45.000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Jurídico, compliance e seguros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Operações e apoio ao cliente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1.875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5.500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12.500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Marketing e aquisição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45.000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30% do prémio financiado pela OutShare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3.375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10.890</w:t>
            </w:r>
          </w:p>
        </w:tc>
        <w:tc>
          <w:tcPr>
            <w:tcW w:type="dxa" w:w="1584"/>
            <w:shd w:fill="F8FAF9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27.000</w:t>
            </w:r>
          </w:p>
        </w:tc>
      </w:tr>
      <w:tr>
        <w:trPr>
          <w:cantSplit/>
          <w:cantSplit/>
        </w:trPr>
        <w:tc>
          <w:tcPr>
            <w:tcW w:type="dxa" w:w="4608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Administração, contabilidade e outros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9.000</w:t>
            </w:r>
          </w:p>
        </w:tc>
        <w:tc>
          <w:tcPr>
            <w:tcW w:type="dxa" w:w="1584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14.000</w:t>
            </w:r>
          </w:p>
        </w:tc>
      </w:tr>
      <w:tr>
        <w:trPr>
          <w:cantSplit/>
          <w:cantSplit/>
        </w:trPr>
        <w:tc>
          <w:tcPr>
            <w:tcW w:type="dxa" w:w="4608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Custos totais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98.687,50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126.200</w:t>
            </w:r>
          </w:p>
        </w:tc>
        <w:tc>
          <w:tcPr>
            <w:tcW w:type="dxa" w:w="1584"/>
            <w:shd w:fill="F2F4F7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206.750</w:t>
            </w:r>
          </w:p>
        </w:tc>
      </w:tr>
      <w:tr>
        <w:trPr>
          <w:cantSplit/>
          <w:cantSplit/>
        </w:trPr>
        <w:tc>
          <w:tcPr>
            <w:tcW w:type="dxa" w:w="4608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Resultado operacional indicativo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-75.062,50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-49.970</w:t>
            </w:r>
          </w:p>
        </w:tc>
        <w:tc>
          <w:tcPr>
            <w:tcW w:type="dxa" w:w="1584"/>
            <w:shd w:fill="FCECEC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-17.750</w:t>
            </w:r>
          </w:p>
        </w:tc>
      </w:tr>
    </w:tbl>
    <w:p>
      <w:pPr>
        <w:keepLines/>
        <w:spacing w:before="0" w:after="80" w:line="245" w:lineRule="auto"/>
      </w:pPr>
      <w:r>
        <w:rPr>
          <w:rFonts w:ascii="Calibri" w:hAnsi="Calibri"/>
          <w:i w:val="0"/>
          <w:color w:val="000000"/>
          <w:sz w:val="17"/>
        </w:rPr>
        <w:t>Com 750, 2.200 e 5.000 operações, o resultado permanece negativo nos três anos: -75.062,50 €, -49.970 € e -17.750 €. A perda acumulada é 142.782,50 €. Este cenário demonstra que a automação reduz o custo de funcionamento, mas não compensa uma escala insuficiente.</w:t>
      </w:r>
    </w:p>
    <w:p>
      <w:pPr>
        <w:pStyle w:val="Heading2"/>
        <w:spacing w:before="80" w:after="40"/>
      </w:pPr>
      <w:r>
        <w:t>Valor potencial para a seguradora</w:t>
      </w:r>
    </w:p>
    <w:p>
      <w:pPr>
        <w:keepLines/>
        <w:spacing w:before="0" w:after="0" w:line="245" w:lineRule="auto"/>
      </w:pPr>
      <w:r>
        <w:rPr>
          <w:rFonts w:ascii="Calibri" w:hAnsi="Calibri"/>
          <w:i w:val="0"/>
          <w:color w:val="000000"/>
          <w:sz w:val="17"/>
        </w:rPr>
        <w:t>No cenário-base, a seguradora recebe 596.250 € de prémios brutos em três anos e paga 59.625 € de comissão de intermediação à OutShare. No cenário pessimista, os valores são 137.550 € e 13.755 €, respetivamente. O remanescente antes de sinistros, impostos, despesas e resseguro é 536.625 € no cenário-base e 123.795 € no cenário pessimista; estes montantes não representam lucro da seguradora.</w:t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/>
          <w:b/>
          <w:color w:val="137052"/>
          <w:sz w:val="17"/>
        </w:rPr>
        <w:t>CONTINUAÇÃO DO CAPÍTULO 4</w:t>
      </w:r>
    </w:p>
    <w:p>
      <w:pPr>
        <w:pStyle w:val="Heading1"/>
        <w:spacing w:before="160" w:after="100"/>
      </w:pPr>
      <w:r>
        <w:t>Pressupostos da projeção</w:t>
      </w:r>
    </w:p>
    <w:p>
      <w:pPr>
        <w:keepLines/>
        <w:spacing w:before="0" w:after="80" w:line="245" w:lineRule="auto"/>
      </w:pPr>
      <w:r>
        <w:rPr>
          <w:rFonts w:ascii="Calibri" w:hAnsi="Calibri"/>
          <w:i w:val="0"/>
          <w:color w:val="000000"/>
          <w:sz w:val="18"/>
        </w:rPr>
        <w:t>Os valores devem ser substituídos por dados do piloto, propostas dos fornecedores e condições da seguradora antes de qualquer decisão de investimento.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Horizonte de três exercícios completos de 12 meses, em euros nominais, sem inflação e com valores arredondados.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Operações no cenário-base: 1.500, 7.500 e 25.000. Operações no cenário pessimista: 750, 2.200 e 5.000. Não existe volume mínimo garantido.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Valor médio do aluguer: 150 €, 165 € e 180 €. O GMV inclui apenas o aluguer e exclui caução, seguro e taxas adicionais.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Comissão de aluguer de 20% do GMV, tratada como receita antes de IVA. Não se incluem taxas ao arrendatário, subscrições, anúncios, penalizações ou outras receitas.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Todas as operações incluem seguro. O prémio corresponde a 10% do valor do aluguer, sem diferenciação por categoria, valor do equipamento, duração, franquia ou perfil de risco. É uma hipótese e não uma cotação da seguradora.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A comissão de intermediação da OutShare corresponde a 10% do prémio total, ou 1% do GMV. A base de cálculo, impostos e momento do pagamento dependem do acordo com a seguradora.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A receita de intermediação pressupõe que a OutShare esteja autorizada a distribuir o produto ou opere através de uma entidade autorizada. O modelo deve ser validado à luz da Lei n.º 7/2019 e das regras da ASF.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 arrendatário suporta 70% do prémio e a OutShare financia 30% através da comissão cobrada ao proprietário. A comissão paga pela seguradora é contabilizada separadamente como receita.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 pagamento ao proprietário, a caução e o prémio cobrado ao arrendatário são fundos de terceiros. Não constituem receita nem custo da OutShare, exceto a comparticipação de 30% no seguro.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Pagamentos e cauções custam 2,0% do GMV mais 0,25 € por operação. Autorizações, reautorizações, disputas, estornos e transferências podem alterar o custo real.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Apoio e operações custam 2,50 € por operação. A redução face à estimativa anterior depende da automatização efetiva e deverá ser medida no piloto.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A IA apoia triagem de pedidos, respostas iniciais, verificação documental preliminar, notificações, produção de conteúdos, classificação de evidências e resumos para apoio humano. Não decide sinistros, conflitos, exclusões, fraude, matérias jurídicas ou pagamentos contestados.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Ferramentas de IA e automação: 6.000 €, 12.000 € e 24.000 € no cenário-base; 6.000 €, 8.000 € e 12.000 € no cenário pessimista. Inclui licenças, utilização de APIs, monitorização e manutenção dos fluxos.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Plataforma e infraestrutura incluem alojamento, base de dados, fotografias, cópias de segurança, notificações, monitorização e segurança. Produto e desenvolvimento incluem pagamentos, cauções, seguro, contratos e manutenção.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Os custos jurídicos e de compliance não são substituídos por IA. Incluem contratos, privacidade, distribuição de seguros, pagamentos e revisão por profissionais qualificados.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 cenário pessimista reduz custos fixos através de contratação e investimento faseados. Se a estrutura de custos do cenário-base for mantida com o volume pessimista, a perda será superior.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Os recursos humanos e prestadores estão incluídos nas rubricas de produto, operações, marketing, apoio, jurídico e administração. Não existe remuneração autónoma dos fundadores.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Cancelamentos, faltas à entrega, reembolsos, créditos comerciais, sazonalidade, diferenças regionais e alterações no mix de equipamentos não são modelados separadamente.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Não se incluem subsídios, investimento, juros, financiamento, imposto sobre o rendimento, liquidação de IVA, depreciações, dívidas incobráveis ou necessidades de fundo de maneio.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 volume de prémios não é lucro da seguradora. A rentabilidade depende da frequência e gravidade dos sinistros, fraude, franquias, regularização, impostos, distribuição e resseguro.</w:t>
      </w:r>
    </w:p>
    <w:p>
      <w:pPr>
        <w:keepLines/>
        <w:numPr>
          <w:ilvl w:val="0"/>
          <w:numId w:val="10"/>
        </w:numPr>
        <w:spacing w:before="0" w:after="25" w:line="240" w:lineRule="auto"/>
        <w:ind w:left="280" w:hanging="140"/>
      </w:pPr>
      <w:r>
        <w:rPr>
          <w:rFonts w:ascii="Calibri" w:hAnsi="Calibri"/>
          <w:color w:val="000000"/>
          <w:sz w:val="16"/>
        </w:rPr>
        <w:t>O ponto de equilíbrio utiliza os custos e a economia unitária do terceiro ano do cenário-base. A margem deve ser recalculada quando existirem preços finais de pagamentos e seguro.</w:t>
      </w:r>
    </w:p>
    <w:p>
      <w:pPr>
        <w:pStyle w:val="Heading2"/>
        <w:spacing w:before="100" w:after="40"/>
      </w:pPr>
      <w:r>
        <w:t>Referências regulatórias e de custo</w:t>
      </w:r>
    </w:p>
    <w:p>
      <w:pPr>
        <w:keepLines/>
        <w:spacing w:before="0" w:after="0" w:line="245" w:lineRule="auto"/>
      </w:pPr>
      <w:r>
        <w:rPr>
          <w:rFonts w:ascii="Calibri" w:hAnsi="Calibri"/>
          <w:i w:val="0"/>
          <w:color w:val="000000"/>
          <w:sz w:val="16"/>
        </w:rPr>
        <w:t>Referências iniciais: Lei n.º 7/2019, de 16 de janeiro; informação da ASF sobre acesso à atividade e remunerações pagas aos mediadores; preços públicos da Stripe Portugal e Stripe Connect; preços públicos da Supabase e Vercel. As referências não substituem propostas comerciais nem parecer jurídico.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473"/>
        <w:sz w:val="18"/>
      </w:rPr>
      <w:t xml:space="preserve">Página </w:t>
    </w:r>
    <w:r>
      <w:rPr>
        <w:rFonts w:ascii="Calibri" w:hAnsi="Calibri"/>
        <w:color w:val="596473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473"/>
        <w:sz w:val="18"/>
      </w:rPr>
      <w:t>Versão 0.8  |  3 de setembro de 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473"/>
        <w:sz w:val="17"/>
      </w:rPr>
      <w:t>OUTSHARE  |  DOSSIER DE PRODUTO SEGURADOR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OutShare Dossier de Produto Segurador v0.8</dc:title>
  <dc:subject>Seguro integrado com cobertura prioritária de não restituição de equipamentos outdoor</dc:subject>
  <dc:creator>Projeto OutShare</dc:creator>
  <cp:keywords>OutShare, seguro, aluguer, outdoor, lazer, marketplace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