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CleanShare Blueprint v1.7</w:t>
      </w:r>
    </w:p>
    <w:p>
      <w:r/>
      <w:r>
        <w:t>Documento Estratégico e Técnico da CleanShare</w:t>
        <w:br/>
        <w:t>Versão 1.7</w:t>
      </w:r>
    </w:p>
    <w:p>
      <w:pPr>
        <w:pStyle w:val="Heading1"/>
      </w:pPr>
      <w:r>
        <w:t>Visão</w:t>
      </w:r>
    </w:p>
    <w:p>
      <w:r>
        <w:t>Criar a plataforma de referência em Portugal para o aluguer seguro entre particulares de equipamentos de valor elevado e utilização ocasional, independentemente da categoria, assente em confiança, simplicidade e segurança.</w:t>
      </w:r>
    </w:p>
    <w:p>
      <w:pPr>
        <w:pStyle w:val="Heading1"/>
      </w:pPr>
      <w:r>
        <w:t>Missão</w:t>
      </w:r>
    </w:p>
    <w:p>
      <w:r>
        <w:t>Permitir que qualquer pessoa rentabilize equipamentos parados e que outros utilizadores lhes acedam sem os comprar, através de uma plataforma que proteja ambas as partes com verificação, contratos, pagamentos seguros, cauções e seguros opcionais.</w:t>
      </w:r>
    </w:p>
    <w:p>
      <w:pPr>
        <w:pStyle w:val="Heading1"/>
      </w:pPr>
      <w:r>
        <w:t>Princípios</w:t>
      </w:r>
    </w:p>
    <w:p>
      <w:pPr>
        <w:pStyle w:val="ListBullet"/>
      </w:pPr>
      <w:r>
        <w:t>Confiança acima de tudo.</w:t>
      </w:r>
    </w:p>
    <w:p>
      <w:pPr>
        <w:pStyle w:val="ListBullet"/>
      </w:pPr>
      <w:r>
        <w:t>Simplicidade na experiência do utilizador.</w:t>
      </w:r>
    </w:p>
    <w:p>
      <w:pPr>
        <w:pStyle w:val="ListBullet"/>
      </w:pPr>
      <w:r>
        <w:t>Curadoria, liquidez local e segurança antes da expansão do catálogo.</w:t>
      </w:r>
    </w:p>
    <w:p>
      <w:pPr>
        <w:pStyle w:val="ListBullet"/>
      </w:pPr>
      <w:r>
        <w:t>Construir para escalar desde o primeiro dia.</w:t>
      </w:r>
    </w:p>
    <w:p>
      <w:pPr>
        <w:pStyle w:val="ListBullet"/>
      </w:pPr>
      <w:r>
        <w:t>Cada funcionalidade deve aproximar a plataforma do primeiro aluguer real.</w:t>
      </w:r>
    </w:p>
    <w:p>
      <w:pPr>
        <w:pStyle w:val="Heading1"/>
      </w:pPr>
      <w:r>
        <w:t>Tese estratégica e vantagem defensável</w:t>
      </w:r>
    </w:p>
    <w:p>
      <w:pPr/>
      <w:r>
        <w:t>A CleanShare não pretende vencer marketplaces generalistas pelo volume de anúncios. A sua vantagem estratégica é assumir e tornar segura toda a operação de aluguer, desde a identidade das partes até ao encerramento e eventual resolução de conflitos.</w:t>
      </w:r>
    </w:p>
    <w:p>
      <w:pPr>
        <w:pStyle w:val="ListBullet"/>
      </w:pPr>
      <w:r>
        <w:t>A camada de confiança inclui autenticação, contrato, pagamento e caução, evidência fotográfica antes e depois, acompanhamento das etapas e mediação de conflitos.</w:t>
      </w:r>
    </w:p>
    <w:p>
      <w:pPr>
        <w:pStyle w:val="ListBullet"/>
      </w:pPr>
      <w:r>
        <w:t>O conhecimento operacional, as regras e o histórico de decisões constituem o principal ativo defensável; um catálogo de anúncios, isoladamente, é facilmente replicável.</w:t>
      </w:r>
    </w:p>
    <w:p>
      <w:pPr>
        <w:pStyle w:val="ListBullet"/>
      </w:pPr>
      <w:r>
        <w:t>A experiência deve ser suficientemente simples para o utilizador apesar da complexidade interna necessária para o proteger.</w:t>
      </w:r>
    </w:p>
    <w:p>
      <w:pPr>
        <w:pStyle w:val="Heading2"/>
      </w:pPr>
      <w:r>
        <w:t>Hipótese económica a validar</w:t>
      </w:r>
    </w:p>
    <w:p>
      <w:pPr/>
      <w:r>
        <w:t>A viabilidade do modelo depende de a receita por transação financiar o custo real da proteção e deixar margem de contribuição positiva. O piloto deve medir a comissão média, os custos de pagamento e seguro, o tempo de suporte, a incidência de fraude, danos e conflitos, e o custo médio de resolução. Se a proteção não for financiável, devem ser ajustados a comissão, as categorias elegíveis ou o nível de serviço antes da expansão.</w:t>
      </w:r>
    </w:p>
    <w:p>
      <w:pPr>
        <w:pStyle w:val="Heading1"/>
      </w:pPr>
      <w:r>
        <w:t>Referência operacional aprovada: Yescapa</w:t>
      </w:r>
    </w:p>
    <w:p>
      <w:pPr/>
      <w:r>
        <w:t>Decisão estratégica aprovada: a Yescapa passa a ser a principal referência operacional da CleanShare. A plataforma demonstra que um marketplace P2P de aluguer pode criar valor ao assumir a camada de confiança da transação. A CleanShare deve aproveitar essa arquitetura e adaptá-la ao aluguer multicategoria de equipamentos, sem copiar a identidade visual, os textos, o código, os contratos ou as condições comerciais da Yescapa.</w:t>
      </w:r>
    </w:p>
    <w:p>
      <w:pPr>
        <w:pStyle w:val="Heading2"/>
      </w:pPr>
      <w:r>
        <w:t>Arquitetura de transação a adaptar</w:t>
      </w:r>
    </w:p>
    <w:p>
      <w:pPr>
        <w:pStyle w:val="ListBullet"/>
      </w:pPr>
      <w:r>
        <w:t>Anúncio curado, com validação do proprietário, do equipamento e dos documentos exigidos.</w:t>
      </w:r>
    </w:p>
    <w:p>
      <w:pPr>
        <w:pStyle w:val="ListBullet"/>
      </w:pPr>
      <w:r>
        <w:t>Pesquisa, pedido e conversa privada antes da confirmação, mantendo os contactos protegidos até serem necessários.</w:t>
      </w:r>
    </w:p>
    <w:p>
      <w:pPr>
        <w:pStyle w:val="ListBullet"/>
      </w:pPr>
      <w:r>
        <w:t>Aceitação pelo proprietário, seguida de pagamento e caução protegidos e de contrato associado à reserva.</w:t>
      </w:r>
    </w:p>
    <w:p>
      <w:pPr>
        <w:pStyle w:val="ListBullet"/>
      </w:pPr>
      <w:r>
        <w:t>Recolha coordenada com verificação, inventário e fotografias confirmadas por proprietário e arrendatário.</w:t>
      </w:r>
    </w:p>
    <w:p>
      <w:pPr>
        <w:pStyle w:val="ListBullet"/>
      </w:pPr>
      <w:r>
        <w:t>Utilização acompanhada por uma área de operação que mostra estado, próxima ação, responsável e prazo.</w:t>
      </w:r>
    </w:p>
    <w:p>
      <w:pPr>
        <w:pStyle w:val="ListBullet"/>
      </w:pPr>
      <w:r>
        <w:t>Devolução com nova verificação bilateral, comparação antes/depois e prazo máximo para a resposta da contraparte.</w:t>
      </w:r>
    </w:p>
    <w:p>
      <w:pPr>
        <w:pStyle w:val="ListBullet"/>
      </w:pPr>
      <w:r>
        <w:t>Conclusão autoritativa com pagamento ao proprietário, libertação da caução, avaliações mútuas e mediação quando existe desacordo.</w:t>
      </w:r>
    </w:p>
    <w:p>
      <w:pPr>
        <w:pStyle w:val="Heading2"/>
      </w:pPr>
      <w:r>
        <w:t>Adaptação ao segmento de equipamentos</w:t>
      </w:r>
    </w:p>
    <w:p>
      <w:pPr/>
      <w:r>
        <w:t>O fluxo principal deve ser comum a todas as categorias, mas a proteção não pode ser indiferenciada. Cada categoria ou classe de risco deverá configurar elegibilidade, valor e forma da caução, cobertura de seguro, inventário, fotografias obrigatórias, exclusões, instruções de utilização ou montagem, prazos e regras de incidente.</w:t>
      </w:r>
    </w:p>
    <w:p>
      <w:pPr>
        <w:pStyle w:val="ListBullet"/>
      </w:pPr>
      <w:r>
        <w:t>A comissão deve financiar a camada de confiança e os seus custos variáveis, não apenas a publicação do anúncio.</w:t>
      </w:r>
    </w:p>
    <w:p>
      <w:pPr>
        <w:pStyle w:val="ListBullet"/>
      </w:pPr>
      <w:r>
        <w:t>O chat facilita o acordo, mas nunca substitui confirmações estruturadas, contrato, checklist ou evidência.</w:t>
      </w:r>
    </w:p>
    <w:p>
      <w:pPr>
        <w:pStyle w:val="ListBullet"/>
      </w:pPr>
      <w:r>
        <w:t>As duas áreas de utilizador são perspetivas da mesma operação e devem apresentar estados e prazos coerentes.</w:t>
      </w:r>
    </w:p>
    <w:p>
      <w:pPr>
        <w:pStyle w:val="ListBullet"/>
      </w:pPr>
      <w:r>
        <w:t>Pagamentos, cauções, contratos, seguro, assistência e resolução de conflitos formam um único produto de ponta a ponta, mesmo quando são implementados por fases.</w:t>
      </w:r>
    </w:p>
    <w:p>
      <w:pPr>
        <w:pStyle w:val="Heading2"/>
      </w:pPr>
      <w:r>
        <w:t>Limites da referência</w:t>
      </w:r>
    </w:p>
    <w:p>
      <w:pPr/>
      <w:r>
        <w:t>A Yescapa é uma referência de produto e operação, não uma autoridade jurídica. Qualquer divergência deve ser justificada pelas características do equipamento, pela legislação portuguesa, por limitações dos fornecedores ou por evidência do piloto. Contratos, pagamentos, seguros, fiscalidade, privacidade e responsabilidade da plataforma exigem validação independente antes da produção.</w:t>
      </w:r>
    </w:p>
    <w:p>
      <w:pPr/>
      <w:r>
        <w:t>Referências consultadas: https://www.yescapa.pt/ ; https://www.yescapa.pt/how-yescapa-works ; https://www.yescapa.pt/rental-contract ; https://www.yescapa.pt/todos-nossos-seguros/ ; https://www.yescapa.pt/todas-nossas-assistencias/ ; https://www.yescapa.pt/ajuda/funcionamento-do-site/a-que-correspondem-os-custos-de-servico/.</w:t>
      </w:r>
    </w:p>
    <w:p>
      <w:pPr>
        <w:pStyle w:val="Heading1"/>
      </w:pPr>
      <w:r>
        <w:t>Fluxo principal</w:t>
      </w:r>
    </w:p>
    <w:p>
      <w:pPr/>
      <w:r>
        <w:t>Visitante</w:t>
        <w:br/>
        <w:t xml:space="preserve">   ↓</w:t>
        <w:br/>
        <w:t>Landing Page</w:t>
        <w:br/>
        <w:t xml:space="preserve">   ↓</w:t>
        <w:br/>
        <w:t>Registo / Login e Verificação</w:t>
        <w:br/>
        <w:t xml:space="preserve">   ↓</w:t>
        <w:br/>
        <w:t>Perfil</w:t>
        <w:br/>
        <w:t xml:space="preserve">   ↓</w:t>
        <w:br/>
        <w:t>Publicar Equipamento ↔ Procurar Equipamento</w:t>
        <w:br/>
        <w:t xml:space="preserve">   ↓</w:t>
        <w:br/>
        <w:t>Pedido de Aluguer + Conversa Privada</w:t>
        <w:br/>
        <w:t xml:space="preserve">   ↓</w:t>
        <w:br/>
        <w:t>Aceitação pelo Proprietário</w:t>
        <w:br/>
        <w:t xml:space="preserve">   ↓</w:t>
        <w:br/>
        <w:t>Pagamento + Caução</w:t>
        <w:br/>
        <w:t xml:space="preserve">   ↓</w:t>
        <w:br/>
        <w:t>Contrato Associado à Reserva</w:t>
        <w:br/>
        <w:t xml:space="preserve">   ↓</w:t>
        <w:br/>
        <w:t>Recolha + Inventário + Evidência Bilateral</w:t>
        <w:br/>
        <w:t xml:space="preserve">   ↓</w:t>
        <w:br/>
        <w:t>Utilização</w:t>
        <w:br/>
        <w:t xml:space="preserve">   ↓</w:t>
        <w:br/>
        <w:t>Devolução + Inventário + Evidência Bilateral</w:t>
        <w:br/>
        <w:t xml:space="preserve">   ↓</w:t>
        <w:br/>
        <w:t>Conclusão Financeira ou Mediação</w:t>
        <w:br/>
        <w:t xml:space="preserve">   ↓</w:t>
        <w:br/>
        <w:t>Avaliações Mútuas</w:t>
      </w:r>
    </w:p>
    <w:p>
      <w:pPr>
        <w:pStyle w:val="Heading1"/>
      </w:pPr>
      <w:r>
        <w:t>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Landing + Registo</w:t>
            </w:r>
          </w:p>
        </w:tc>
        <w:tc>
          <w:tcPr>
            <w:tcW w:type="dxa" w:w="2880"/>
          </w:tcPr>
          <w:p>
            <w:r>
              <w:t>Primeiros utilizadores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Primeiros anúncios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Contratos + Pagamentos</w:t>
            </w:r>
          </w:p>
        </w:tc>
        <w:tc>
          <w:tcPr>
            <w:tcW w:type="dxa" w:w="2880"/>
          </w:tcPr>
          <w:p>
            <w:r>
              <w:t>Primeiros alugueres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Cauções + Seguros</w:t>
            </w:r>
          </w:p>
        </w:tc>
        <w:tc>
          <w:tcPr>
            <w:tcW w:type="dxa" w:w="2880"/>
          </w:tcPr>
          <w:p>
            <w:r>
              <w:t>Confiança reforçada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Escala</w:t>
            </w:r>
          </w:p>
        </w:tc>
        <w:tc>
          <w:tcPr>
            <w:tcW w:type="dxa" w:w="2880"/>
          </w:tcPr>
          <w:p>
            <w:r>
              <w:t>Expansão geográfica e B2B</w:t>
            </w:r>
          </w:p>
        </w:tc>
      </w:tr>
    </w:tbl>
    <w:p>
      <w:pPr>
        <w:pStyle w:val="Heading1"/>
      </w:pPr>
      <w:r>
        <w:t>Catálogo Inicial</w:t>
      </w:r>
    </w:p>
    <w:p>
      <w:pPr/>
      <w:r>
        <w:t>Decisão de produto aprovada: a CleanShare deixa de estar limitada a equipamentos de limpeza. O lançamento será um marketplace P2P generalista, mas curado, para equipamentos de valor elevado, utilização ocasional e operação verificável. A plataforma não procura cobrir todas as categorias desde o primeiro dia; concentra-se em quatro necessidades que particulares reconhecem e para as quais existe uma razão clara para alugar em vez de comprar.</w:t>
      </w:r>
    </w:p>
    <w:p>
      <w:pPr>
        <w:pStyle w:val="Heading2"/>
      </w:pPr>
      <w:r>
        <w:t>Posicionamento e utilizador inicial</w:t>
      </w:r>
    </w:p>
    <w:p>
      <w:pPr/>
      <w:r>
        <w:t>A oferta inicial deve existir, de forma realista, nas casas, garagens ou arrecadações de particulares. Os proprietários particulares são a principal fonte de oferta no lançamento. Pequenos profissionais e empresas poderão participar numa fase posterior, com regras próprias, sem alterar o foco P2P inicial.</w:t>
      </w:r>
    </w:p>
    <w:p>
      <w:pPr>
        <w:pStyle w:val="ListBullet"/>
      </w:pPr>
      <w:r>
        <w:t>Proposta central: alugar localmente equipamentos de valor elevado que são usados apenas ocasionalmente.</w:t>
      </w:r>
    </w:p>
    <w:p>
      <w:pPr>
        <w:pStyle w:val="ListBullet"/>
      </w:pPr>
      <w:r>
        <w:t>Problema resolvido para o proprietário: transformar um ativo parado em rendimento com proteção e controlo.</w:t>
      </w:r>
    </w:p>
    <w:p>
      <w:pPr>
        <w:pStyle w:val="ListBullet"/>
      </w:pPr>
      <w:r>
        <w:t>Problema resolvido para o arrendatário: aceder ao equipamento certo por pouco tempo, sem suportar o custo total de compra.</w:t>
      </w:r>
    </w:p>
    <w:p>
      <w:pPr>
        <w:pStyle w:val="ListBullet"/>
      </w:pPr>
      <w:r>
        <w:t>A marca CleanShare representa partilha responsável e economia circular; a comunicação não deve apresentar a plataforma como exclusiva de limpeza.</w:t>
      </w:r>
    </w:p>
    <w:p>
      <w:pPr>
        <w:pStyle w:val="Heading2"/>
      </w:pPr>
      <w:r>
        <w:t>Critérios de elegibilidade</w:t>
      </w:r>
    </w:p>
    <w:p>
      <w:pPr>
        <w:pStyle w:val="ListBullet"/>
      </w:pPr>
      <w:r>
        <w:t>Equipamento comum entre particulares ou plausivelmente disponível em contexto doméstico, garagem, arrecadação ou pequeno terreno.</w:t>
      </w:r>
    </w:p>
    <w:p>
      <w:pPr>
        <w:pStyle w:val="ListBullet"/>
      </w:pPr>
      <w:r>
        <w:t>Valor de aquisição preferencialmente superior a 300 €; artigos de menor valor apenas em kits cujo valor de substituição e transação justifique a intermediação.</w:t>
      </w:r>
    </w:p>
    <w:p>
      <w:pPr>
        <w:pStyle w:val="ListBullet"/>
      </w:pPr>
      <w:r>
        <w:t>Utilização ocasional, em situações nas quais alugar seja claramente mais vantajoso do que comprar.</w:t>
      </w:r>
    </w:p>
    <w:p>
      <w:pPr>
        <w:pStyle w:val="ListBullet"/>
      </w:pPr>
      <w:r>
        <w:t>Facilmente transportável por uma pessoa ou adequado a transporte num automóvel ligeiro.</w:t>
      </w:r>
    </w:p>
    <w:p>
      <w:pPr>
        <w:pStyle w:val="ListBullet"/>
      </w:pPr>
      <w:r>
        <w:t>Inspeção de entrega e devolução simples, documentável e realizável, em regra, em 10 a 15 minutos.</w:t>
      </w:r>
    </w:p>
    <w:p>
      <w:pPr>
        <w:pStyle w:val="ListBullet"/>
      </w:pPr>
      <w:r>
        <w:t>Operação de risco baixo ou moderado, sem necessidade de certificação técnica especial no lançamento.</w:t>
      </w:r>
    </w:p>
    <w:p>
      <w:pPr>
        <w:pStyle w:val="ListBullet"/>
      </w:pPr>
      <w:r>
        <w:t>Número de série, acessórios, estado e valor de substituição verificáveis antes da publicação.</w:t>
      </w:r>
    </w:p>
    <w:p>
      <w:pPr>
        <w:pStyle w:val="ListBullet"/>
      </w:pPr>
      <w:r>
        <w:t>A elegibilidade de cada equipamento é validada antes da publicação.</w:t>
      </w:r>
    </w:p>
    <w:p>
      <w:pPr>
        <w:pStyle w:val="Heading2"/>
      </w:pPr>
      <w:r>
        <w:t>Projetos em casa</w:t>
      </w:r>
    </w:p>
    <w:p>
      <w:pPr>
        <w:pStyle w:val="ListBullet"/>
      </w:pPr>
      <w:r>
        <w:t>Berbequins e aparafusadoras profissionais.</w:t>
      </w:r>
    </w:p>
    <w:p>
      <w:pPr>
        <w:pStyle w:val="ListBullet"/>
      </w:pPr>
      <w:r>
        <w:t>Lixadoras.</w:t>
      </w:r>
    </w:p>
    <w:p>
      <w:pPr>
        <w:pStyle w:val="ListBullet"/>
      </w:pPr>
      <w:r>
        <w:t>Serras tico-tico e serras circulares.</w:t>
      </w:r>
    </w:p>
    <w:p>
      <w:pPr>
        <w:pStyle w:val="ListBullet"/>
      </w:pPr>
      <w:r>
        <w:t>Escadas extensíveis ou articuladas entre 3 e 5 metros.</w:t>
      </w:r>
    </w:p>
    <w:p>
      <w:pPr/>
      <w:r>
        <w:t>Necessidade principal: montagem, reparação e pequenos projetos domésticos realizados durante um ou poucos dias.</w:t>
      </w:r>
    </w:p>
    <w:p>
      <w:pPr>
        <w:pStyle w:val="Heading2"/>
      </w:pPr>
      <w:r>
        <w:t>Limpeza profunda</w:t>
      </w:r>
    </w:p>
    <w:p>
      <w:pPr>
        <w:pStyle w:val="ListBullet"/>
      </w:pPr>
      <w:r>
        <w:t>Lavadoras de alta pressão.</w:t>
      </w:r>
    </w:p>
    <w:p>
      <w:pPr>
        <w:pStyle w:val="ListBullet"/>
      </w:pPr>
      <w:r>
        <w:t>Extratoras de estofos e alcatifas.</w:t>
      </w:r>
    </w:p>
    <w:p>
      <w:pPr>
        <w:pStyle w:val="ListBullet"/>
      </w:pPr>
      <w:r>
        <w:t>Máquinas de limpeza a vapor.</w:t>
      </w:r>
    </w:p>
    <w:p>
      <w:pPr/>
      <w:r>
        <w:t>Necessidade principal: limpezas sazonais ou profundas de exteriores, sofás, colchões, carpetes, cozinhas e casas de banho.</w:t>
      </w:r>
    </w:p>
    <w:p>
      <w:pPr>
        <w:pStyle w:val="Heading2"/>
      </w:pPr>
      <w:r>
        <w:t>Jardim e terreno</w:t>
      </w:r>
    </w:p>
    <w:p>
      <w:pPr>
        <w:pStyle w:val="ListBullet"/>
      </w:pPr>
      <w:r>
        <w:t>Roçadoras.</w:t>
      </w:r>
    </w:p>
    <w:p>
      <w:pPr>
        <w:pStyle w:val="ListBullet"/>
      </w:pPr>
      <w:r>
        <w:t>Corta-relvas.</w:t>
      </w:r>
    </w:p>
    <w:p>
      <w:pPr>
        <w:pStyle w:val="ListBullet"/>
      </w:pPr>
      <w:r>
        <w:t>Motoenxadas.</w:t>
      </w:r>
    </w:p>
    <w:p>
      <w:pPr/>
      <w:r>
        <w:t>Necessidade principal: manutenção pontual de jardins, terrenos e zonas exteriores, com regras claras de segurança e estado mecânico.</w:t>
      </w:r>
    </w:p>
    <w:p>
      <w:pPr>
        <w:pStyle w:val="Heading2"/>
      </w:pPr>
      <w:r>
        <w:t>Eventos e lazer</w:t>
      </w:r>
    </w:p>
    <w:p>
      <w:pPr>
        <w:pStyle w:val="ListBullet"/>
      </w:pPr>
      <w:r>
        <w:t>Projetores de vídeo.</w:t>
      </w:r>
    </w:p>
    <w:p>
      <w:pPr>
        <w:pStyle w:val="ListBullet"/>
      </w:pPr>
      <w:r>
        <w:t>Colunas de som de elevada potência.</w:t>
      </w:r>
    </w:p>
    <w:p>
      <w:pPr>
        <w:pStyle w:val="ListBullet"/>
      </w:pPr>
      <w:r>
        <w:t>Tendas de campismo de grande capacidade.</w:t>
      </w:r>
    </w:p>
    <w:p>
      <w:pPr>
        <w:pStyle w:val="ListBullet"/>
      </w:pPr>
      <w:r>
        <w:t>Kits de campismo com sacos-cama.</w:t>
      </w:r>
    </w:p>
    <w:p>
      <w:pPr>
        <w:pStyle w:val="ListBullet"/>
      </w:pPr>
      <w:r>
        <w:t>Suportes de bicicletas para automóvel.</w:t>
      </w:r>
    </w:p>
    <w:p>
      <w:pPr>
        <w:pStyle w:val="ListBullet"/>
      </w:pPr>
      <w:r>
        <w:t>Malas de tejadilho.</w:t>
      </w:r>
    </w:p>
    <w:p>
      <w:pPr>
        <w:pStyle w:val="ListBullet"/>
      </w:pPr>
      <w:r>
        <w:t>Sistemas de barras de tejadilho compatíveis.</w:t>
      </w:r>
    </w:p>
    <w:p>
      <w:pPr>
        <w:pStyle w:val="ListBullet"/>
      </w:pPr>
      <w:r>
        <w:t>Tendas de tejadilho.</w:t>
      </w:r>
    </w:p>
    <w:p>
      <w:pPr/>
      <w:r>
        <w:t>Necessidade principal: eventos, viagens e fins de semana para os quais a compra integral do equipamento não se justifica. Estes artigos permanecem frequentemente guardados em garagens ou arrecadações durante longos períodos, tornando visível o valor da partilha.</w:t>
      </w:r>
    </w:p>
    <w:p>
      <w:pPr>
        <w:pStyle w:val="Heading2"/>
      </w:pPr>
      <w:r>
        <w:t>Compatibilidade e segurança do equipamento automóvel</w:t>
      </w:r>
    </w:p>
    <w:p>
      <w:pPr>
        <w:pStyle w:val="ListBullet"/>
      </w:pPr>
      <w:r>
        <w:t>A compatibilidade entre veículo, barras, mala, suporte de bicicletas ou tenda de tejadilho deve ser validada antes da reserva.</w:t>
      </w:r>
    </w:p>
    <w:p>
      <w:pPr>
        <w:pStyle w:val="ListBullet"/>
      </w:pPr>
      <w:r>
        <w:t>A carga máxima dinâmica e estática do tejadilho deve ser confirmada segundo a documentação do fabricante do veículo e do equipamento.</w:t>
      </w:r>
    </w:p>
    <w:p>
      <w:pPr>
        <w:pStyle w:val="ListBullet"/>
      </w:pPr>
      <w:r>
        <w:t>Os sistemas de barras só são elegíveis quando incluem barras, pés e kit de fixação completos e identificáveis; devem ser alugados com indicação explícita dos veículos compatíveis.</w:t>
      </w:r>
    </w:p>
    <w:p>
      <w:pPr>
        <w:pStyle w:val="ListBullet"/>
      </w:pPr>
      <w:r>
        <w:t>Suportes de bicicletas e tendas de tejadilho exigem checklist de montagem, entrega e devolução, com fotografias dos pontos de fixação e dos acessórios.</w:t>
      </w:r>
    </w:p>
    <w:p>
      <w:pPr>
        <w:pStyle w:val="ListBullet"/>
      </w:pPr>
      <w:r>
        <w:t>Sacos-cama são aceites preferencialmente em kits, com processo de higienização documentado entre alugueres.</w:t>
      </w:r>
    </w:p>
    <w:p>
      <w:pPr>
        <w:pStyle w:val="Heading2"/>
      </w:pPr>
      <w:r>
        <w:t>Limites do lançamento</w:t>
      </w:r>
    </w:p>
    <w:p>
      <w:pPr>
        <w:pStyle w:val="ListBullet"/>
      </w:pPr>
      <w:r>
        <w:t>A CleanShare não será apresentada como uma plataforma exclusiva de limpeza nem como um marketplace sem curadoria.</w:t>
      </w:r>
    </w:p>
    <w:p>
      <w:pPr>
        <w:pStyle w:val="ListBullet"/>
      </w:pPr>
      <w:r>
        <w:t>Equipamentos industriais, operadores profissionais e transações B2B não fazem parte do lançamento inicial.</w:t>
      </w:r>
    </w:p>
    <w:p>
      <w:pPr>
        <w:pStyle w:val="ListBullet"/>
      </w:pPr>
      <w:r>
        <w:t>Drones, câmaras profissionais, geradores, motosserras, equipamentos de fitness volumosos e máquinas industriais ficam adiados devido a risco, logística, enquadramento legal ou complexidade de suporte.</w:t>
      </w:r>
    </w:p>
    <w:p>
      <w:pPr>
        <w:pStyle w:val="ListBullet"/>
      </w:pPr>
      <w:r>
        <w:t>A presença de uma categoria no catálogo não torna todos os modelos automaticamente elegíveis.</w:t>
      </w:r>
    </w:p>
    <w:p>
      <w:pPr>
        <w:pStyle w:val="Heading2"/>
      </w:pPr>
      <w:r>
        <w:t>Princípio de expansão do catálogo</w:t>
      </w:r>
    </w:p>
    <w:p>
      <w:pPr/>
      <w:r>
        <w:t>A CleanShare deverá concentrar oferta e procura por região e acompanhar procura, disponibilidade, taxa de conversão, incidentes e margem por transação em cada categoria. Novos produtos ou verticais só serão adicionados quando existirem evidências de liquidez, condições de seguro e capacidade operacional.</w:t>
      </w:r>
    </w:p>
    <w:p>
      <w:pPr>
        <w:pStyle w:val="Heading1"/>
      </w:pPr>
      <w:r>
        <w:t>Expansão futura e modelo B2B</w:t>
      </w:r>
    </w:p>
    <w:p>
      <w:pPr/>
      <w:r>
        <w:t>O marketplace B2B é uma oportunidade de expansão, não o posicionamento do lançamento. Poderá ser criado depois de validado o fluxo P2P, com verificação empresarial, faturação, regras de manutenção, níveis de serviço, logística e coberturas próprias.</w:t>
      </w:r>
    </w:p>
    <w:p>
      <w:pPr>
        <w:pStyle w:val="Heading2"/>
      </w:pPr>
      <w:r>
        <w:t>Condições para avançar</w:t>
      </w:r>
    </w:p>
    <w:p>
      <w:pPr>
        <w:pStyle w:val="ListBullet"/>
      </w:pPr>
      <w:r>
        <w:t>Existência de procura empresarial recorrente e oferta profissional suficiente numa região.</w:t>
      </w:r>
    </w:p>
    <w:p>
      <w:pPr>
        <w:pStyle w:val="ListBullet"/>
      </w:pPr>
      <w:r>
        <w:t>Separação clara entre anúncios de particulares e anúncios profissionais.</w:t>
      </w:r>
    </w:p>
    <w:p>
      <w:pPr>
        <w:pStyle w:val="ListBullet"/>
      </w:pPr>
      <w:r>
        <w:t>Processos próprios para IVA e faturação, manutenção, avarias, assistência e disponibilidade garantida.</w:t>
      </w:r>
    </w:p>
    <w:p>
      <w:pPr>
        <w:pStyle w:val="ListBullet"/>
      </w:pPr>
      <w:r>
        <w:t>Seguro e caução ajustados ao valor, intensidade de utilização e risco operacional de cada equipamento.</w:t>
      </w:r>
    </w:p>
    <w:p>
      <w:pPr>
        <w:pStyle w:val="Heading1"/>
      </w:pPr>
      <w:r>
        <w:t>Arquitetura prevista</w:t>
      </w:r>
    </w:p>
    <w:p>
      <w:r>
        <w:t>Frontend: HTML/CSS/JS</w:t>
        <w:br/>
        <w:t>Backend: Supabase</w:t>
        <w:br/>
        <w:t>Base de dados: PostgreSQL</w:t>
        <w:br/>
        <w:t>Autenticação: Supabase Auth</w:t>
        <w:br/>
        <w:t>Pagamentos: Stripe</w:t>
        <w:br/>
        <w:t>Emails: Resend</w:t>
        <w:br/>
        <w:t>Deploy: Vercel</w:t>
        <w:br/>
        <w:t>Repositório: GitHub</w:t>
        <w:br/>
        <w:t>Desenvolvimento assistido por IA: ChatGPT + Codex</w:t>
      </w:r>
    </w:p>
    <w:p>
      <w:pPr>
        <w:pStyle w:val="Heading1"/>
      </w:pPr>
      <w:r>
        <w:t>Regra de Ouro</w:t>
      </w:r>
    </w:p>
    <w:p>
      <w:r>
        <w:t>Pergunta obrigatória antes de desenvolver qualquer funcionalidade: 'Esta decisão aumenta a confiança, a simplicidade ou a segurança da CleanShare?'</w:t>
      </w:r>
    </w:p>
    <w:p>
      <w:pPr>
        <w:pStyle w:val="Heading1"/>
      </w:pPr>
      <w:r>
        <w:t>Fluxo Pós-Devolução e Gestão de Incidentes</w:t>
      </w:r>
    </w:p>
    <w:p>
      <w:r>
        <w:t>Após a devolução do equipamento, a transação não é considerada concluída de imediato. A CleanShare deverá implementar um processo de confirmação do estado do equipamento, inspirado em boas práticas de plataformas como Airbnb (Resolutions), Turo, Fat Llama e marketplaces com retenção de pagamentos.</w:t>
      </w:r>
    </w:p>
    <w:p>
      <w:pPr>
        <w:pStyle w:val="Heading2"/>
      </w:pPr>
      <w:r>
        <w:t>Fluxo Operacional</w:t>
      </w:r>
    </w:p>
    <w:p>
      <w:r>
        <w:t>Devolução do equipamento</w:t>
        <w:br/>
        <w:t xml:space="preserve">        ↓</w:t>
        <w:br/>
        <w:t>Inspeção pelo proprietário (prazo definido)</w:t>
        <w:br/>
        <w:t xml:space="preserve">        ↓</w:t>
        <w:br/>
        <w:t>Upload de fotografias e confirmação do estado</w:t>
        <w:br/>
        <w:t xml:space="preserve">        ↓</w:t>
        <w:br/>
        <w:t>┌────────────────────────────┐</w:t>
        <w:br/>
        <w:t>│ Equipamento conforme?      │</w:t>
        <w:br/>
        <w:t>└──────────────┬─────────────┘</w:t>
        <w:br/>
        <w:t xml:space="preserve">               │</w:t>
        <w:br/>
        <w:t xml:space="preserve">        Sim    │    Não</w:t>
        <w:br/>
        <w:t xml:space="preserve">         │     │</w:t>
        <w:br/>
        <w:t xml:space="preserve">         ▼     ▼</w:t>
        <w:br/>
        <w:t>Libertação   Abertura de Incidente</w:t>
        <w:br/>
        <w:t>da caução         │</w:t>
        <w:br/>
        <w:t xml:space="preserve">                  ▼</w:t>
        <w:br/>
        <w:t xml:space="preserve">      Recolha de evidências</w:t>
        <w:br/>
        <w:t>(fotografias, vídeos, mensagens, contrato)</w:t>
        <w:br/>
        <w:t xml:space="preserve">                  ▼</w:t>
        <w:br/>
        <w:t>Análise da plataforma segundo regras pré-definidas</w:t>
        <w:br/>
        <w:t xml:space="preserve">                  ▼</w:t>
        <w:br/>
        <w:t>Determinação de responsabilidade</w:t>
        <w:br/>
        <w:t xml:space="preserve">                  ▼</w:t>
        <w:br/>
        <w:t>┌──────────────┬──────────────┬──────────────┐</w:t>
        <w:br/>
        <w:t>│Sem dano      │Dano parcial  │Roubo/perda   │</w:t>
        <w:br/>
        <w:t>└──────┬───────┴──────┬───────┴──────┬───────┘</w:t>
        <w:br/>
        <w:t xml:space="preserve">       ▼              ▼              ▼</w:t>
        <w:br/>
        <w:t xml:space="preserve"> Encerrar      Acionar caução    Acionar seguro</w:t>
        <w:br/>
        <w:t xml:space="preserve"> processo      e/ou pagamento    (se contratado)</w:t>
        <w:br/>
        <w:t xml:space="preserve">                  ▼</w:t>
        <w:br/>
        <w:t xml:space="preserve">           Encerramento do caso</w:t>
      </w:r>
    </w:p>
    <w:p>
      <w:pPr>
        <w:pStyle w:val="Heading2"/>
      </w:pPr>
      <w:r>
        <w:t>Princípios Operacionais</w:t>
      </w:r>
    </w:p>
    <w:p>
      <w:pPr>
        <w:pStyle w:val="ListBullet"/>
      </w:pPr>
      <w:r>
        <w:t>Todo o estado inicial do equipamento deverá ser documentado com fotografias antes do aluguer.</w:t>
      </w:r>
    </w:p>
    <w:p>
      <w:pPr>
        <w:pStyle w:val="ListBullet"/>
      </w:pPr>
      <w:r>
        <w:t>O estado na devolução deverá ser confirmado dentro de um prazo definido (ex.: 24 horas).</w:t>
      </w:r>
    </w:p>
    <w:p>
      <w:pPr>
        <w:pStyle w:val="ListBullet"/>
      </w:pPr>
      <w:r>
        <w:t>A caução permanece retida até existir confirmação do bom estado.</w:t>
      </w:r>
    </w:p>
    <w:p>
      <w:pPr>
        <w:pStyle w:val="ListBullet"/>
      </w:pPr>
      <w:r>
        <w:t>A plataforma atua como mediadora, recolhendo evidências e aplicando regras previamente conhecidas.</w:t>
      </w:r>
    </w:p>
    <w:p>
      <w:pPr>
        <w:pStyle w:val="ListBullet"/>
      </w:pPr>
      <w:r>
        <w:t>O seguro, quando contratado, é acionado apenas para eventos cobertos pela apólice.</w:t>
      </w:r>
    </w:p>
    <w:p>
      <w:pPr>
        <w:pStyle w:val="ListBullet"/>
      </w:pPr>
      <w:r>
        <w:t>Todas as decisões devem ficar registadas para auditoria e eventual revisão.</w:t>
      </w:r>
    </w:p>
    <w:p>
      <w:pPr>
        <w:pStyle w:val="Heading2"/>
      </w:pPr>
      <w:r>
        <w:t>Objetivo Estratégico</w:t>
      </w:r>
    </w:p>
    <w:p>
      <w:r>
        <w:t>Este processo constitui um dos principais diferenciadores da CleanShare. A proposta de valor não é apenas facilitar alugueres, mas reduzir o risco operacional para ambas as partes através de um processo claro, transparente e documentado.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CleanShare Blueprint v1.7</dc:title>
  <dc:subject>Documento estratégico e técnico da CleanShare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2026-09-02T13:01:30Z</dcterms:modified>
  <cp:category/>
</cp:coreProperties>
</file>