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D20" w:rsidRPr="00411D20" w:rsidRDefault="00411D20" w:rsidP="00411D20">
      <w:pPr>
        <w:jc w:val="center"/>
        <w:rPr>
          <w:b/>
          <w:sz w:val="28"/>
        </w:rPr>
      </w:pPr>
      <w:r>
        <w:rPr>
          <w:b/>
          <w:sz w:val="28"/>
        </w:rPr>
        <w:t>Polynomial Functions in Fields of Countable Size</w:t>
      </w:r>
    </w:p>
    <w:p w:rsidR="00DA1AE3" w:rsidRPr="006F5ACB" w:rsidRDefault="00EC3C02" w:rsidP="00EC3C02">
      <w:pPr>
        <w:jc w:val="center"/>
        <w:rPr>
          <w:i/>
        </w:rPr>
      </w:pPr>
      <w:r w:rsidRPr="006F5ACB">
        <w:rPr>
          <w:i/>
        </w:rPr>
        <w:t>Abstract</w:t>
      </w:r>
    </w:p>
    <w:p w:rsidR="00EC3C02" w:rsidRPr="006F5ACB" w:rsidRDefault="00EC3C02" w:rsidP="00EC3C02">
      <w:pPr>
        <w:ind w:firstLine="720"/>
        <w:jc w:val="both"/>
      </w:pPr>
      <w:r w:rsidRPr="006F5ACB">
        <w:t>This paper is a simple proof that shows for any field of countable size, all possible functions can be represented as polynomials with the highest possible degree being one less than the size of the field.</w:t>
      </w:r>
    </w:p>
    <w:p w:rsidR="00EC3C02" w:rsidRPr="006F5ACB" w:rsidRDefault="00EC3C02" w:rsidP="00EC3C02">
      <w:pPr>
        <w:ind w:firstLine="720"/>
        <w:jc w:val="both"/>
      </w:pPr>
    </w:p>
    <w:p w:rsidR="00EC3C02" w:rsidRPr="006F5ACB" w:rsidRDefault="00EC3C02" w:rsidP="00EC3C02">
      <w:pPr>
        <w:ind w:firstLine="720"/>
        <w:jc w:val="center"/>
        <w:rPr>
          <w:i/>
        </w:rPr>
      </w:pPr>
      <w:r w:rsidRPr="006F5ACB">
        <w:rPr>
          <w:i/>
        </w:rPr>
        <w:t>Proof</w:t>
      </w:r>
    </w:p>
    <w:p w:rsidR="00EC3C02" w:rsidRPr="006F5ACB" w:rsidRDefault="00EC3C02" w:rsidP="00EC3C02">
      <w:pPr>
        <w:ind w:firstLine="720"/>
        <w:jc w:val="both"/>
      </w:pPr>
      <w:r w:rsidRPr="006F5ACB">
        <w:t xml:space="preserve">Firstly, given a field </w:t>
      </w:r>
      <w:r w:rsidRPr="006F5ACB">
        <w:rPr>
          <w:b/>
        </w:rPr>
        <w:t>F</w:t>
      </w:r>
      <w:r w:rsidRPr="006F5ACB">
        <w:t xml:space="preserve"> of size </w:t>
      </w:r>
      <w:r w:rsidRPr="006F5ACB">
        <w:rPr>
          <w:i/>
        </w:rPr>
        <w:t>w</w:t>
      </w:r>
      <w:r w:rsidRPr="006F5ACB">
        <w:t xml:space="preserve">, there are exactly </w:t>
      </w:r>
      <w:r w:rsidRPr="006F5ACB">
        <w:rPr>
          <w:i/>
        </w:rPr>
        <w:t>w</w:t>
      </w:r>
      <w:r w:rsidRPr="006F5ACB">
        <w:rPr>
          <w:i/>
          <w:vertAlign w:val="superscript"/>
        </w:rPr>
        <w:t>w</w:t>
      </w:r>
      <w:r w:rsidRPr="006F5ACB">
        <w:rPr>
          <w:i/>
        </w:rPr>
        <w:t xml:space="preserve"> </w:t>
      </w:r>
      <w:r w:rsidRPr="006F5ACB">
        <w:t xml:space="preserve">possible functions </w:t>
      </w:r>
      <w:r w:rsidRPr="006F5ACB">
        <w:rPr>
          <w:i/>
        </w:rPr>
        <w:t>f</w:t>
      </w:r>
      <w:r w:rsidRPr="006F5ACB">
        <w:t xml:space="preserve">: </w:t>
      </w:r>
      <w:r w:rsidRPr="006F5ACB">
        <w:rPr>
          <w:b/>
        </w:rPr>
        <w:t xml:space="preserve">F </w:t>
      </w:r>
      <w:r w:rsidR="005A6764" w:rsidRPr="006F5ACB">
        <w:sym w:font="Wingdings" w:char="F0E0"/>
      </w:r>
      <w:r w:rsidRPr="006F5ACB">
        <w:rPr>
          <w:b/>
        </w:rPr>
        <w:t xml:space="preserve"> </w:t>
      </w:r>
      <w:proofErr w:type="spellStart"/>
      <w:r w:rsidRPr="006F5ACB">
        <w:rPr>
          <w:b/>
        </w:rPr>
        <w:t>F</w:t>
      </w:r>
      <w:proofErr w:type="spellEnd"/>
      <w:r w:rsidRPr="006F5ACB">
        <w:t xml:space="preserve">. This is easily calculable. For every possible input x (of which there a </w:t>
      </w:r>
      <w:r w:rsidRPr="006F5ACB">
        <w:rPr>
          <w:i/>
        </w:rPr>
        <w:t>w</w:t>
      </w:r>
      <w:r w:rsidRPr="006F5ACB">
        <w:t xml:space="preserve">), there are exactly </w:t>
      </w:r>
      <w:r w:rsidRPr="006F5ACB">
        <w:rPr>
          <w:i/>
        </w:rPr>
        <w:t>w</w:t>
      </w:r>
      <w:r w:rsidRPr="006F5ACB">
        <w:t xml:space="preserve"> possible outputs, thus </w:t>
      </w:r>
      <w:r w:rsidRPr="006F5ACB">
        <w:rPr>
          <w:i/>
        </w:rPr>
        <w:t>w</w:t>
      </w:r>
      <w:r w:rsidRPr="006F5ACB">
        <w:rPr>
          <w:i/>
          <w:vertAlign w:val="superscript"/>
        </w:rPr>
        <w:t>w</w:t>
      </w:r>
      <w:r w:rsidRPr="006F5ACB">
        <w:t>.</w:t>
      </w:r>
    </w:p>
    <w:p w:rsidR="00EC3C02" w:rsidRPr="006F5ACB" w:rsidRDefault="00EC3C02" w:rsidP="00EC3C02">
      <w:pPr>
        <w:ind w:firstLine="720"/>
        <w:jc w:val="both"/>
      </w:pPr>
    </w:p>
    <w:p w:rsidR="00EC3C02" w:rsidRPr="006F5ACB" w:rsidRDefault="00EC3C02" w:rsidP="00EC3C02">
      <w:pPr>
        <w:ind w:firstLine="720"/>
        <w:jc w:val="both"/>
      </w:pPr>
      <w:r w:rsidRPr="006F5ACB">
        <w:t xml:space="preserve">Second of all, the amount of polynomials in the field of which the highest degree is </w:t>
      </w:r>
      <w:r w:rsidRPr="006F5ACB">
        <w:rPr>
          <w:i/>
        </w:rPr>
        <w:t>w-1</w:t>
      </w:r>
      <w:r w:rsidRPr="006F5ACB">
        <w:t xml:space="preserve"> is exactly </w:t>
      </w:r>
      <w:r w:rsidRPr="006F5ACB">
        <w:rPr>
          <w:i/>
        </w:rPr>
        <w:t>w</w:t>
      </w:r>
      <w:r w:rsidRPr="006F5ACB">
        <w:rPr>
          <w:i/>
          <w:vertAlign w:val="superscript"/>
        </w:rPr>
        <w:t>w</w:t>
      </w:r>
      <w:r w:rsidRPr="006F5ACB">
        <w:t xml:space="preserve">. Again, this is easy enough to show. The polynomial </w:t>
      </w:r>
      <w:r w:rsidRPr="006F5ACB">
        <w:rPr>
          <w:i/>
        </w:rPr>
        <w:t>p(x)</w:t>
      </w:r>
      <w:r w:rsidRPr="006F5ACB">
        <w:t xml:space="preserve"> can be represented in the following way:</w:t>
      </w:r>
    </w:p>
    <w:p w:rsidR="00EC3C02" w:rsidRPr="006F5ACB" w:rsidRDefault="00EC3C02" w:rsidP="005A6764">
      <w:pPr>
        <w:ind w:firstLine="720"/>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5A6764" w:rsidRPr="006F5ACB" w:rsidRDefault="005A6764" w:rsidP="005A6764">
      <w:pPr>
        <w:ind w:firstLine="720"/>
        <w:jc w:val="both"/>
      </w:pPr>
      <w:r w:rsidRPr="006F5ACB">
        <w:t xml:space="preserve">Where all </w:t>
      </w:r>
      <w:r w:rsidRPr="006F5ACB">
        <w:rPr>
          <w:i/>
        </w:rPr>
        <w:t>a</w:t>
      </w:r>
      <w:r w:rsidRPr="006F5ACB">
        <w:rPr>
          <w:i/>
          <w:vertAlign w:val="subscript"/>
        </w:rPr>
        <w:t>i</w:t>
      </w:r>
      <w:r w:rsidRPr="006F5ACB">
        <w:rPr>
          <w:i/>
        </w:rPr>
        <w:t xml:space="preserve"> </w:t>
      </w:r>
      <w:r w:rsidRPr="006F5ACB">
        <w:rPr>
          <w:rFonts w:ascii="Cambria Math" w:hAnsi="Cambria Math" w:cs="Cambria Math"/>
        </w:rPr>
        <w:t>∈</w:t>
      </w:r>
      <w:r w:rsidRPr="006F5ACB">
        <w:rPr>
          <w:b/>
        </w:rPr>
        <w:t xml:space="preserve"> F</w:t>
      </w:r>
      <w:r w:rsidRPr="006F5ACB">
        <w:t>.</w:t>
      </w:r>
    </w:p>
    <w:p w:rsidR="005A6764" w:rsidRPr="006F5ACB" w:rsidRDefault="005A6764" w:rsidP="005A6764">
      <w:pPr>
        <w:ind w:firstLine="720"/>
        <w:jc w:val="both"/>
      </w:pPr>
      <w:r w:rsidRPr="006F5ACB">
        <w:t xml:space="preserve">Since there are exactly </w:t>
      </w:r>
      <w:r w:rsidRPr="006F5ACB">
        <w:rPr>
          <w:i/>
        </w:rPr>
        <w:t>w</w:t>
      </w:r>
      <w:r w:rsidRPr="006F5ACB">
        <w:t xml:space="preserve"> terms, and each of which has exactly </w:t>
      </w:r>
      <w:r w:rsidRPr="006F5ACB">
        <w:rPr>
          <w:i/>
        </w:rPr>
        <w:t>w</w:t>
      </w:r>
      <w:r w:rsidRPr="006F5ACB">
        <w:t xml:space="preserve"> possible coefficients, then there are exactly </w:t>
      </w:r>
      <w:r w:rsidRPr="006F5ACB">
        <w:rPr>
          <w:i/>
        </w:rPr>
        <w:t>w</w:t>
      </w:r>
      <w:r w:rsidRPr="006F5ACB">
        <w:rPr>
          <w:i/>
          <w:vertAlign w:val="superscript"/>
        </w:rPr>
        <w:t>w</w:t>
      </w:r>
      <w:r w:rsidRPr="006F5ACB">
        <w:t xml:space="preserve"> polynomials.</w:t>
      </w:r>
    </w:p>
    <w:p w:rsidR="005A6764" w:rsidRPr="006F5ACB" w:rsidRDefault="005A6764" w:rsidP="005A6764">
      <w:pPr>
        <w:ind w:firstLine="720"/>
        <w:jc w:val="both"/>
      </w:pPr>
    </w:p>
    <w:p w:rsidR="005A6764" w:rsidRPr="006F5ACB" w:rsidRDefault="005A6764" w:rsidP="005A6764">
      <w:pPr>
        <w:ind w:firstLine="720"/>
        <w:jc w:val="both"/>
      </w:pPr>
      <w:r w:rsidRPr="006F5ACB">
        <w:t xml:space="preserve">Now to show that all the possible functions </w:t>
      </w:r>
      <w:r w:rsidRPr="006F5ACB">
        <w:rPr>
          <w:i/>
        </w:rPr>
        <w:t>f</w:t>
      </w:r>
      <w:r w:rsidRPr="006F5ACB">
        <w:t xml:space="preserve">: </w:t>
      </w:r>
      <w:r w:rsidRPr="006F5ACB">
        <w:rPr>
          <w:b/>
        </w:rPr>
        <w:t>F</w:t>
      </w:r>
      <w:r w:rsidRPr="006F5ACB">
        <w:t xml:space="preserve"> </w:t>
      </w:r>
      <w:r w:rsidRPr="006F5ACB">
        <w:sym w:font="Wingdings" w:char="F0E0"/>
      </w:r>
      <w:r w:rsidRPr="006F5ACB">
        <w:t xml:space="preserve"> </w:t>
      </w:r>
      <w:proofErr w:type="spellStart"/>
      <w:r w:rsidRPr="006F5ACB">
        <w:rPr>
          <w:b/>
        </w:rPr>
        <w:t>F</w:t>
      </w:r>
      <w:proofErr w:type="spellEnd"/>
      <w:r w:rsidRPr="006F5ACB">
        <w:t xml:space="preserve"> can be mapped to a polynomial, one must simply show that all polynomials give a different output from all the others, such that each one has its own outputs, unique to that polynomial. This will show that the polynomials will cover all the possible functions since they will map one to</w:t>
      </w:r>
      <w:r w:rsidR="00924F81" w:rsidRPr="006F5ACB">
        <w:t xml:space="preserve"> one (injective) (all are unique solutions to a given set of outputs of the function) and since they are the same size, bijective (and thus also surjective).</w:t>
      </w:r>
    </w:p>
    <w:p w:rsidR="00924F81" w:rsidRPr="006F5ACB" w:rsidRDefault="00924F81" w:rsidP="005A6764">
      <w:pPr>
        <w:ind w:firstLine="720"/>
        <w:jc w:val="both"/>
      </w:pPr>
    </w:p>
    <w:p w:rsidR="00924F81" w:rsidRPr="006F5ACB" w:rsidRDefault="00924F81" w:rsidP="005A6764">
      <w:pPr>
        <w:ind w:firstLine="720"/>
        <w:jc w:val="both"/>
      </w:pPr>
      <w:r w:rsidRPr="006F5ACB">
        <w:t>Assume not, assume two different polynomials are equivalent. This can be represented in the following manner:</w:t>
      </w:r>
    </w:p>
    <w:p w:rsidR="00924F81" w:rsidRPr="006F5ACB" w:rsidRDefault="00B92B78" w:rsidP="005A6764">
      <w:pPr>
        <w:ind w:firstLine="720"/>
        <w:jc w:val="both"/>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w-1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w-1</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924F81" w:rsidRPr="006F5ACB" w:rsidRDefault="00B92B78" w:rsidP="005A6764">
      <w:pPr>
        <w:ind w:firstLine="720"/>
        <w:jc w:val="both"/>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w-1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e>
          </m:nary>
          <m:r>
            <w:rPr>
              <w:rFonts w:ascii="Cambria Math" w:hAnsi="Cambria Math"/>
            </w:rPr>
            <m:t>=0</m:t>
          </m:r>
        </m:oMath>
      </m:oMathPara>
    </w:p>
    <w:p w:rsidR="00287B85" w:rsidRPr="006F5ACB" w:rsidRDefault="00287B85" w:rsidP="00287B85">
      <w:pPr>
        <w:spacing w:before="240"/>
        <w:ind w:firstLine="720"/>
        <w:jc w:val="both"/>
        <w:rPr>
          <w:rFonts w:cstheme="minorHAnsi"/>
        </w:rPr>
      </w:pPr>
      <w:r w:rsidRPr="006F5ACB">
        <w:rPr>
          <w:rFonts w:cstheme="minorHAnsi"/>
          <w:highlight w:val="yellow"/>
        </w:rPr>
        <w:t>As per the Fundamental Theorem of Algebra</w:t>
      </w:r>
      <w:r w:rsidRPr="006F5ACB">
        <w:rPr>
          <w:rFonts w:cstheme="minorHAnsi"/>
        </w:rPr>
        <w:t xml:space="preserve"> </w:t>
      </w:r>
      <w:r w:rsidRPr="006F5ACB">
        <w:rPr>
          <w:rFonts w:cstheme="minorHAnsi"/>
          <w:highlight w:val="green"/>
        </w:rPr>
        <w:t>(IDK IF IT HOLDS</w:t>
      </w:r>
      <w:r w:rsidR="00B82B91">
        <w:rPr>
          <w:rFonts w:cstheme="minorHAnsi"/>
          <w:highlight w:val="green"/>
        </w:rPr>
        <w:t xml:space="preserve"> for countable fields</w:t>
      </w:r>
      <w:r w:rsidRPr="006F5ACB">
        <w:rPr>
          <w:rFonts w:cstheme="minorHAnsi"/>
          <w:highlight w:val="green"/>
        </w:rPr>
        <w:t>)</w:t>
      </w:r>
      <w:r w:rsidRPr="006F5ACB">
        <w:rPr>
          <w:rFonts w:cstheme="minorHAnsi"/>
        </w:rPr>
        <w:t xml:space="preserve">, any polynomial of degree </w:t>
      </w:r>
      <w:r w:rsidRPr="006F5ACB">
        <w:rPr>
          <w:rFonts w:cstheme="minorHAnsi"/>
          <w:i/>
        </w:rPr>
        <w:t>w-1</w:t>
      </w:r>
      <w:r w:rsidRPr="006F5ACB">
        <w:rPr>
          <w:rFonts w:cstheme="minorHAnsi"/>
        </w:rPr>
        <w:t xml:space="preserve"> will have at most </w:t>
      </w:r>
      <w:r w:rsidRPr="006F5ACB">
        <w:rPr>
          <w:rFonts w:cstheme="minorHAnsi"/>
          <w:i/>
        </w:rPr>
        <w:t>w-1</w:t>
      </w:r>
      <w:r w:rsidRPr="006F5ACB">
        <w:rPr>
          <w:rFonts w:cstheme="minorHAnsi"/>
        </w:rPr>
        <w:t xml:space="preserve"> roots. However since </w:t>
      </w:r>
      <w:r w:rsidRPr="006F5ACB">
        <w:rPr>
          <w:rFonts w:cstheme="minorHAnsi"/>
          <w:i/>
        </w:rPr>
        <w:t xml:space="preserve">x </w:t>
      </w:r>
      <w:r w:rsidRPr="006F5ACB">
        <w:rPr>
          <w:rFonts w:ascii="Cambria Math" w:hAnsi="Cambria Math" w:cs="Cambria Math"/>
        </w:rPr>
        <w:t>∈</w:t>
      </w:r>
      <w:r w:rsidRPr="006F5ACB">
        <w:rPr>
          <w:rFonts w:cstheme="minorHAnsi"/>
        </w:rPr>
        <w:t xml:space="preserve"> </w:t>
      </w:r>
      <w:r w:rsidRPr="006F5ACB">
        <w:rPr>
          <w:rFonts w:cstheme="minorHAnsi"/>
          <w:b/>
        </w:rPr>
        <w:t>F</w:t>
      </w:r>
      <w:r w:rsidRPr="006F5ACB">
        <w:rPr>
          <w:rFonts w:cstheme="minorHAnsi"/>
        </w:rPr>
        <w:t xml:space="preserve">, there are exactly </w:t>
      </w:r>
      <w:r w:rsidRPr="006F5ACB">
        <w:rPr>
          <w:rFonts w:cstheme="minorHAnsi"/>
          <w:i/>
        </w:rPr>
        <w:t>w</w:t>
      </w:r>
      <w:r w:rsidRPr="006F5ACB">
        <w:rPr>
          <w:rFonts w:cstheme="minorHAnsi"/>
        </w:rPr>
        <w:t xml:space="preserve"> values </w:t>
      </w:r>
      <w:r w:rsidRPr="006F5ACB">
        <w:rPr>
          <w:rFonts w:cstheme="minorHAnsi"/>
          <w:i/>
        </w:rPr>
        <w:t>x</w:t>
      </w:r>
      <w:r w:rsidRPr="006F5ACB">
        <w:rPr>
          <w:rFonts w:cstheme="minorHAnsi"/>
        </w:rPr>
        <w:t xml:space="preserve"> can take, the </w:t>
      </w:r>
      <w:r w:rsidRPr="006F5ACB">
        <w:rPr>
          <w:rFonts w:cstheme="minorHAnsi"/>
        </w:rPr>
        <w:lastRenderedPageBreak/>
        <w:t xml:space="preserve">function above has </w:t>
      </w:r>
      <w:r w:rsidRPr="006F5ACB">
        <w:rPr>
          <w:rFonts w:cstheme="minorHAnsi"/>
          <w:i/>
        </w:rPr>
        <w:t>w</w:t>
      </w:r>
      <w:r w:rsidRPr="006F5ACB">
        <w:rPr>
          <w:rFonts w:cstheme="minorHAnsi"/>
        </w:rPr>
        <w:t xml:space="preserve"> roots, which is a contradiction, and thus they cannot be equal unless and the terms </w:t>
      </w:r>
      <w:r w:rsidRPr="006F5ACB">
        <w:rPr>
          <w:rFonts w:cstheme="minorHAnsi"/>
          <w:i/>
        </w:rPr>
        <w:t>(a</w:t>
      </w:r>
      <w:r w:rsidRPr="006F5ACB">
        <w:rPr>
          <w:rFonts w:cstheme="minorHAnsi"/>
          <w:i/>
          <w:vertAlign w:val="subscript"/>
        </w:rPr>
        <w:t>i</w:t>
      </w:r>
      <w:r w:rsidR="008534A9">
        <w:rPr>
          <w:rFonts w:cstheme="minorHAnsi"/>
          <w:i/>
        </w:rPr>
        <w:t xml:space="preserve"> </w:t>
      </w:r>
      <w:r w:rsidRPr="006F5ACB">
        <w:rPr>
          <w:rFonts w:cstheme="minorHAnsi"/>
          <w:i/>
        </w:rPr>
        <w:t>-</w:t>
      </w:r>
      <w:r w:rsidR="008534A9">
        <w:rPr>
          <w:rFonts w:cstheme="minorHAnsi"/>
          <w:i/>
        </w:rPr>
        <w:t xml:space="preserve"> </w:t>
      </w:r>
      <w:r w:rsidRPr="006F5ACB">
        <w:rPr>
          <w:rFonts w:cstheme="minorHAnsi"/>
          <w:i/>
        </w:rPr>
        <w:t>b</w:t>
      </w:r>
      <w:r w:rsidRPr="006F5ACB">
        <w:rPr>
          <w:rFonts w:cstheme="minorHAnsi"/>
          <w:i/>
          <w:vertAlign w:val="subscript"/>
        </w:rPr>
        <w:t>i</w:t>
      </w:r>
      <w:r w:rsidRPr="006F5ACB">
        <w:rPr>
          <w:rFonts w:cstheme="minorHAnsi"/>
          <w:i/>
        </w:rPr>
        <w:t>)</w:t>
      </w:r>
      <w:r w:rsidR="008534A9">
        <w:rPr>
          <w:rFonts w:cstheme="minorHAnsi"/>
          <w:i/>
        </w:rPr>
        <w:t xml:space="preserve"> </w:t>
      </w:r>
      <w:r w:rsidRPr="006F5ACB">
        <w:rPr>
          <w:rFonts w:cstheme="minorHAnsi"/>
          <w:i/>
        </w:rPr>
        <w:t>=</w:t>
      </w:r>
      <w:r w:rsidR="008534A9">
        <w:rPr>
          <w:rFonts w:cstheme="minorHAnsi"/>
          <w:i/>
        </w:rPr>
        <w:t xml:space="preserve"> </w:t>
      </w:r>
      <w:r w:rsidRPr="006F5ACB">
        <w:rPr>
          <w:rFonts w:cstheme="minorHAnsi"/>
          <w:i/>
        </w:rPr>
        <w:t>0</w:t>
      </w:r>
      <w:r w:rsidRPr="006F5ACB">
        <w:rPr>
          <w:rFonts w:cstheme="minorHAnsi"/>
        </w:rPr>
        <w:t>, which would imply they are the same polynomial.</w:t>
      </w:r>
    </w:p>
    <w:p w:rsidR="00287B85" w:rsidRPr="006F5ACB" w:rsidRDefault="00287B85" w:rsidP="00287B85">
      <w:pPr>
        <w:spacing w:before="240"/>
        <w:ind w:firstLine="720"/>
        <w:jc w:val="both"/>
        <w:rPr>
          <w:rFonts w:cstheme="minorHAnsi"/>
        </w:rPr>
      </w:pPr>
      <w:r w:rsidRPr="006F5ACB">
        <w:rPr>
          <w:rFonts w:cstheme="minorHAnsi"/>
        </w:rPr>
        <w:t xml:space="preserve">Thus there are </w:t>
      </w:r>
      <w:r w:rsidRPr="006F5ACB">
        <w:rPr>
          <w:rFonts w:cstheme="minorHAnsi"/>
          <w:i/>
        </w:rPr>
        <w:t>w</w:t>
      </w:r>
      <w:r w:rsidRPr="006F5ACB">
        <w:rPr>
          <w:rFonts w:cstheme="minorHAnsi"/>
          <w:i/>
          <w:vertAlign w:val="superscript"/>
        </w:rPr>
        <w:t>w</w:t>
      </w:r>
      <w:r w:rsidRPr="006F5ACB">
        <w:rPr>
          <w:rFonts w:cstheme="minorHAnsi"/>
        </w:rPr>
        <w:t xml:space="preserve"> </w:t>
      </w:r>
      <w:r w:rsidRPr="006F5ACB">
        <w:rPr>
          <w:rFonts w:cstheme="minorHAnsi"/>
          <w:u w:val="single"/>
        </w:rPr>
        <w:t>different</w:t>
      </w:r>
      <w:r w:rsidRPr="006F5ACB">
        <w:rPr>
          <w:rFonts w:cstheme="minorHAnsi"/>
        </w:rPr>
        <w:t xml:space="preserve"> polynomials, and there are exactly</w:t>
      </w:r>
      <w:r w:rsidRPr="006F5ACB">
        <w:rPr>
          <w:rFonts w:cstheme="minorHAnsi"/>
          <w:i/>
        </w:rPr>
        <w:t xml:space="preserve"> w</w:t>
      </w:r>
      <w:r w:rsidRPr="006F5ACB">
        <w:rPr>
          <w:rFonts w:cstheme="minorHAnsi"/>
          <w:i/>
          <w:vertAlign w:val="superscript"/>
        </w:rPr>
        <w:t>w</w:t>
      </w:r>
      <w:r w:rsidRPr="006F5ACB">
        <w:rPr>
          <w:rFonts w:cstheme="minorHAnsi"/>
        </w:rPr>
        <w:t xml:space="preserve"> </w:t>
      </w:r>
      <w:r w:rsidRPr="006F5ACB">
        <w:rPr>
          <w:rFonts w:cstheme="minorHAnsi"/>
          <w:u w:val="single"/>
        </w:rPr>
        <w:t>different</w:t>
      </w:r>
      <w:r w:rsidRPr="006F5ACB">
        <w:rPr>
          <w:rFonts w:cstheme="minorHAnsi"/>
        </w:rPr>
        <w:t xml:space="preserve"> functions. Therefore every function must be assigned a unique polynomial, and vice versa, every polynomial must be assigned a unique function.</w:t>
      </w:r>
    </w:p>
    <w:p w:rsidR="00287B85" w:rsidRPr="006F5ACB" w:rsidRDefault="00287B85" w:rsidP="00287B85">
      <w:pPr>
        <w:spacing w:before="240"/>
        <w:ind w:firstLine="720"/>
        <w:jc w:val="both"/>
        <w:rPr>
          <w:rFonts w:cstheme="minorHAnsi"/>
        </w:rPr>
      </w:pPr>
      <w:r w:rsidRPr="006F5ACB">
        <w:rPr>
          <w:rFonts w:cstheme="minorHAnsi"/>
        </w:rPr>
        <w:t xml:space="preserve">This means that all functions can be represented by polynomials (in fields of countable size), which implies that anything proven to be true to all polynomials of degree </w:t>
      </w:r>
      <w:r w:rsidRPr="006F5ACB">
        <w:rPr>
          <w:rFonts w:cstheme="minorHAnsi"/>
          <w:i/>
        </w:rPr>
        <w:t>w-1</w:t>
      </w:r>
      <w:r w:rsidRPr="006F5ACB">
        <w:rPr>
          <w:rFonts w:cstheme="minorHAnsi"/>
        </w:rPr>
        <w:t xml:space="preserve"> in a field of size </w:t>
      </w:r>
      <w:r w:rsidRPr="006F5ACB">
        <w:rPr>
          <w:rFonts w:cstheme="minorHAnsi"/>
          <w:i/>
        </w:rPr>
        <w:t>w</w:t>
      </w:r>
      <w:r w:rsidRPr="006F5ACB">
        <w:rPr>
          <w:rFonts w:cstheme="minorHAnsi"/>
        </w:rPr>
        <w:t xml:space="preserve"> must hold true for all functions possible in that field.</w:t>
      </w:r>
    </w:p>
    <w:p w:rsidR="000703C7" w:rsidRPr="006F5ACB" w:rsidRDefault="000703C7" w:rsidP="00287B85">
      <w:pPr>
        <w:spacing w:before="240"/>
        <w:ind w:firstLine="720"/>
        <w:jc w:val="both"/>
        <w:rPr>
          <w:rFonts w:cstheme="minorHAnsi"/>
        </w:rPr>
      </w:pPr>
      <w:r w:rsidRPr="006F5ACB">
        <w:rPr>
          <w:rFonts w:cstheme="minorHAnsi"/>
        </w:rPr>
        <w:t xml:space="preserve">For example, in a Galois Field of 5, the function </w:t>
      </w:r>
      <w:r w:rsidRPr="006F5ACB">
        <w:rPr>
          <w:rFonts w:cstheme="minorHAnsi"/>
          <w:i/>
        </w:rPr>
        <w:t>2</w:t>
      </w:r>
      <w:r w:rsidRPr="006F5ACB">
        <w:rPr>
          <w:rFonts w:cstheme="minorHAnsi"/>
          <w:i/>
          <w:vertAlign w:val="superscript"/>
        </w:rPr>
        <w:t>x</w:t>
      </w:r>
      <w:r w:rsidRPr="006F5ACB">
        <w:rPr>
          <w:rFonts w:cstheme="minorHAnsi"/>
        </w:rPr>
        <w:t xml:space="preserve"> can be represented as a polynomial of form ax</w:t>
      </w:r>
      <w:r w:rsidRPr="006F5ACB">
        <w:rPr>
          <w:rFonts w:cstheme="minorHAnsi"/>
          <w:vertAlign w:val="superscript"/>
        </w:rPr>
        <w:t>4</w:t>
      </w:r>
      <w:r w:rsidRPr="006F5ACB">
        <w:rPr>
          <w:rFonts w:cstheme="minorHAnsi"/>
        </w:rPr>
        <w:t>+bx</w:t>
      </w:r>
      <w:r w:rsidRPr="006F5ACB">
        <w:rPr>
          <w:rFonts w:cstheme="minorHAnsi"/>
          <w:vertAlign w:val="superscript"/>
        </w:rPr>
        <w:t>3</w:t>
      </w:r>
      <w:r w:rsidRPr="006F5ACB">
        <w:rPr>
          <w:rFonts w:cstheme="minorHAnsi"/>
        </w:rPr>
        <w:t>+cx</w:t>
      </w:r>
      <w:r w:rsidRPr="006F5ACB">
        <w:rPr>
          <w:rFonts w:cstheme="minorHAnsi"/>
          <w:vertAlign w:val="superscript"/>
        </w:rPr>
        <w:t>2</w:t>
      </w:r>
      <w:r w:rsidRPr="006F5ACB">
        <w:rPr>
          <w:rFonts w:cstheme="minorHAnsi"/>
        </w:rPr>
        <w:t>+dx+e</w:t>
      </w:r>
    </w:p>
    <w:tbl>
      <w:tblPr>
        <w:tblStyle w:val="TableGrid"/>
        <w:tblW w:w="0" w:type="auto"/>
        <w:tblInd w:w="4217" w:type="dxa"/>
        <w:tblLook w:val="04A0" w:firstRow="1" w:lastRow="0" w:firstColumn="1" w:lastColumn="0" w:noHBand="0" w:noVBand="1"/>
      </w:tblPr>
      <w:tblGrid>
        <w:gridCol w:w="456"/>
        <w:gridCol w:w="456"/>
      </w:tblGrid>
      <w:tr w:rsidR="000703C7" w:rsidRPr="006F5ACB" w:rsidTr="000703C7">
        <w:trPr>
          <w:trHeight w:val="390"/>
        </w:trPr>
        <w:tc>
          <w:tcPr>
            <w:tcW w:w="456" w:type="dxa"/>
          </w:tcPr>
          <w:p w:rsidR="000703C7" w:rsidRPr="006F5ACB" w:rsidRDefault="000703C7" w:rsidP="000703C7">
            <w:pPr>
              <w:spacing w:before="240"/>
              <w:jc w:val="center"/>
              <w:rPr>
                <w:rFonts w:cstheme="minorHAnsi"/>
              </w:rPr>
            </w:pPr>
            <w:r w:rsidRPr="006F5ACB">
              <w:rPr>
                <w:rFonts w:cstheme="minorHAnsi"/>
              </w:rPr>
              <w:t>X</w:t>
            </w:r>
          </w:p>
        </w:tc>
        <w:tc>
          <w:tcPr>
            <w:tcW w:w="456" w:type="dxa"/>
          </w:tcPr>
          <w:p w:rsidR="000703C7" w:rsidRPr="006F5ACB" w:rsidRDefault="000703C7" w:rsidP="000703C7">
            <w:pPr>
              <w:spacing w:before="240"/>
              <w:jc w:val="center"/>
              <w:rPr>
                <w:rFonts w:cstheme="minorHAnsi"/>
              </w:rPr>
            </w:pPr>
            <w:r w:rsidRPr="006F5ACB">
              <w:rPr>
                <w:rFonts w:cstheme="minorHAnsi"/>
              </w:rPr>
              <w:t>2</w:t>
            </w:r>
            <w:r w:rsidRPr="006F5ACB">
              <w:rPr>
                <w:rFonts w:cstheme="minorHAnsi"/>
                <w:vertAlign w:val="superscript"/>
              </w:rPr>
              <w:t>x</w:t>
            </w:r>
          </w:p>
        </w:tc>
      </w:tr>
      <w:tr w:rsidR="000703C7" w:rsidRPr="006F5ACB" w:rsidTr="000703C7">
        <w:trPr>
          <w:trHeight w:val="379"/>
        </w:trPr>
        <w:tc>
          <w:tcPr>
            <w:tcW w:w="456" w:type="dxa"/>
          </w:tcPr>
          <w:p w:rsidR="000703C7" w:rsidRPr="006F5ACB" w:rsidRDefault="000703C7" w:rsidP="000703C7">
            <w:pPr>
              <w:spacing w:before="240"/>
              <w:jc w:val="center"/>
              <w:rPr>
                <w:rFonts w:cstheme="minorHAnsi"/>
              </w:rPr>
            </w:pPr>
            <w:r w:rsidRPr="006F5ACB">
              <w:rPr>
                <w:rFonts w:cstheme="minorHAnsi"/>
              </w:rPr>
              <w:t>0</w:t>
            </w:r>
          </w:p>
        </w:tc>
        <w:tc>
          <w:tcPr>
            <w:tcW w:w="456" w:type="dxa"/>
          </w:tcPr>
          <w:p w:rsidR="000703C7" w:rsidRPr="006F5ACB" w:rsidRDefault="000703C7" w:rsidP="000703C7">
            <w:pPr>
              <w:spacing w:before="240"/>
              <w:jc w:val="center"/>
              <w:rPr>
                <w:rFonts w:cstheme="minorHAnsi"/>
              </w:rPr>
            </w:pPr>
            <w:r w:rsidRPr="006F5ACB">
              <w:rPr>
                <w:rFonts w:cstheme="minorHAnsi"/>
              </w:rPr>
              <w:t>1</w:t>
            </w:r>
          </w:p>
        </w:tc>
      </w:tr>
      <w:tr w:rsidR="000703C7" w:rsidRPr="006F5ACB" w:rsidTr="000703C7">
        <w:trPr>
          <w:trHeight w:val="390"/>
        </w:trPr>
        <w:tc>
          <w:tcPr>
            <w:tcW w:w="456" w:type="dxa"/>
          </w:tcPr>
          <w:p w:rsidR="000703C7" w:rsidRPr="006F5ACB" w:rsidRDefault="000703C7" w:rsidP="000703C7">
            <w:pPr>
              <w:spacing w:before="240"/>
              <w:jc w:val="center"/>
              <w:rPr>
                <w:rFonts w:cstheme="minorHAnsi"/>
              </w:rPr>
            </w:pPr>
            <w:r w:rsidRPr="006F5ACB">
              <w:rPr>
                <w:rFonts w:cstheme="minorHAnsi"/>
              </w:rPr>
              <w:t>1</w:t>
            </w:r>
          </w:p>
        </w:tc>
        <w:tc>
          <w:tcPr>
            <w:tcW w:w="456" w:type="dxa"/>
          </w:tcPr>
          <w:p w:rsidR="000703C7" w:rsidRPr="006F5ACB" w:rsidRDefault="000703C7" w:rsidP="000703C7">
            <w:pPr>
              <w:spacing w:before="240"/>
              <w:jc w:val="center"/>
              <w:rPr>
                <w:rFonts w:cstheme="minorHAnsi"/>
              </w:rPr>
            </w:pPr>
            <w:r w:rsidRPr="006F5ACB">
              <w:rPr>
                <w:rFonts w:cstheme="minorHAnsi"/>
              </w:rPr>
              <w:t>2</w:t>
            </w:r>
          </w:p>
        </w:tc>
      </w:tr>
      <w:tr w:rsidR="000703C7" w:rsidRPr="006F5ACB" w:rsidTr="000703C7">
        <w:trPr>
          <w:trHeight w:val="379"/>
        </w:trPr>
        <w:tc>
          <w:tcPr>
            <w:tcW w:w="456" w:type="dxa"/>
          </w:tcPr>
          <w:p w:rsidR="000703C7" w:rsidRPr="006F5ACB" w:rsidRDefault="000703C7" w:rsidP="000703C7">
            <w:pPr>
              <w:spacing w:before="240"/>
              <w:jc w:val="center"/>
              <w:rPr>
                <w:rFonts w:cstheme="minorHAnsi"/>
              </w:rPr>
            </w:pPr>
            <w:r w:rsidRPr="006F5ACB">
              <w:rPr>
                <w:rFonts w:cstheme="minorHAnsi"/>
              </w:rPr>
              <w:t>2</w:t>
            </w:r>
          </w:p>
        </w:tc>
        <w:tc>
          <w:tcPr>
            <w:tcW w:w="456" w:type="dxa"/>
          </w:tcPr>
          <w:p w:rsidR="000703C7" w:rsidRPr="006F5ACB" w:rsidRDefault="000703C7" w:rsidP="000703C7">
            <w:pPr>
              <w:spacing w:before="240"/>
              <w:jc w:val="center"/>
              <w:rPr>
                <w:rFonts w:cstheme="minorHAnsi"/>
              </w:rPr>
            </w:pPr>
            <w:r w:rsidRPr="006F5ACB">
              <w:rPr>
                <w:rFonts w:cstheme="minorHAnsi"/>
              </w:rPr>
              <w:t>4</w:t>
            </w:r>
          </w:p>
        </w:tc>
      </w:tr>
      <w:tr w:rsidR="000703C7" w:rsidRPr="006F5ACB" w:rsidTr="000703C7">
        <w:trPr>
          <w:trHeight w:val="390"/>
        </w:trPr>
        <w:tc>
          <w:tcPr>
            <w:tcW w:w="456" w:type="dxa"/>
          </w:tcPr>
          <w:p w:rsidR="000703C7" w:rsidRPr="006F5ACB" w:rsidRDefault="000703C7" w:rsidP="000703C7">
            <w:pPr>
              <w:spacing w:before="240"/>
              <w:jc w:val="center"/>
              <w:rPr>
                <w:rFonts w:cstheme="minorHAnsi"/>
              </w:rPr>
            </w:pPr>
            <w:r w:rsidRPr="006F5ACB">
              <w:rPr>
                <w:rFonts w:cstheme="minorHAnsi"/>
              </w:rPr>
              <w:t>3</w:t>
            </w:r>
          </w:p>
        </w:tc>
        <w:tc>
          <w:tcPr>
            <w:tcW w:w="456" w:type="dxa"/>
          </w:tcPr>
          <w:p w:rsidR="000703C7" w:rsidRPr="006F5ACB" w:rsidRDefault="000703C7" w:rsidP="000703C7">
            <w:pPr>
              <w:spacing w:before="240"/>
              <w:jc w:val="center"/>
              <w:rPr>
                <w:rFonts w:cstheme="minorHAnsi"/>
              </w:rPr>
            </w:pPr>
            <w:r w:rsidRPr="006F5ACB">
              <w:rPr>
                <w:rFonts w:cstheme="minorHAnsi"/>
              </w:rPr>
              <w:t>3</w:t>
            </w:r>
          </w:p>
        </w:tc>
      </w:tr>
      <w:tr w:rsidR="000703C7" w:rsidRPr="006F5ACB" w:rsidTr="000703C7">
        <w:trPr>
          <w:trHeight w:val="379"/>
        </w:trPr>
        <w:tc>
          <w:tcPr>
            <w:tcW w:w="456" w:type="dxa"/>
          </w:tcPr>
          <w:p w:rsidR="000703C7" w:rsidRPr="006F5ACB" w:rsidRDefault="000703C7" w:rsidP="000703C7">
            <w:pPr>
              <w:spacing w:before="240"/>
              <w:jc w:val="center"/>
              <w:rPr>
                <w:rFonts w:cstheme="minorHAnsi"/>
              </w:rPr>
            </w:pPr>
            <w:r w:rsidRPr="006F5ACB">
              <w:rPr>
                <w:rFonts w:cstheme="minorHAnsi"/>
              </w:rPr>
              <w:t>4</w:t>
            </w:r>
          </w:p>
        </w:tc>
        <w:tc>
          <w:tcPr>
            <w:tcW w:w="456" w:type="dxa"/>
          </w:tcPr>
          <w:p w:rsidR="000703C7" w:rsidRPr="006F5ACB" w:rsidRDefault="000703C7" w:rsidP="000703C7">
            <w:pPr>
              <w:spacing w:before="240"/>
              <w:jc w:val="center"/>
              <w:rPr>
                <w:rFonts w:cstheme="minorHAnsi"/>
              </w:rPr>
            </w:pPr>
            <w:r w:rsidRPr="006F5ACB">
              <w:rPr>
                <w:rFonts w:cstheme="minorHAnsi"/>
              </w:rPr>
              <w:t>1</w:t>
            </w:r>
          </w:p>
        </w:tc>
      </w:tr>
    </w:tbl>
    <w:p w:rsidR="000703C7" w:rsidRPr="006F5ACB" w:rsidRDefault="000703C7" w:rsidP="000703C7">
      <w:pPr>
        <w:spacing w:before="240"/>
        <w:ind w:firstLine="720"/>
        <w:rPr>
          <w:rFonts w:cstheme="minorHAnsi"/>
        </w:rPr>
      </w:pPr>
      <w:r w:rsidRPr="006F5ACB">
        <w:rPr>
          <w:rFonts w:cstheme="minorHAnsi"/>
        </w:rPr>
        <w:t>Knowing the maximal degree of the polynomial is 4, we get:</w:t>
      </w:r>
    </w:p>
    <w:p w:rsidR="000703C7" w:rsidRPr="006F5ACB" w:rsidRDefault="000703C7" w:rsidP="000703C7">
      <w:pPr>
        <w:spacing w:before="240"/>
        <w:ind w:firstLine="720"/>
        <w:rPr>
          <w:rFonts w:cstheme="minorHAnsi"/>
        </w:rPr>
      </w:pPr>
      <w:r w:rsidRPr="006F5ACB">
        <w:rPr>
          <w:rFonts w:cstheme="minorHAnsi"/>
        </w:rPr>
        <w:tab/>
        <w:t>If x=0:</w:t>
      </w:r>
      <w:r w:rsidRPr="006F5ACB">
        <w:rPr>
          <w:rFonts w:cstheme="minorHAnsi"/>
        </w:rPr>
        <w:tab/>
      </w:r>
      <w:r w:rsidRPr="006F5ACB">
        <w:rPr>
          <w:rFonts w:cstheme="minorHAnsi"/>
        </w:rPr>
        <w:tab/>
        <w:t>a0+b0+c0+d0+e = 1; e=1</w:t>
      </w:r>
    </w:p>
    <w:p w:rsidR="000703C7" w:rsidRPr="006F5ACB" w:rsidRDefault="000703C7" w:rsidP="000703C7">
      <w:pPr>
        <w:spacing w:before="240"/>
        <w:ind w:firstLine="720"/>
        <w:rPr>
          <w:rFonts w:cstheme="minorHAnsi"/>
        </w:rPr>
      </w:pPr>
      <w:r w:rsidRPr="006F5ACB">
        <w:rPr>
          <w:rFonts w:cstheme="minorHAnsi"/>
        </w:rPr>
        <w:tab/>
        <w:t>If x=1:</w:t>
      </w:r>
      <w:r w:rsidRPr="006F5ACB">
        <w:rPr>
          <w:rFonts w:cstheme="minorHAnsi"/>
        </w:rPr>
        <w:tab/>
      </w:r>
      <w:r w:rsidRPr="006F5ACB">
        <w:rPr>
          <w:rFonts w:cstheme="minorHAnsi"/>
        </w:rPr>
        <w:tab/>
        <w:t>a1+b1+c1+d1+e = 2</w:t>
      </w:r>
    </w:p>
    <w:p w:rsidR="00D328F3" w:rsidRDefault="000703C7" w:rsidP="00D328F3">
      <w:pPr>
        <w:spacing w:before="240"/>
        <w:ind w:firstLine="720"/>
        <w:rPr>
          <w:rFonts w:cstheme="minorHAnsi"/>
        </w:rPr>
      </w:pPr>
      <w:r w:rsidRPr="006F5ACB">
        <w:rPr>
          <w:rFonts w:cstheme="minorHAnsi"/>
        </w:rPr>
        <w:t>So on and so forth, resulting in the following matrix</w:t>
      </w:r>
      <w:r w:rsidR="006F5ACB" w:rsidRPr="006F5ACB">
        <w:rPr>
          <w:rFonts w:cstheme="minorHAnsi"/>
        </w:rPr>
        <w:t xml:space="preserve"> equation</w:t>
      </w:r>
      <w:r w:rsidRPr="006F5ACB">
        <w:rPr>
          <w:rFonts w:cstheme="minorHAnsi"/>
        </w:rPr>
        <w:t>:</w:t>
      </w:r>
    </w:p>
    <w:p w:rsidR="000703C7" w:rsidRPr="00D328F3" w:rsidRDefault="00D328F3" w:rsidP="00D328F3">
      <w:pPr>
        <w:spacing w:before="240"/>
        <w:ind w:firstLine="720"/>
        <w:rPr>
          <w:rFonts w:cstheme="minorHAnsi"/>
          <w:lang w:val="fr-CA"/>
        </w:rPr>
      </w:pPr>
      <w:r>
        <w:rPr>
          <w:rFonts w:cstheme="minorHAnsi"/>
          <w:noProof/>
        </w:rPr>
        <w:drawing>
          <wp:inline distT="0" distB="0" distL="0" distR="0">
            <wp:extent cx="1485900" cy="1057275"/>
            <wp:effectExtent l="0" t="0" r="0" b="9525"/>
            <wp:docPr id="3" name="Picture 3" descr="D:\Users\Jorge\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Jorge\Downloads\CodeCogsEq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inline>
        </w:drawing>
      </w:r>
      <w:r>
        <w:rPr>
          <w:rFonts w:cstheme="minorHAnsi"/>
          <w:noProof/>
        </w:rPr>
        <w:drawing>
          <wp:inline distT="0" distB="0" distL="0" distR="0">
            <wp:extent cx="838200" cy="1057275"/>
            <wp:effectExtent l="0" t="0" r="0" b="9525"/>
            <wp:docPr id="5" name="Picture 5" descr="D:\Users\Jorg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Jorge\Downloads\CodeCogsEqn (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1057275"/>
                    </a:xfrm>
                    <a:prstGeom prst="rect">
                      <a:avLst/>
                    </a:prstGeom>
                    <a:noFill/>
                    <a:ln>
                      <a:noFill/>
                    </a:ln>
                  </pic:spPr>
                </pic:pic>
              </a:graphicData>
            </a:graphic>
          </wp:inline>
        </w:drawing>
      </w:r>
    </w:p>
    <w:p w:rsidR="006F5ACB" w:rsidRDefault="006F5ACB" w:rsidP="000703C7">
      <w:pPr>
        <w:spacing w:before="240"/>
        <w:ind w:firstLine="720"/>
        <w:rPr>
          <w:rFonts w:cstheme="minorHAnsi"/>
        </w:rPr>
      </w:pPr>
      <w:r w:rsidRPr="006F5ACB">
        <w:rPr>
          <w:rFonts w:cstheme="minorHAnsi"/>
        </w:rPr>
        <w:t xml:space="preserve">Thus the resulting </w:t>
      </w:r>
      <w:r>
        <w:rPr>
          <w:rFonts w:cstheme="minorHAnsi"/>
        </w:rPr>
        <w:t xml:space="preserve">coefficients are 1/4, -13/6, 21/4,-7/3, 1, respectively. However, these are not properly in the field. The 1/4 for example signifies the number that multiplied by 4 gives 1, which in this field is 4. For -13/6, we first perform the modulus operation on the numerator, giving us 2/6, we then perform modulus on the denominator, giving us 2/1, which means the number that multiplied by 1 gives 2, which is 2. The same follows for the others, giving 4, 1, </w:t>
      </w:r>
      <w:proofErr w:type="gramStart"/>
      <w:r>
        <w:rPr>
          <w:rFonts w:cstheme="minorHAnsi"/>
        </w:rPr>
        <w:t>1</w:t>
      </w:r>
      <w:proofErr w:type="gramEnd"/>
      <w:r>
        <w:rPr>
          <w:rFonts w:cstheme="minorHAnsi"/>
        </w:rPr>
        <w:t xml:space="preserve"> respectively. Thus the polynomial is:</w:t>
      </w:r>
    </w:p>
    <w:p w:rsidR="006F5ACB" w:rsidRPr="006F5ACB" w:rsidRDefault="00B92B78" w:rsidP="000703C7">
      <w:pPr>
        <w:spacing w:before="240"/>
        <w:ind w:firstLine="720"/>
        <w:rPr>
          <w:rFonts w:cstheme="minorHAnsi"/>
        </w:rPr>
      </w:pPr>
      <m:oMathPara>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x</m:t>
              </m:r>
            </m:sup>
          </m:sSup>
          <m:r>
            <w:rPr>
              <w:rFonts w:ascii="Cambria Math" w:hAnsi="Cambria Math" w:cstheme="minorHAnsi"/>
            </w:rPr>
            <m:t>=4</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+4</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+1x+1</m:t>
          </m:r>
        </m:oMath>
      </m:oMathPara>
    </w:p>
    <w:p w:rsidR="006F5ACB" w:rsidRDefault="006F5ACB" w:rsidP="000703C7">
      <w:pPr>
        <w:spacing w:before="240"/>
        <w:ind w:firstLine="720"/>
        <w:rPr>
          <w:rFonts w:cstheme="minorHAnsi"/>
        </w:rPr>
      </w:pPr>
    </w:p>
    <w:tbl>
      <w:tblPr>
        <w:tblStyle w:val="TableGrid"/>
        <w:tblW w:w="0" w:type="auto"/>
        <w:tblInd w:w="3317" w:type="dxa"/>
        <w:tblLook w:val="04A0" w:firstRow="1" w:lastRow="0" w:firstColumn="1" w:lastColumn="0" w:noHBand="0" w:noVBand="1"/>
      </w:tblPr>
      <w:tblGrid>
        <w:gridCol w:w="456"/>
        <w:gridCol w:w="2257"/>
      </w:tblGrid>
      <w:tr w:rsidR="006F5ACB" w:rsidRPr="006F5ACB" w:rsidTr="006F5ACB">
        <w:trPr>
          <w:trHeight w:val="390"/>
        </w:trPr>
        <w:tc>
          <w:tcPr>
            <w:tcW w:w="456" w:type="dxa"/>
          </w:tcPr>
          <w:p w:rsidR="006F5ACB" w:rsidRPr="006F5ACB" w:rsidRDefault="006F5ACB" w:rsidP="00453A2A">
            <w:pPr>
              <w:spacing w:before="240"/>
              <w:jc w:val="center"/>
              <w:rPr>
                <w:rFonts w:cstheme="minorHAnsi"/>
              </w:rPr>
            </w:pPr>
            <w:r w:rsidRPr="006F5ACB">
              <w:rPr>
                <w:rFonts w:cstheme="minorHAnsi"/>
              </w:rPr>
              <w:t>X</w:t>
            </w:r>
          </w:p>
        </w:tc>
        <w:tc>
          <w:tcPr>
            <w:tcW w:w="2257" w:type="dxa"/>
          </w:tcPr>
          <w:p w:rsidR="006F5ACB" w:rsidRPr="006F5ACB" w:rsidRDefault="006F5ACB" w:rsidP="006F5ACB">
            <w:pPr>
              <w:spacing w:before="240"/>
              <w:jc w:val="center"/>
              <w:rPr>
                <w:rFonts w:cstheme="minorHAnsi"/>
              </w:rPr>
            </w:pPr>
            <w:r w:rsidRPr="006F5ACB">
              <w:rPr>
                <w:rFonts w:cstheme="minorHAnsi"/>
              </w:rPr>
              <w:t>4x</w:t>
            </w:r>
            <w:r w:rsidRPr="006F5ACB">
              <w:rPr>
                <w:rFonts w:cstheme="minorHAnsi"/>
                <w:vertAlign w:val="superscript"/>
              </w:rPr>
              <w:t>4</w:t>
            </w:r>
            <w:r w:rsidRPr="006F5ACB">
              <w:rPr>
                <w:rFonts w:cstheme="minorHAnsi"/>
              </w:rPr>
              <w:t>+2x</w:t>
            </w:r>
            <w:r w:rsidRPr="006F5ACB">
              <w:rPr>
                <w:rFonts w:cstheme="minorHAnsi"/>
                <w:vertAlign w:val="superscript"/>
              </w:rPr>
              <w:t>3</w:t>
            </w:r>
            <w:r>
              <w:rPr>
                <w:rFonts w:cstheme="minorHAnsi"/>
              </w:rPr>
              <w:t>+4x</w:t>
            </w:r>
            <w:r w:rsidRPr="006F5ACB">
              <w:rPr>
                <w:rFonts w:cstheme="minorHAnsi"/>
                <w:vertAlign w:val="superscript"/>
              </w:rPr>
              <w:t>2</w:t>
            </w:r>
            <w:r>
              <w:rPr>
                <w:rFonts w:cstheme="minorHAnsi"/>
              </w:rPr>
              <w:t>+</w:t>
            </w:r>
            <w:r w:rsidRPr="006F5ACB">
              <w:rPr>
                <w:rFonts w:cstheme="minorHAnsi"/>
              </w:rPr>
              <w:t>x+1</w:t>
            </w:r>
          </w:p>
        </w:tc>
      </w:tr>
      <w:tr w:rsidR="006F5ACB" w:rsidRPr="006F5ACB" w:rsidTr="006F5ACB">
        <w:trPr>
          <w:trHeight w:val="379"/>
        </w:trPr>
        <w:tc>
          <w:tcPr>
            <w:tcW w:w="456" w:type="dxa"/>
          </w:tcPr>
          <w:p w:rsidR="006F5ACB" w:rsidRPr="006F5ACB" w:rsidRDefault="006F5ACB" w:rsidP="00453A2A">
            <w:pPr>
              <w:spacing w:before="240"/>
              <w:jc w:val="center"/>
              <w:rPr>
                <w:rFonts w:cstheme="minorHAnsi"/>
              </w:rPr>
            </w:pPr>
            <w:r w:rsidRPr="006F5ACB">
              <w:rPr>
                <w:rFonts w:cstheme="minorHAnsi"/>
              </w:rPr>
              <w:t>0</w:t>
            </w:r>
          </w:p>
        </w:tc>
        <w:tc>
          <w:tcPr>
            <w:tcW w:w="2257" w:type="dxa"/>
          </w:tcPr>
          <w:p w:rsidR="006F5ACB" w:rsidRPr="006F5ACB" w:rsidRDefault="006F5ACB" w:rsidP="00453A2A">
            <w:pPr>
              <w:spacing w:before="240"/>
              <w:jc w:val="center"/>
              <w:rPr>
                <w:rFonts w:cstheme="minorHAnsi"/>
              </w:rPr>
            </w:pPr>
            <w:r w:rsidRPr="006F5ACB">
              <w:rPr>
                <w:rFonts w:cstheme="minorHAnsi"/>
              </w:rPr>
              <w:t>1</w:t>
            </w:r>
          </w:p>
        </w:tc>
      </w:tr>
      <w:tr w:rsidR="006F5ACB" w:rsidRPr="006F5ACB" w:rsidTr="006F5ACB">
        <w:trPr>
          <w:trHeight w:val="390"/>
        </w:trPr>
        <w:tc>
          <w:tcPr>
            <w:tcW w:w="456" w:type="dxa"/>
          </w:tcPr>
          <w:p w:rsidR="006F5ACB" w:rsidRPr="006F5ACB" w:rsidRDefault="006F5ACB" w:rsidP="00453A2A">
            <w:pPr>
              <w:spacing w:before="240"/>
              <w:jc w:val="center"/>
              <w:rPr>
                <w:rFonts w:cstheme="minorHAnsi"/>
              </w:rPr>
            </w:pPr>
            <w:r w:rsidRPr="006F5ACB">
              <w:rPr>
                <w:rFonts w:cstheme="minorHAnsi"/>
              </w:rPr>
              <w:t>1</w:t>
            </w:r>
          </w:p>
        </w:tc>
        <w:tc>
          <w:tcPr>
            <w:tcW w:w="2257" w:type="dxa"/>
          </w:tcPr>
          <w:p w:rsidR="006F5ACB" w:rsidRPr="006F5ACB" w:rsidRDefault="006F5ACB" w:rsidP="00453A2A">
            <w:pPr>
              <w:spacing w:before="240"/>
              <w:jc w:val="center"/>
              <w:rPr>
                <w:rFonts w:cstheme="minorHAnsi"/>
              </w:rPr>
            </w:pPr>
            <w:r w:rsidRPr="006F5ACB">
              <w:rPr>
                <w:rFonts w:cstheme="minorHAnsi"/>
              </w:rPr>
              <w:t>2</w:t>
            </w:r>
          </w:p>
        </w:tc>
      </w:tr>
      <w:tr w:rsidR="006F5ACB" w:rsidRPr="006F5ACB" w:rsidTr="006F5ACB">
        <w:trPr>
          <w:trHeight w:val="379"/>
        </w:trPr>
        <w:tc>
          <w:tcPr>
            <w:tcW w:w="456" w:type="dxa"/>
          </w:tcPr>
          <w:p w:rsidR="006F5ACB" w:rsidRPr="006F5ACB" w:rsidRDefault="006F5ACB" w:rsidP="00453A2A">
            <w:pPr>
              <w:spacing w:before="240"/>
              <w:jc w:val="center"/>
              <w:rPr>
                <w:rFonts w:cstheme="minorHAnsi"/>
              </w:rPr>
            </w:pPr>
            <w:r w:rsidRPr="006F5ACB">
              <w:rPr>
                <w:rFonts w:cstheme="minorHAnsi"/>
              </w:rPr>
              <w:t>2</w:t>
            </w:r>
          </w:p>
        </w:tc>
        <w:tc>
          <w:tcPr>
            <w:tcW w:w="2257" w:type="dxa"/>
          </w:tcPr>
          <w:p w:rsidR="006F5ACB" w:rsidRPr="006F5ACB" w:rsidRDefault="006F5ACB" w:rsidP="00453A2A">
            <w:pPr>
              <w:spacing w:before="240"/>
              <w:jc w:val="center"/>
              <w:rPr>
                <w:rFonts w:cstheme="minorHAnsi"/>
              </w:rPr>
            </w:pPr>
            <w:r w:rsidRPr="006F5ACB">
              <w:rPr>
                <w:rFonts w:cstheme="minorHAnsi"/>
              </w:rPr>
              <w:t>4</w:t>
            </w:r>
          </w:p>
        </w:tc>
      </w:tr>
      <w:tr w:rsidR="006F5ACB" w:rsidRPr="006F5ACB" w:rsidTr="006F5ACB">
        <w:trPr>
          <w:trHeight w:val="390"/>
        </w:trPr>
        <w:tc>
          <w:tcPr>
            <w:tcW w:w="456" w:type="dxa"/>
          </w:tcPr>
          <w:p w:rsidR="006F5ACB" w:rsidRPr="006F5ACB" w:rsidRDefault="006F5ACB" w:rsidP="00453A2A">
            <w:pPr>
              <w:spacing w:before="240"/>
              <w:jc w:val="center"/>
              <w:rPr>
                <w:rFonts w:cstheme="minorHAnsi"/>
              </w:rPr>
            </w:pPr>
            <w:r w:rsidRPr="006F5ACB">
              <w:rPr>
                <w:rFonts w:cstheme="minorHAnsi"/>
              </w:rPr>
              <w:t>3</w:t>
            </w:r>
          </w:p>
        </w:tc>
        <w:tc>
          <w:tcPr>
            <w:tcW w:w="2257" w:type="dxa"/>
          </w:tcPr>
          <w:p w:rsidR="006F5ACB" w:rsidRPr="006F5ACB" w:rsidRDefault="006F5ACB" w:rsidP="00453A2A">
            <w:pPr>
              <w:spacing w:before="240"/>
              <w:jc w:val="center"/>
              <w:rPr>
                <w:rFonts w:cstheme="minorHAnsi"/>
              </w:rPr>
            </w:pPr>
            <w:r w:rsidRPr="006F5ACB">
              <w:rPr>
                <w:rFonts w:cstheme="minorHAnsi"/>
              </w:rPr>
              <w:t>3</w:t>
            </w:r>
          </w:p>
        </w:tc>
      </w:tr>
      <w:tr w:rsidR="006F5ACB" w:rsidRPr="006F5ACB" w:rsidTr="006F5ACB">
        <w:trPr>
          <w:trHeight w:val="379"/>
        </w:trPr>
        <w:tc>
          <w:tcPr>
            <w:tcW w:w="456" w:type="dxa"/>
          </w:tcPr>
          <w:p w:rsidR="006F5ACB" w:rsidRPr="006F5ACB" w:rsidRDefault="006F5ACB" w:rsidP="00453A2A">
            <w:pPr>
              <w:spacing w:before="240"/>
              <w:jc w:val="center"/>
              <w:rPr>
                <w:rFonts w:cstheme="minorHAnsi"/>
              </w:rPr>
            </w:pPr>
            <w:r w:rsidRPr="006F5ACB">
              <w:rPr>
                <w:rFonts w:cstheme="minorHAnsi"/>
              </w:rPr>
              <w:t>4</w:t>
            </w:r>
          </w:p>
        </w:tc>
        <w:tc>
          <w:tcPr>
            <w:tcW w:w="2257" w:type="dxa"/>
          </w:tcPr>
          <w:p w:rsidR="006F5ACB" w:rsidRPr="006F5ACB" w:rsidRDefault="006F5ACB" w:rsidP="00453A2A">
            <w:pPr>
              <w:spacing w:before="240"/>
              <w:jc w:val="center"/>
              <w:rPr>
                <w:rFonts w:cstheme="minorHAnsi"/>
              </w:rPr>
            </w:pPr>
            <w:r w:rsidRPr="006F5ACB">
              <w:rPr>
                <w:rFonts w:cstheme="minorHAnsi"/>
              </w:rPr>
              <w:t>1</w:t>
            </w:r>
          </w:p>
        </w:tc>
      </w:tr>
    </w:tbl>
    <w:p w:rsidR="006F5ACB" w:rsidRDefault="00D328F3" w:rsidP="000703C7">
      <w:pPr>
        <w:spacing w:before="240"/>
        <w:ind w:firstLine="720"/>
        <w:rPr>
          <w:rFonts w:cstheme="minorHAnsi"/>
        </w:rPr>
      </w:pPr>
      <w:r>
        <w:rPr>
          <w:rFonts w:cstheme="minorHAnsi"/>
        </w:rPr>
        <w:t xml:space="preserve">Thus all the properties of polynomials apply likewise to the function </w:t>
      </w:r>
      <w:r>
        <w:rPr>
          <w:rFonts w:cstheme="minorHAnsi"/>
          <w:i/>
        </w:rPr>
        <w:t>2</w:t>
      </w:r>
      <w:r>
        <w:rPr>
          <w:rFonts w:cstheme="minorHAnsi"/>
          <w:i/>
          <w:vertAlign w:val="superscript"/>
        </w:rPr>
        <w:t>x</w:t>
      </w:r>
      <w:r>
        <w:rPr>
          <w:rFonts w:cstheme="minorHAnsi"/>
        </w:rPr>
        <w:t>.</w:t>
      </w:r>
    </w:p>
    <w:p w:rsidR="00D328F3" w:rsidRDefault="00D328F3" w:rsidP="000703C7">
      <w:pPr>
        <w:spacing w:before="240"/>
        <w:ind w:firstLine="720"/>
        <w:rPr>
          <w:rFonts w:cstheme="minorHAnsi"/>
        </w:rPr>
      </w:pPr>
      <w:r>
        <w:rPr>
          <w:rFonts w:cstheme="minorHAnsi"/>
        </w:rPr>
        <w:t>The methodology of finding the polynomial can further be generalized to:</w:t>
      </w:r>
    </w:p>
    <w:p w:rsidR="00D328F3" w:rsidRPr="00B82B91" w:rsidRDefault="00B92B78" w:rsidP="000703C7">
      <w:pPr>
        <w:spacing w:before="240"/>
        <w:ind w:firstLine="720"/>
        <w:rPr>
          <w:rFonts w:cstheme="minorHAnsi"/>
        </w:rPr>
      </w:pPr>
      <m:oMathPara>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m>
                      <m:mPr>
                        <m:mcs>
                          <m:mc>
                            <m:mcPr>
                              <m:count m:val="2"/>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mr>
                      <m:mr>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w-1</m:t>
                              </m:r>
                            </m:sup>
                          </m:sSup>
                        </m:e>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w</m:t>
                              </m:r>
                            </m:sup>
                          </m:sSup>
                        </m:e>
                      </m:mr>
                    </m:m>
                  </m:e>
                  <m:e>
                    <m:r>
                      <w:rPr>
                        <w:rFonts w:ascii="Cambria Math" w:hAnsi="Cambria Math" w:cstheme="minorHAnsi"/>
                      </w:rPr>
                      <m:t>⋯</m:t>
                    </m:r>
                  </m:e>
                  <m:e>
                    <m:m>
                      <m:mPr>
                        <m:mcs>
                          <m:mc>
                            <m:mcPr>
                              <m:count m:val="2"/>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1</m:t>
                          </m:r>
                        </m:e>
                      </m:mr>
                      <m:mr>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1</m:t>
                              </m:r>
                            </m:sup>
                          </m:sSup>
                        </m:e>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0</m:t>
                              </m:r>
                            </m:sup>
                          </m:sSup>
                        </m:e>
                      </m:mr>
                    </m:m>
                  </m:e>
                </m:mr>
                <m:mr>
                  <m:e>
                    <m:r>
                      <w:rPr>
                        <w:rFonts w:ascii="Cambria Math" w:hAnsi="Cambria Math" w:cstheme="minorHAnsi"/>
                      </w:rPr>
                      <m:t>⋮</m:t>
                    </m:r>
                  </m:e>
                  <m:e>
                    <m:r>
                      <w:rPr>
                        <w:rFonts w:ascii="Cambria Math" w:hAnsi="Cambria Math" w:cstheme="minorHAnsi"/>
                      </w:rPr>
                      <m:t>⋱</m:t>
                    </m:r>
                  </m:e>
                  <m:e>
                    <m:r>
                      <w:rPr>
                        <w:rFonts w:ascii="Cambria Math" w:hAnsi="Cambria Math" w:cstheme="minorHAnsi"/>
                      </w:rPr>
                      <m:t>⋮</m:t>
                    </m:r>
                  </m:e>
                </m:mr>
                <m:m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(w-2)</m:t>
                              </m:r>
                            </m:e>
                            <m:sup>
                              <m:r>
                                <w:rPr>
                                  <w:rFonts w:ascii="Cambria Math" w:hAnsi="Cambria Math" w:cstheme="minorHAnsi"/>
                                </w:rPr>
                                <m:t>w-1</m:t>
                              </m:r>
                            </m:sup>
                          </m:sSup>
                        </m:e>
                        <m:e>
                          <m:sSup>
                            <m:sSupPr>
                              <m:ctrlPr>
                                <w:rPr>
                                  <w:rFonts w:ascii="Cambria Math" w:hAnsi="Cambria Math" w:cstheme="minorHAnsi"/>
                                  <w:i/>
                                </w:rPr>
                              </m:ctrlPr>
                            </m:sSupPr>
                            <m:e>
                              <m:r>
                                <w:rPr>
                                  <w:rFonts w:ascii="Cambria Math" w:hAnsi="Cambria Math" w:cstheme="minorHAnsi"/>
                                </w:rPr>
                                <m:t>(w-2)</m:t>
                              </m:r>
                            </m:e>
                            <m:sup>
                              <m:r>
                                <w:rPr>
                                  <w:rFonts w:ascii="Cambria Math" w:hAnsi="Cambria Math" w:cstheme="minorHAnsi"/>
                                </w:rPr>
                                <m:t>w-2</m:t>
                              </m:r>
                            </m:sup>
                          </m:sSup>
                        </m:e>
                      </m:mr>
                      <m:mr>
                        <m:e>
                          <m:sSup>
                            <m:sSupPr>
                              <m:ctrlPr>
                                <w:rPr>
                                  <w:rFonts w:ascii="Cambria Math" w:hAnsi="Cambria Math" w:cstheme="minorHAnsi"/>
                                  <w:i/>
                                </w:rPr>
                              </m:ctrlPr>
                            </m:sSupPr>
                            <m:e>
                              <m:r>
                                <w:rPr>
                                  <w:rFonts w:ascii="Cambria Math" w:hAnsi="Cambria Math" w:cstheme="minorHAnsi"/>
                                </w:rPr>
                                <m:t>(w-1)</m:t>
                              </m:r>
                            </m:e>
                            <m:sup>
                              <m:r>
                                <w:rPr>
                                  <w:rFonts w:ascii="Cambria Math" w:hAnsi="Cambria Math" w:cstheme="minorHAnsi"/>
                                </w:rPr>
                                <m:t>w-1</m:t>
                              </m:r>
                            </m:sup>
                          </m:sSup>
                        </m:e>
                        <m:e>
                          <m:sSup>
                            <m:sSupPr>
                              <m:ctrlPr>
                                <w:rPr>
                                  <w:rFonts w:ascii="Cambria Math" w:hAnsi="Cambria Math" w:cstheme="minorHAnsi"/>
                                  <w:i/>
                                </w:rPr>
                              </m:ctrlPr>
                            </m:sSupPr>
                            <m:e>
                              <m:r>
                                <w:rPr>
                                  <w:rFonts w:ascii="Cambria Math" w:hAnsi="Cambria Math" w:cstheme="minorHAnsi"/>
                                </w:rPr>
                                <m:t>(w-1)</m:t>
                              </m:r>
                            </m:e>
                            <m:sup>
                              <m:r>
                                <w:rPr>
                                  <w:rFonts w:ascii="Cambria Math" w:hAnsi="Cambria Math" w:cstheme="minorHAnsi"/>
                                </w:rPr>
                                <m:t>w-2</m:t>
                              </m:r>
                            </m:sup>
                          </m:sSup>
                        </m:e>
                      </m:mr>
                    </m:m>
                  </m:e>
                  <m:e>
                    <m:r>
                      <w:rPr>
                        <w:rFonts w:ascii="Cambria Math" w:hAnsi="Cambria Math" w:cstheme="minorHAnsi"/>
                      </w:rPr>
                      <m:t>⋯</m:t>
                    </m:r>
                  </m:e>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(w-2)</m:t>
                              </m:r>
                            </m:e>
                            <m:sup>
                              <m:r>
                                <w:rPr>
                                  <w:rFonts w:ascii="Cambria Math" w:hAnsi="Cambria Math" w:cstheme="minorHAnsi"/>
                                </w:rPr>
                                <m:t>1</m:t>
                              </m:r>
                            </m:sup>
                          </m:sSup>
                        </m:e>
                        <m:e>
                          <m:sSup>
                            <m:sSupPr>
                              <m:ctrlPr>
                                <w:rPr>
                                  <w:rFonts w:ascii="Cambria Math" w:hAnsi="Cambria Math" w:cstheme="minorHAnsi"/>
                                  <w:i/>
                                </w:rPr>
                              </m:ctrlPr>
                            </m:sSupPr>
                            <m:e>
                              <m:r>
                                <w:rPr>
                                  <w:rFonts w:ascii="Cambria Math" w:hAnsi="Cambria Math" w:cstheme="minorHAnsi"/>
                                </w:rPr>
                                <m:t>(w-2)</m:t>
                              </m:r>
                            </m:e>
                            <m:sup>
                              <m:r>
                                <w:rPr>
                                  <w:rFonts w:ascii="Cambria Math" w:hAnsi="Cambria Math" w:cstheme="minorHAnsi"/>
                                </w:rPr>
                                <m:t>0</m:t>
                              </m:r>
                            </m:sup>
                          </m:sSup>
                        </m:e>
                      </m:mr>
                      <m:mr>
                        <m:e>
                          <m:sSup>
                            <m:sSupPr>
                              <m:ctrlPr>
                                <w:rPr>
                                  <w:rFonts w:ascii="Cambria Math" w:hAnsi="Cambria Math" w:cstheme="minorHAnsi"/>
                                  <w:i/>
                                </w:rPr>
                              </m:ctrlPr>
                            </m:sSupPr>
                            <m:e>
                              <m:r>
                                <w:rPr>
                                  <w:rFonts w:ascii="Cambria Math" w:hAnsi="Cambria Math" w:cstheme="minorHAnsi"/>
                                </w:rPr>
                                <m:t>(w-1)</m:t>
                              </m:r>
                            </m:e>
                            <m:sup>
                              <m:r>
                                <w:rPr>
                                  <w:rFonts w:ascii="Cambria Math" w:hAnsi="Cambria Math" w:cstheme="minorHAnsi"/>
                                </w:rPr>
                                <m:t>1</m:t>
                              </m:r>
                            </m:sup>
                          </m:sSup>
                        </m:e>
                        <m:e>
                          <m:sSup>
                            <m:sSupPr>
                              <m:ctrlPr>
                                <w:rPr>
                                  <w:rFonts w:ascii="Cambria Math" w:hAnsi="Cambria Math" w:cstheme="minorHAnsi"/>
                                  <w:i/>
                                </w:rPr>
                              </m:ctrlPr>
                            </m:sSupPr>
                            <m:e>
                              <m:r>
                                <w:rPr>
                                  <w:rFonts w:ascii="Cambria Math" w:hAnsi="Cambria Math" w:cstheme="minorHAnsi"/>
                                </w:rPr>
                                <m:t>(w-1)</m:t>
                              </m:r>
                            </m:e>
                            <m:sup>
                              <m:r>
                                <w:rPr>
                                  <w:rFonts w:ascii="Cambria Math" w:hAnsi="Cambria Math" w:cstheme="minorHAnsi"/>
                                </w:rPr>
                                <m:t>0</m:t>
                              </m:r>
                            </m:sup>
                          </m:sSup>
                        </m:e>
                      </m:mr>
                    </m:m>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e>
                      </m:m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mr>
                    </m:m>
                  </m:e>
                </m:mr>
                <m:mr>
                  <m:e>
                    <m:r>
                      <w:rPr>
                        <w:rFonts w:ascii="Cambria Math" w:hAnsi="Cambria Math" w:cstheme="minorHAnsi"/>
                      </w:rPr>
                      <m:t>⋮</m:t>
                    </m:r>
                  </m:e>
                </m:mr>
                <m:m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w-2</m:t>
                              </m:r>
                            </m:sub>
                          </m:sSub>
                        </m:e>
                      </m:m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w-1</m:t>
                              </m:r>
                            </m:sub>
                          </m:sSub>
                        </m:e>
                      </m:mr>
                    </m:m>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m>
                      <m:mPr>
                        <m:mcs>
                          <m:mc>
                            <m:mcPr>
                              <m:count m:val="1"/>
                              <m:mcJc m:val="center"/>
                            </m:mcPr>
                          </m:mc>
                        </m:mcs>
                        <m:ctrlPr>
                          <w:rPr>
                            <w:rFonts w:ascii="Cambria Math" w:hAnsi="Cambria Math" w:cstheme="minorHAnsi"/>
                            <w:i/>
                          </w:rPr>
                        </m:ctrlPr>
                      </m:mPr>
                      <m:mr>
                        <m:e>
                          <m:r>
                            <w:rPr>
                              <w:rFonts w:ascii="Cambria Math" w:hAnsi="Cambria Math" w:cstheme="minorHAnsi"/>
                            </w:rPr>
                            <m:t>f(0)</m:t>
                          </m:r>
                        </m:e>
                      </m:mr>
                      <m:mr>
                        <m:e>
                          <m:r>
                            <w:rPr>
                              <w:rFonts w:ascii="Cambria Math" w:hAnsi="Cambria Math" w:cstheme="minorHAnsi"/>
                            </w:rPr>
                            <m:t>f(1)</m:t>
                          </m:r>
                        </m:e>
                      </m:mr>
                    </m:m>
                  </m:e>
                </m:mr>
                <m:mr>
                  <m:e>
                    <m:r>
                      <w:rPr>
                        <w:rFonts w:ascii="Cambria Math" w:hAnsi="Cambria Math" w:cstheme="minorHAnsi"/>
                      </w:rPr>
                      <m:t>⋮</m:t>
                    </m:r>
                  </m:e>
                </m:mr>
                <m:mr>
                  <m:e>
                    <m:m>
                      <m:mPr>
                        <m:mcs>
                          <m:mc>
                            <m:mcPr>
                              <m:count m:val="1"/>
                              <m:mcJc m:val="center"/>
                            </m:mcPr>
                          </m:mc>
                        </m:mcs>
                        <m:ctrlPr>
                          <w:rPr>
                            <w:rFonts w:ascii="Cambria Math" w:hAnsi="Cambria Math" w:cstheme="minorHAnsi"/>
                            <w:i/>
                          </w:rPr>
                        </m:ctrlPr>
                      </m:mPr>
                      <m:mr>
                        <m:e>
                          <m:r>
                            <w:rPr>
                              <w:rFonts w:ascii="Cambria Math" w:hAnsi="Cambria Math" w:cstheme="minorHAnsi"/>
                            </w:rPr>
                            <m:t>f(w-2)</m:t>
                          </m:r>
                        </m:e>
                      </m:mr>
                      <m:mr>
                        <m:e>
                          <m:r>
                            <w:rPr>
                              <w:rFonts w:ascii="Cambria Math" w:hAnsi="Cambria Math" w:cstheme="minorHAnsi"/>
                            </w:rPr>
                            <m:t>f(w-1)</m:t>
                          </m:r>
                        </m:e>
                      </m:mr>
                    </m:m>
                  </m:e>
                </m:mr>
              </m:m>
            </m:e>
          </m:d>
        </m:oMath>
      </m:oMathPara>
    </w:p>
    <w:p w:rsidR="00B82B91" w:rsidRDefault="00B82B91" w:rsidP="00B82B91">
      <w:pPr>
        <w:spacing w:before="240"/>
        <w:ind w:firstLine="720"/>
        <w:jc w:val="both"/>
        <w:rPr>
          <w:rFonts w:cstheme="minorHAnsi"/>
        </w:rPr>
      </w:pPr>
      <w:r>
        <w:rPr>
          <w:rFonts w:cstheme="minorHAnsi"/>
        </w:rPr>
        <w:t>Where for any field, the matrix is the same, thus its inverse is also the same regardless of the desired outputs. This shows that if an inverse is computed, it can be used to quickly find any polynomial</w:t>
      </w:r>
      <w:r w:rsidR="008534A9">
        <w:rPr>
          <w:rFonts w:cstheme="minorHAnsi"/>
        </w:rPr>
        <w:t xml:space="preserve"> given the desired outputs</w:t>
      </w:r>
      <w:r>
        <w:rPr>
          <w:rFonts w:cstheme="minorHAnsi"/>
        </w:rPr>
        <w:t>.</w:t>
      </w:r>
    </w:p>
    <w:p w:rsidR="00B82B91" w:rsidRDefault="00B82B91" w:rsidP="00B82B91">
      <w:pPr>
        <w:spacing w:before="240"/>
        <w:ind w:firstLine="720"/>
        <w:jc w:val="both"/>
        <w:rPr>
          <w:rFonts w:cstheme="minorHAnsi"/>
        </w:rPr>
      </w:pPr>
      <w:r>
        <w:rPr>
          <w:rFonts w:cstheme="minorHAnsi"/>
        </w:rPr>
        <w:t>Another way to prove what this paper proves is by showing that the above matrix is</w:t>
      </w:r>
      <w:r w:rsidR="008534A9">
        <w:rPr>
          <w:rFonts w:cstheme="minorHAnsi"/>
        </w:rPr>
        <w:t xml:space="preserve"> always</w:t>
      </w:r>
      <w:r>
        <w:rPr>
          <w:rFonts w:cstheme="minorHAnsi"/>
        </w:rPr>
        <w:t xml:space="preserve"> invertible, meaning it is singular, and thus no two sets of coefficients can give th</w:t>
      </w:r>
      <w:r w:rsidR="008534A9">
        <w:rPr>
          <w:rFonts w:cstheme="minorHAnsi"/>
        </w:rPr>
        <w:t>e same function outputs</w:t>
      </w:r>
      <w:r>
        <w:rPr>
          <w:rFonts w:cstheme="minorHAnsi"/>
        </w:rPr>
        <w:t>.</w:t>
      </w:r>
    </w:p>
    <w:p w:rsidR="00B92B78" w:rsidRPr="00D328F3" w:rsidRDefault="00B92B78" w:rsidP="00B82B91">
      <w:pPr>
        <w:spacing w:before="240"/>
        <w:ind w:firstLine="720"/>
        <w:jc w:val="both"/>
        <w:rPr>
          <w:rFonts w:cstheme="minorHAnsi"/>
        </w:rPr>
      </w:pPr>
      <w:hyperlink r:id="rId6" w:history="1">
        <w:r w:rsidRPr="000B778B">
          <w:rPr>
            <w:rStyle w:val="Hyperlink"/>
            <w:rFonts w:cstheme="minorHAnsi"/>
          </w:rPr>
          <w:t>https://en.wikipedia.org/wiki/Vandermonde_matrix</w:t>
        </w:r>
      </w:hyperlink>
      <w:r>
        <w:rPr>
          <w:rFonts w:cstheme="minorHAnsi"/>
        </w:rPr>
        <w:t xml:space="preserve"> </w:t>
      </w:r>
      <w:bookmarkStart w:id="0" w:name="_GoBack"/>
      <w:bookmarkEnd w:id="0"/>
    </w:p>
    <w:sectPr w:rsidR="00B92B78" w:rsidRPr="00D32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02"/>
    <w:rsid w:val="000703C7"/>
    <w:rsid w:val="00275412"/>
    <w:rsid w:val="00287B85"/>
    <w:rsid w:val="002C7D03"/>
    <w:rsid w:val="00411D20"/>
    <w:rsid w:val="005A6764"/>
    <w:rsid w:val="006F5ACB"/>
    <w:rsid w:val="0072689B"/>
    <w:rsid w:val="008534A9"/>
    <w:rsid w:val="008B4ACF"/>
    <w:rsid w:val="00924F81"/>
    <w:rsid w:val="00A23698"/>
    <w:rsid w:val="00B82B91"/>
    <w:rsid w:val="00B92B78"/>
    <w:rsid w:val="00D328F3"/>
    <w:rsid w:val="00DB5B46"/>
    <w:rsid w:val="00EC3C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BD506-64E4-4FF4-9218-C54E8079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C02"/>
    <w:rPr>
      <w:color w:val="808080"/>
    </w:rPr>
  </w:style>
  <w:style w:type="table" w:styleId="TableGrid">
    <w:name w:val="Table Grid"/>
    <w:basedOn w:val="TableNormal"/>
    <w:uiPriority w:val="39"/>
    <w:rsid w:val="0007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11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D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andermonde_matrix" TargetMode="Externa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 Andres Marcano</cp:lastModifiedBy>
  <cp:revision>4</cp:revision>
  <cp:lastPrinted>2020-12-04T09:43:00Z</cp:lastPrinted>
  <dcterms:created xsi:type="dcterms:W3CDTF">2020-03-25T05:45:00Z</dcterms:created>
  <dcterms:modified xsi:type="dcterms:W3CDTF">2020-12-04T10:00:00Z</dcterms:modified>
</cp:coreProperties>
</file>