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2D72"/>
          <w:sz w:val="32"/>
        </w:rPr>
        <w:t>ESPECIFICACIÓN DE REQUERIMIENTOS DE SOFTWARE (SPRINT 0)</w:t>
      </w:r>
    </w:p>
    <w:p>
      <w:pPr>
        <w:spacing w:after="280"/>
      </w:pPr>
      <w:r>
        <w:rPr>
          <w:rFonts w:ascii="Calibri" w:hAnsi="Calibri"/>
          <w:i/>
          <w:color w:val="505050"/>
          <w:sz w:val="22"/>
        </w:rPr>
        <w:t>Plataforma Web NDR con LightGBM y Rust para Detección de Exfiltración - Tigo Business Bolivia</w:t>
      </w:r>
    </w:p>
    <w:p>
      <w:pPr>
        <w:spacing w:before="240" w:after="120"/>
      </w:pPr>
      <w:r>
        <w:rPr>
          <w:rFonts w:ascii="Calibri" w:hAnsi="Calibri"/>
          <w:b/>
          <w:color w:val="002D72"/>
          <w:sz w:val="26"/>
        </w:rPr>
        <w:t>1. Requerimientos Funcionales (RF)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002D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7632"/>
            <w:shd w:val="clear" w:color="auto" w:fill="002D7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Autenticación de usuarios y sesiones seguras en servidor mediante hashing Argon2id, tokens opacos de 64 caracteres, control de expiración y persistencia en tabla user_sessions.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RF2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Control de acceso basado en roles (RBAC) con permisos granulares (USER_MANAGE, MITIGATE_EXECUTE, ROLLBACK_EXECUTE, READ_ONLY) validados mediante middleware en cada endpoint REST.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RF3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Rotación obligatoria de credenciales y validación dinámica de entropía criptográfica según directrices ISO/IEC 27001 para contraseñas de analistas del SOC.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RF4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Ingesta asíncrona continua de tráfico de red a velocidad de cable (AF_PACKET / eBPF) sobre interfaces físicas y virtuales de la red carrier AS27839.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RF5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Extracción columnar de 23 características de red en microsegundos utilizando el motor Polars con operaciones vectorizadas SIMD en memoria RAM libre de GIL.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RF6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Inferencia probabilística de exfiltración de datos en tiempo sub-milisegundo (&lt; 1.0 ms) mediante el algoritmo LightGBM optimizado con técnicas GOSS y EFB.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RF7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Detección multivectorial de canales encubiertos de fuga de datos, incluyendo DNS Tunneling (dnscat2, iodined), exfiltración HTTP/S y tráfico anómalo Slow &amp; Low.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RF8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Generación de alertas forenses de seguridad indexadas en base de datos PostgreSQL en Tercera Forma Normal (BCNF), selladas criptográficamente con hash SHA-256.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RF9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Despacho de notificaciones push de ciberseguridad en tiempo real dirigidas a terminales móviles y estaciones del SOC mediante Firebase Cloud Messaging (FCM).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RF10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Streaming bidireccional de telemetría y flujo continuo de paquetes inspeccionados a 60 FPS mediante canal seguro WebSockets (/api/v1/telemetry/stream).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RF11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Visualización interactiva de la topología de red carrier AS27839 con grafos de dispositivos descubiertos pasivamente mediante OUI y direccionamiento IP.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RF12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analítico de métricas del modelo de Inteligencia Artificial (curvas ROC, precisión-exhaustividad PR, matrices de confusión y feature importance XAI).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RF13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Orquestación de mitigación automática en Capa 2 de enlace de datos mediante desconexión de clientes y reasignación de VLAN de cuarentena vía RADIUS CoA / Cisco ISE.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RF14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Orquestación de mitigación en Capas 3 y 4 de red y transporte mediante inyección de rutas BGP Remotely Triggered Black Hole (RTBH) y listas de control de acceso (ACLs).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RF15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Orquestación de mitigación en Capa 7 de aplicación mediante DNS Sinkholing para redirigir peticiones a dominios de comando y control hacia un sumidero controlado.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RF16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Control estricto de radio de impacto (Blast Radius) clasificando incidentes entre Singulares (auto-ejecutables) y Masivos (sujetos a aprobación manual por operador L2).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RF17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Mecanismo preventivo de reversión automática (Rollback) respaldado por instantáneas JSON con temporizador regresivo de 300 segundos ante falsos positivos.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RF18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Entorno Sandbox aislado de pruebas (VLAN 999: 10.200.0.0/24) para inyección controlada de tráfico sintético y verificación previa de reglas ACL antes de producción.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RF19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Registro inmutable de pistas de auditoría del sistema (system_audit_logs) para registrar accesos, cambios de parámetros y ejecución de comandos de mitigación.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RF20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Interfaz de usuario web reactiva multiplataforma (Desktop 1440x900, Tablet 1024x768 y Móvil 390x844) compilada a WebAssembly (Leptos) con soporte ergonómico para Modo Claro y Modo Oscuro.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002D72"/>
          <w:sz w:val="26"/>
        </w:rPr>
        <w:t>2. Requerimientos No Funcionales (RNF) - Norma ISO/IEC 25010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002D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7632"/>
            <w:shd w:val="clear" w:color="auto" w:fill="002D7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RNF1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Eficiencia de Desempeño (Latencia de Inferencia): El tiempo de inferencia del modelo LightGBM en el backend compilado en Rust debe ser estrictamente menor a 1.0 ms por ventana de evaluación (meta alcanzada: ~0.08 ms).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RNF2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Eficiencia de Desempeño (Latencia de Feature Engineering): El preprocesamiento y extracción columnar de las 23 características en Polars debe ejecutarse en menos de 500 microsegundos en memoria.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RNF3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Eficiencia de Desempeño (Throughput de Ingesta): El recolector asíncrono debe ser capaz de procesar un throughput continuo de hasta 15,000 paquetes por segundo sin pérdida de paquetes (packet drop &lt; 0.001%).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RNF4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Precisión y Calidad Predictiva: El clasificador LightGBM debe alcanzar un F1-Score igual o superior a 0.99 (99.0%) y mantener una tasa de falsos positivos (FPR) inferior al 0.5% en la clasificación de exfiltración.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RNF5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Seguridad (Confidencialidad de Accesos): Las contraseñas deben cifrarse mediante la función de derivación de claves Argon2id (mínimo 64MB RAM, 3 iteraciones) y las sesiones autenticadas deben usar tokens criptográficos aleatorios.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RNF6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Seguridad (Integridad Forense): Todas las evidencias forenses, instantáneas de estado y cargas útiles de reversión deben almacenarse con un resumen criptográfico SHA-256 para garantizar la no repudiación de eventos.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RNF7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Seguridad Operativa (Protección de Red): Toda acción de mitigación masiva debe exigir re-autenticación por contraseña si el analista ha permanecido inactivo por más de 300 segundos (5 minutos).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RNF8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Confiabilidad y Resiliencia: El sistema debe contar con un generador de tráfico sintético calibrado con perfiles de Tigo Business que permita operar y validar el motor analítico incluso si no se dispone de capturas PCAP crudas en disco.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RNF9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Usabilidad y Ergonomía Visual: La interfaz debe cumplir con las pautas de accesibilidad WCAG 2.1 nivel AA en contraste cromático tanto en Modo Claro como en Modo Oscuro, con un tiempo de renderizado reactivo inferior a 100 ms.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RNF10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Portabilidad y Arquitectura Ligera: El frontend debe compilar a WebAssembly nativo (WASM) sin requerir frameworks pesados de JavaScript (Node.js en runtime), siendo compatible con los navegadores modernos Chrome, Firefox, Edge y Safari.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RNF11</w:t>
            </w:r>
          </w:p>
        </w:tc>
        <w:tc>
          <w:tcPr>
            <w:tcW w:type="dxa" w:w="7632"/>
            <w:shd w:val="clear" w:color="auto" w:fill="F4F7FC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Mantenibilidad y Calidad de Código: El código fuente en Rust debe estructurarse bajo Arquitectura Limpia modular (Domain, Infrastructure, Presentation, Mitigation) con cero fugas de memoria garantizadas por el Borrow Checker.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color w:val="002D72"/>
                <w:sz w:val="19"/>
              </w:rPr>
              <w:t>RNF12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Escalabilidad de Almacenamiento: El esquema PostgreSQL debe estructurarse en Tercera Forma Normal (BCNF), desacoplando las métricas de tráfico agregadas de los registros forenses de anomalías para optimizar el espacio en disco.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