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700" w:right="1440" w:bottom="1440" w:left="144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5A1A0" w:sz="8" w:space="4"/>
      </w:pBdr>
      <w:jc w:val="center"/>
    </w:pPr>
    <w:r>
      <w:rPr>
        <w:rFonts w:ascii="Calibri" w:cs="Calibri" w:eastAsia="Calibri" w:hAnsi="Calibri"/>
        <w:color w:val="2D4C5C"/>
        <w:sz w:val="18"/>
        <w:szCs w:val="18"/>
      </w:rPr>
      <w:t xml:space="preserve">Dirección  •  Teléfono  •  correo@nanident.com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center"/>
    </w:pPr>
    <w:r>
      <w:drawing>
        <wp:inline distT="0" distB="0" distL="0" distR="0">
          <wp:extent cx="2857500" cy="742950"/>
          <wp:effectExtent t="0" r="0" b="0" l="0"/>
          <wp:docPr id="1" name="logo" descr="Logo Nani Dent" title="Nani D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742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65A1A0" w:sz="8" w:space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7106d4488ef85d36940c40692f7dd1a92fc411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2026-09-30T00:20:12.008Z</dcterms:created>
  <dcterms:modified xsi:type="dcterms:W3CDTF">2026-09-30T00:20:12.008Z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