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6.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32.png" ContentType="image/png"/>
  <Override PartName="/word/media/rId49.png" ContentType="image/png"/>
  <Override PartName="/word/media/rId50.png" ContentType="image/png"/>
  <Override PartName="/word/media/rId51.png" ContentType="image/png"/>
  <Override PartName="/word/media/rId52.png" ContentType="image/png"/>
  <Override PartName="/word/media/rId53.png" ContentType="image/png"/>
  <Override PartName="/word/media/rId3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Cuba</w:t>
      </w:r>
      <w:r>
        <w:t xml:space="preserve"> </w:t>
      </w:r>
      <w:r>
        <w:t xml:space="preserve">Country</w:t>
      </w:r>
      <w:r>
        <w:t xml:space="preserve"> </w:t>
      </w:r>
      <w:r>
        <w:t xml:space="preserve">Report</w:t>
      </w:r>
    </w:p>
    <w:p>
      <w:pPr>
        <w:pStyle w:val="Author"/>
      </w:pPr>
      <w:r>
        <w:t xml:space="preserve">SPI</w:t>
      </w:r>
      <w:r>
        <w:t xml:space="preserve"> </w:t>
      </w:r>
      <w:r>
        <w:t xml:space="preserve">Team</w:t>
      </w:r>
    </w:p>
    <w:p>
      <w:pPr>
        <w:pStyle w:val="Date"/>
      </w:pPr>
      <w:r>
        <w:t xml:space="preserve">2021-05-25</w:t>
      </w:r>
    </w:p>
    <w:bookmarkStart w:id="41" w:name="introduction"/>
    <w:p>
      <w:pPr>
        <w:pStyle w:val="Heading1"/>
      </w:pPr>
      <w:r>
        <w:rPr>
          <w:rStyle w:val="SectionNumber"/>
        </w:rPr>
        <w:t xml:space="preserve">1</w:t>
      </w:r>
      <w:r>
        <w:tab/>
      </w:r>
      <w:r>
        <w:t xml:space="preserve">Introduction</w:t>
      </w:r>
    </w:p>
    <w:p>
      <w:pPr>
        <w:pStyle w:val="FirstParagraph"/>
      </w:pPr>
      <w:r>
        <w:t xml:space="preserve">Cuba received a score of NA out of 100 for 2019 on the World Bank’s SPI overall score, which measures a country’s statistical performance around 5 pillars. These 5 pillars are described below.</w:t>
      </w:r>
    </w:p>
    <w:bookmarkStart w:id="20" w:name="pillar-1-data-use"/>
    <w:p>
      <w:pPr>
        <w:pStyle w:val="Heading2"/>
      </w:pPr>
      <w:r>
        <w:rPr>
          <w:rStyle w:val="SectionNumber"/>
        </w:rPr>
        <w:t xml:space="preserve">1.1</w:t>
      </w:r>
      <w:r>
        <w:tab/>
      </w: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rPr>
        <w:t xml:space="preserve">Cuba received a score of 70 out of 100 for 2019 on the World Bank’s SPI Pillar 1 score.</w:t>
      </w:r>
    </w:p>
    <w:bookmarkEnd w:id="20"/>
    <w:bookmarkStart w:id="21" w:name="pillar-2-data-services"/>
    <w:p>
      <w:pPr>
        <w:pStyle w:val="Heading2"/>
      </w:pPr>
      <w:r>
        <w:rPr>
          <w:rStyle w:val="SectionNumber"/>
        </w:rPr>
        <w:t xml:space="preserve">1.2</w:t>
      </w:r>
      <w:r>
        <w:tab/>
      </w: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Cuba received a score of</w:t>
      </w:r>
      <w:r>
        <w:t xml:space="preserve"> </w:t>
      </w:r>
      <w:r>
        <w:rPr>
          <w:b/>
        </w:rPr>
        <w:t xml:space="preserve">NA out of 100 for 2019 on the World Bank’s SPI Pillar 2 score.</w:t>
      </w:r>
    </w:p>
    <w:bookmarkEnd w:id="21"/>
    <w:bookmarkStart w:id="22" w:name="pillar-3-data-products"/>
    <w:p>
      <w:pPr>
        <w:pStyle w:val="Heading2"/>
      </w:pPr>
      <w:r>
        <w:rPr>
          <w:rStyle w:val="SectionNumber"/>
        </w:rPr>
        <w:t xml:space="preserve">1.3</w:t>
      </w:r>
      <w:r>
        <w:tab/>
      </w: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rPr>
        <w:t xml:space="preserve">Cuba received a score of 46.9 out of 100 for 2019 on the World Bank’s SPI Pillar 3 score.</w:t>
      </w:r>
    </w:p>
    <w:bookmarkEnd w:id="22"/>
    <w:bookmarkStart w:id="23" w:name="pillar-4-data-sources"/>
    <w:p>
      <w:pPr>
        <w:pStyle w:val="Heading2"/>
      </w:pPr>
      <w:r>
        <w:rPr>
          <w:rStyle w:val="SectionNumber"/>
        </w:rPr>
        <w:t xml:space="preserve">1.4</w:t>
      </w:r>
      <w:r>
        <w:tab/>
      </w: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rPr>
        <w:t xml:space="preserve">Cuba received a score of NA out of 100 for 2019 on the World Bank’s SPI Pillar 4 score.</w:t>
      </w:r>
    </w:p>
    <w:bookmarkEnd w:id="23"/>
    <w:bookmarkStart w:id="24" w:name="pillar-5-data-infrastructure"/>
    <w:p>
      <w:pPr>
        <w:pStyle w:val="Heading2"/>
      </w:pPr>
      <w:r>
        <w:rPr>
          <w:rStyle w:val="SectionNumber"/>
        </w:rPr>
        <w:t xml:space="preserve">1.5</w:t>
      </w:r>
      <w:r>
        <w:tab/>
      </w: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rPr>
        <w:t xml:space="preserve">Cuba received a score of NA out of 100 for 2019 on the World Bank’s SPI Pillar 5 score.</w:t>
      </w:r>
    </w:p>
    <w:bookmarkEnd w:id="24"/>
    <w:bookmarkStart w:id="31" w:name="spi-dimensions-and-indicators"/>
    <w:p>
      <w:pPr>
        <w:pStyle w:val="Heading2"/>
      </w:pPr>
      <w:r>
        <w:rPr>
          <w:rStyle w:val="SectionNumber"/>
        </w:rPr>
        <w:t xml:space="preserve">1.6</w:t>
      </w:r>
      <w:r>
        <w:tab/>
      </w: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rPr>
        <w:t xml:space="preserve">Cuba received a score of 0.7 out of 1 for 2019 on this dimension.</w:t>
      </w:r>
    </w:p>
    <w:p>
      <w:pPr>
        <w:numPr>
          <w:ilvl w:val="0"/>
          <w:numId w:val="1001"/>
        </w:numPr>
      </w:pPr>
      <w:r>
        <w:rPr>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rPr>
        <w:t xml:space="preserve">Cuba received a score of 0 out of 1 for 2019 on this dimension.</w:t>
      </w:r>
    </w:p>
    <w:p>
      <w:pPr>
        <w:numPr>
          <w:ilvl w:val="0"/>
          <w:numId w:val="1001"/>
        </w:numPr>
      </w:pPr>
      <w:r>
        <w:rPr>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
        </w:rPr>
        <w:t xml:space="preserve">Cuba received a score of 0.3 out of 1 for 2019 on this dimension.</w:t>
      </w:r>
    </w:p>
    <w:p>
      <w:pPr>
        <w:numPr>
          <w:ilvl w:val="0"/>
          <w:numId w:val="1001"/>
        </w:numPr>
      </w:pPr>
      <w:r>
        <w:rPr>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rPr>
        <w:t xml:space="preserve">Cuba received a score of NA out of 1 for 2019 on this dimension.</w:t>
      </w:r>
    </w:p>
    <w:p>
      <w:pPr>
        <w:numPr>
          <w:ilvl w:val="0"/>
          <w:numId w:val="1001"/>
        </w:numPr>
      </w:pPr>
      <w:r>
        <w:rPr>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
        </w:rPr>
        <w:t xml:space="preserve">Cuba received a score of 0.5 out of 1 for 2019 on this dimension.</w:t>
      </w:r>
    </w:p>
    <w:p>
      <w:pPr>
        <w:numPr>
          <w:ilvl w:val="0"/>
          <w:numId w:val="1001"/>
        </w:numPr>
      </w:pPr>
      <w:r>
        <w:rPr>
          <w:b/>
        </w:rPr>
        <w:t xml:space="preserve">Dimension 3.2: Economic Statistics:</w:t>
      </w:r>
      <w:r>
        <w:t xml:space="preserve"> </w:t>
      </w:r>
      <w:r>
        <w:t xml:space="preserve">Availability of Goal 7-12 indicators, measured by an average score. See 3.1.</w:t>
      </w:r>
      <w:r>
        <w:t xml:space="preserve"> </w:t>
      </w:r>
      <w:r>
        <w:rPr>
          <w:b/>
        </w:rPr>
        <w:t xml:space="preserve">Cuba received a score of 0.4 out of 1 for 2019 on this dimension.</w:t>
      </w:r>
    </w:p>
    <w:p>
      <w:pPr>
        <w:numPr>
          <w:ilvl w:val="0"/>
          <w:numId w:val="1001"/>
        </w:numPr>
      </w:pPr>
      <w:r>
        <w:rPr>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rPr>
        <w:t xml:space="preserve">Cuba received a score of 0.4 out of 1 for 2019 on this dimension.</w:t>
      </w:r>
    </w:p>
    <w:p>
      <w:pPr>
        <w:numPr>
          <w:ilvl w:val="0"/>
          <w:numId w:val="1001"/>
        </w:numPr>
      </w:pPr>
      <w:r>
        <w:rPr>
          <w:b/>
        </w:rPr>
        <w:t xml:space="preserve">Dimension 3.4: Institutional Statistics:</w:t>
      </w:r>
      <w:r>
        <w:t xml:space="preserve"> </w:t>
      </w:r>
      <w:r>
        <w:t xml:space="preserve">Availability of Goal 16-17 indicators measured by an average score. See 3.1.</w:t>
      </w:r>
      <w:r>
        <w:t xml:space="preserve"> </w:t>
      </w:r>
      <w:r>
        <w:rPr>
          <w:b/>
        </w:rPr>
        <w:t xml:space="preserve">Cuba received a score of 0.5 out of 1 for 2019 on this dimension.</w:t>
      </w:r>
    </w:p>
    <w:p>
      <w:pPr>
        <w:numPr>
          <w:ilvl w:val="0"/>
          <w:numId w:val="1001"/>
        </w:numPr>
      </w:pPr>
      <w:r>
        <w:rPr>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rPr>
        <w:t xml:space="preserve">Cuba received a score of NA out of 1 for 2019 on this dimension.</w:t>
      </w:r>
    </w:p>
    <w:p>
      <w:pPr>
        <w:numPr>
          <w:ilvl w:val="0"/>
          <w:numId w:val="1001"/>
        </w:numPr>
      </w:pPr>
      <w:r>
        <w:rPr>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rPr>
        <w:t xml:space="preserve">Cuba received a score of 1 out of 1 for 2019 on this dimension.</w:t>
      </w:r>
    </w:p>
    <w:p>
      <w:pPr>
        <w:numPr>
          <w:ilvl w:val="0"/>
          <w:numId w:val="1001"/>
        </w:numPr>
      </w:pPr>
      <w:r>
        <w:rPr>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rPr>
        <w:t xml:space="preserve">Cuba received a score of 0.2 out of 1 for 2019 on this dimension.</w:t>
      </w:r>
    </w:p>
    <w:p>
      <w:pPr>
        <w:numPr>
          <w:ilvl w:val="0"/>
          <w:numId w:val="1001"/>
        </w:numPr>
      </w:pPr>
      <w:r>
        <w:rPr>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rPr>
        <w:t xml:space="preserve">Cuba received a score of NA out of 1 for 2019 on this dimension.</w:t>
      </w:r>
    </w:p>
    <w:p>
      <w:pPr>
        <w:numPr>
          <w:ilvl w:val="0"/>
          <w:numId w:val="1001"/>
        </w:numPr>
      </w:pPr>
      <w:r>
        <w:rPr>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4" w:name="line-and-tile-chart"/>
    <w:p>
      <w:pPr>
        <w:pStyle w:val="Heading2"/>
      </w:pPr>
      <w:r>
        <w:rPr>
          <w:rStyle w:val="SectionNumber"/>
        </w:rPr>
        <w:t xml:space="preserve">1.7</w:t>
      </w:r>
      <w:r>
        <w:tab/>
      </w:r>
      <w:r>
        <w:t xml:space="preserve">Line and Tile Chart</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line_charts-1.png" id="0" name="Picture"/>
                    <pic:cNvPicPr>
                      <a:picLocks noChangeArrowheads="1" noChangeAspect="1"/>
                    </pic:cNvPicPr>
                  </pic:nvPicPr>
                  <pic:blipFill>
                    <a:blip r:embed="rId3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overall-1.png" id="0" name="Picture"/>
                    <pic:cNvPicPr>
                      <a:picLocks noChangeArrowheads="1" noChangeAspect="1"/>
                    </pic:cNvPicPr>
                  </pic:nvPicPr>
                  <pic:blipFill>
                    <a:blip r:embed="rId33"/>
                    <a:stretch>
                      <a:fillRect/>
                    </a:stretch>
                  </pic:blipFill>
                  <pic:spPr bwMode="auto">
                    <a:xfrm>
                      <a:off x="0" y="0"/>
                      <a:ext cx="5334000" cy="3556000"/>
                    </a:xfrm>
                    <a:prstGeom prst="rect">
                      <a:avLst/>
                    </a:prstGeom>
                    <a:noFill/>
                    <a:ln w="9525">
                      <a:noFill/>
                      <a:headEnd/>
                      <a:tailEnd/>
                    </a:ln>
                  </pic:spPr>
                </pic:pic>
              </a:graphicData>
            </a:graphic>
          </wp:inline>
        </w:drawing>
      </w:r>
    </w:p>
    <w:bookmarkEnd w:id="34"/>
    <w:bookmarkStart w:id="37" w:name="pillar-1-data-use-1"/>
    <w:p>
      <w:pPr>
        <w:pStyle w:val="Heading2"/>
      </w:pPr>
      <w:r>
        <w:rPr>
          <w:rStyle w:val="SectionNumber"/>
        </w:rPr>
        <w:t xml:space="preserve">1.8</w:t>
      </w:r>
      <w:r>
        <w:tab/>
      </w:r>
      <w:r>
        <w:t xml:space="preserve">Pillar 1: Data Use</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1-1.png" id="0" name="Picture"/>
                    <pic:cNvPicPr>
                      <a:picLocks noChangeArrowheads="1" noChangeAspect="1"/>
                    </pic:cNvPicPr>
                  </pic:nvPicPr>
                  <pic:blipFill>
                    <a:blip r:embed="rId35"/>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1tile-1.png" id="0" name="Picture"/>
                    <pic:cNvPicPr>
                      <a:picLocks noChangeArrowheads="1" noChangeAspect="1"/>
                    </pic:cNvPicPr>
                  </pic:nvPicPr>
                  <pic:blipFill>
                    <a:blip r:embed="rId36"/>
                    <a:stretch>
                      <a:fillRect/>
                    </a:stretch>
                  </pic:blipFill>
                  <pic:spPr bwMode="auto">
                    <a:xfrm>
                      <a:off x="0" y="0"/>
                      <a:ext cx="5334000" cy="4148666"/>
                    </a:xfrm>
                    <a:prstGeom prst="rect">
                      <a:avLst/>
                    </a:prstGeom>
                    <a:noFill/>
                    <a:ln w="9525">
                      <a:noFill/>
                      <a:headEnd/>
                      <a:tailEnd/>
                    </a:ln>
                  </pic:spPr>
                </pic:pic>
              </a:graphicData>
            </a:graphic>
          </wp:inline>
        </w:drawing>
      </w:r>
    </w:p>
    <w:bookmarkEnd w:id="37"/>
    <w:bookmarkStart w:id="40" w:name="pillar-2-data-services-1"/>
    <w:p>
      <w:pPr>
        <w:pStyle w:val="Heading2"/>
      </w:pPr>
      <w:r>
        <w:rPr>
          <w:rStyle w:val="SectionNumber"/>
        </w:rPr>
        <w:t xml:space="preserve">1.9</w:t>
      </w:r>
      <w:r>
        <w:tab/>
      </w:r>
      <w:r>
        <w:t xml:space="preserve">Pillar 2: Data Services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2-1.png" id="0" name="Picture"/>
                    <pic:cNvPicPr>
                      <a:picLocks noChangeArrowheads="1" noChangeAspect="1"/>
                    </pic:cNvPicPr>
                  </pic:nvPicPr>
                  <pic:blipFill>
                    <a:blip r:embed="rId38"/>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4148666"/>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2tile-1.png" id="0" name="Picture"/>
                    <pic:cNvPicPr>
                      <a:picLocks noChangeArrowheads="1" noChangeAspect="1"/>
                    </pic:cNvPicPr>
                  </pic:nvPicPr>
                  <pic:blipFill>
                    <a:blip r:embed="rId39"/>
                    <a:stretch>
                      <a:fillRect/>
                    </a:stretch>
                  </pic:blipFill>
                  <pic:spPr bwMode="auto">
                    <a:xfrm>
                      <a:off x="0" y="0"/>
                      <a:ext cx="5334000" cy="4148666"/>
                    </a:xfrm>
                    <a:prstGeom prst="rect">
                      <a:avLst/>
                    </a:prstGeom>
                    <a:noFill/>
                    <a:ln w="9525">
                      <a:noFill/>
                      <a:headEnd/>
                      <a:tailEnd/>
                    </a:ln>
                  </pic:spPr>
                </pic:pic>
              </a:graphicData>
            </a:graphic>
          </wp:inline>
        </w:drawing>
      </w:r>
    </w:p>
    <w:bookmarkEnd w:id="40"/>
    <w:bookmarkEnd w:id="41"/>
    <w:bookmarkStart w:id="48" w:name="pillar-3-data-products-1"/>
    <w:p>
      <w:pPr>
        <w:pStyle w:val="Heading1"/>
      </w:pPr>
      <w:r>
        <w:rPr>
          <w:rStyle w:val="SectionNumber"/>
        </w:rPr>
        <w:t xml:space="preserve">2</w:t>
      </w:r>
      <w:r>
        <w:tab/>
      </w:r>
      <w:r>
        <w:t xml:space="preserve">Pillar 3: Data Products</w:t>
      </w:r>
    </w:p>
    <w:p>
      <w:pPr>
        <w:pStyle w:val="FirstParagraph"/>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3-1.png" id="0"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3tile-1.png" id="0" name="Picture"/>
                    <pic:cNvPicPr>
                      <a:picLocks noChangeArrowheads="1" noChangeAspect="1"/>
                    </pic:cNvPicPr>
                  </pic:nvPicPr>
                  <pic:blipFill>
                    <a:blip r:embed="rId43"/>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4-1.png" id="0" name="Picture"/>
                    <pic:cNvPicPr>
                      <a:picLocks noChangeArrowheads="1" noChangeAspect="1"/>
                    </pic:cNvPicPr>
                  </pic:nvPicPr>
                  <pic:blipFill>
                    <a:blip r:embed="rId44"/>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4tile-1.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drawing>
          <wp:inline>
            <wp:extent cx="5334000" cy="3556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5-1.png" id="0" name="Picture"/>
                    <pic:cNvPicPr>
                      <a:picLocks noChangeArrowheads="1" noChangeAspect="1"/>
                    </pic:cNvPicPr>
                  </pic:nvPicPr>
                  <pic:blipFill>
                    <a:blip r:embed="rId46"/>
                    <a:stretch>
                      <a:fillRect/>
                    </a:stretch>
                  </pic:blipFill>
                  <pic:spPr bwMode="auto">
                    <a:xfrm>
                      <a:off x="0" y="0"/>
                      <a:ext cx="5334000" cy="3556000"/>
                    </a:xfrm>
                    <a:prstGeom prst="rect">
                      <a:avLst/>
                    </a:prstGeom>
                    <a:noFill/>
                    <a:ln w="9525">
                      <a:noFill/>
                      <a:headEnd/>
                      <a:tailEnd/>
                    </a:ln>
                  </pic:spPr>
                </pic:pic>
              </a:graphicData>
            </a:graphic>
          </wp:inline>
        </w:drawing>
      </w:r>
    </w:p>
    <w:p>
      <w:pPr>
        <w:pStyle w:val="BodyText"/>
      </w:pPr>
      <w:r>
        <w:drawing>
          <wp:inline>
            <wp:extent cx="5334000" cy="5334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D5tile-1.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bookmarkEnd w:id="48"/>
    <w:bookmarkStart w:id="54" w:name="by-indicator"/>
    <w:p>
      <w:pPr>
        <w:pStyle w:val="Heading1"/>
      </w:pPr>
      <w:r>
        <w:rPr>
          <w:rStyle w:val="SectionNumber"/>
        </w:rPr>
        <w:t xml:space="preserve">3</w:t>
      </w:r>
      <w:r>
        <w:tab/>
      </w:r>
      <w:r>
        <w:t xml:space="preserve">By Indicator</w:t>
      </w:r>
    </w:p>
    <w:p>
      <w:pPr>
        <w:pStyle w:val="FirstParagraph"/>
      </w:pPr>
      <w:r>
        <w:drawing>
          <wp:inline>
            <wp:extent cx="5334000" cy="37338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lolliplot1-1.png" id="0" name="Picture"/>
                    <pic:cNvPicPr>
                      <a:picLocks noChangeArrowheads="1" noChangeAspect="1"/>
                    </pic:cNvPicPr>
                  </pic:nvPicPr>
                  <pic:blipFill>
                    <a:blip r:embed="rId49"/>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drawing>
          <wp:inline>
            <wp:extent cx="5334000" cy="26670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lolliplot2-1.png" id="0"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drawing>
          <wp:inline>
            <wp:extent cx="5334000" cy="48006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lolliplot3-1.png" id="0" name="Picture"/>
                    <pic:cNvPicPr>
                      <a:picLocks noChangeArrowheads="1" noChangeAspect="1"/>
                    </pic:cNvPicPr>
                  </pic:nvPicPr>
                  <pic:blipFill>
                    <a:blip r:embed="rId51"/>
                    <a:stretch>
                      <a:fillRect/>
                    </a:stretch>
                  </pic:blipFill>
                  <pic:spPr bwMode="auto">
                    <a:xfrm>
                      <a:off x="0" y="0"/>
                      <a:ext cx="5334000" cy="48006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lolliplot4-1.png" id="0" name="Picture"/>
                    <pic:cNvPicPr>
                      <a:picLocks noChangeArrowheads="1" noChangeAspect="1"/>
                    </pic:cNvPicPr>
                  </pic:nvPicPr>
                  <pic:blipFill>
                    <a:blip r:embed="rId5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1" name="Picture"/>
            <a:graphic>
              <a:graphicData uri="http://schemas.openxmlformats.org/drawingml/2006/picture">
                <pic:pic>
                  <pic:nvPicPr>
                    <pic:cNvPr descr="C:\Users\wb469649\OneDrive%20-%20WBG\DECIS\SPI\country_reports\Latin%20America%20&amp;%20Caribbean\Cuba%20Country%20Report_files/figure-docx/lolliplot5-1.png" id="0" name="Picture"/>
                    <pic:cNvPicPr>
                      <a:picLocks noChangeArrowheads="1" noChangeAspect="1"/>
                    </pic:cNvPicPr>
                  </pic:nvPicPr>
                  <pic:blipFill>
                    <a:blip r:embed="rId53"/>
                    <a:stretch>
                      <a:fillRect/>
                    </a:stretch>
                  </pic:blipFill>
                  <pic:spPr bwMode="auto">
                    <a:xfrm>
                      <a:off x="0" y="0"/>
                      <a:ext cx="5334000" cy="4267200"/>
                    </a:xfrm>
                    <a:prstGeom prst="rect">
                      <a:avLst/>
                    </a:prstGeom>
                    <a:noFill/>
                    <a:ln w="9525">
                      <a:noFill/>
                      <a:headEnd/>
                      <a:tailEnd/>
                    </a:ln>
                  </pic:spPr>
                </pic:pic>
              </a:graphicData>
            </a:graphic>
          </wp:inline>
        </w:drawing>
      </w:r>
    </w:p>
    <w:bookmarkEnd w:id="54"/>
    <w:bookmarkStart w:id="55" w:name="table-of-raw-indicators-and-scores"/>
    <w:p>
      <w:pPr>
        <w:pStyle w:val="Heading1"/>
      </w:pPr>
      <w:r>
        <w:rPr>
          <w:rStyle w:val="SectionNumber"/>
        </w:rPr>
        <w:t xml:space="preserve">4</w:t>
      </w:r>
      <w:r>
        <w:tab/>
      </w:r>
      <w:r>
        <w:t xml:space="preserve">Table of Raw Indicators and Scores</w:t>
      </w:r>
    </w:p>
    <w:bookmarkEnd w:id="55"/>
    <w:bookmarkStart w:id="56" w:name="censuses-and-surveys"/>
    <w:p>
      <w:pPr>
        <w:pStyle w:val="Heading1"/>
      </w:pPr>
      <w:r>
        <w:rPr>
          <w:rStyle w:val="SectionNumber"/>
        </w:rPr>
        <w:t xml:space="preserve">5</w:t>
      </w:r>
      <w:r>
        <w:tab/>
      </w: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Cuba SPI Indicator Data in 2019.</w:t>
            </w:r>
          </w:p>
        </w:tc>
      </w:tr>
      <w:tr>
        <w:trPr>
          <w:cantSplit/>
          <w:trHeight w:val="617"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Census/Survey Dates</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Population &amp; Housing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2012</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census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Household Survey on income, etc</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Agriculture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Labor Force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Health/Demographic survey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0.67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2000, 2006, 2011, 2014</w:t>
            </w:r>
          </w:p>
        </w:tc>
      </w:tr>
      <w:tr>
        <w:trPr>
          <w:cantSplit/>
          <w:trHeight w:val="61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Business/establishment survey</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6"/>
    <w:bookmarkStart w:id="57" w:name="methods-standard"/>
    <w:p>
      <w:pPr>
        <w:pStyle w:val="Heading1"/>
      </w:pPr>
      <w:r>
        <w:rPr>
          <w:rStyle w:val="SectionNumber"/>
        </w:rPr>
        <w:t xml:space="preserve">6</w:t>
      </w:r>
      <w:r>
        <w:tab/>
      </w: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304"/>
        <w:gridCol w:w="2304"/>
        <w:gridCol w:w="2304"/>
      </w:tblGrid>
      <w:tr>
        <w:trPr>
          <w:cantSplit/>
          <w:trHeight w:val="574" w:hRule="auto"/>
          <w:tblHeader/>
        </w:trPr>
        <w:tc>
          <w:tcPr>
            <w:gridSpan w:val="3"/>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Cuba SPI Indicator Data in 2019.</w:t>
            </w:r>
          </w:p>
        </w:tc>
      </w:tr>
      <w:tr>
        <w:trPr>
          <w:cantSplit/>
          <w:trHeight w:val="602"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Indicator</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Scored Value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Method, Standard, or Classification</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System of national accounts in use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Country uses the 1993 System of National Accounts methodology</w:t>
            </w:r>
          </w:p>
        </w:tc>
      </w:tr>
      <w:tr>
        <w:trPr>
          <w:cantSplit/>
          <w:trHeight w:val="61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National Accounts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1997</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national industry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CPI base year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household consumption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Classification of status of employment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Central government accounting status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government finance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Compilation of monetary and financial statistics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r>
        <w:trPr>
          <w:cantSplit/>
          <w:trHeight w:val="61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Business process</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Not Applicable/Available</w:t>
            </w:r>
          </w:p>
        </w:tc>
      </w:tr>
    </w:tbl>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32" Target="media/rId32.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
<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Cuba Country Report</dc:title>
  <dc:creator>SPI Team</dc:creator>
  <cp:keywords/>
  <dcterms:created xsi:type="dcterms:W3CDTF">2021-05-25T11:43:24Z</dcterms:created>
  <dcterms:modified xsi:type="dcterms:W3CDTF">2021-05-25T11:43:24Z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2021-05-25</vt:lpwstr>
  </property>
  <property fmtid="{D5CDD505-2E9C-101B-9397-08002B2CF9AE}" pid="3" name="output">
    <vt:lpwstr>bookdown::word_document2</vt:lpwstr>
  </property>
  <property fmtid="{D5CDD505-2E9C-101B-9397-08002B2CF9AE}" pid="4" name="params">
    <vt:lpwstr/>
  </property>
</Properties>
</file>