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CUESTIONARIO METODOLOGÍA CRISP-DM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Computación Blanda – 2020-02</w:t>
      </w:r>
    </w:p>
    <w:p w:rsidR="00000000" w:rsidDel="00000000" w:rsidP="00000000" w:rsidRDefault="00000000" w:rsidRPr="00000000" w14:paraId="00000003">
      <w:pPr>
        <w:tabs>
          <w:tab w:val="right" w:pos="8838"/>
        </w:tabs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AGOSTO 28 DE 2020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JORGE OROBIO AUZ</w:t>
        <w:tab/>
        <w:t xml:space="preserve">CÓDIGO:1007882153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¿Cuál es la fase que se considera probablemente la más importante de la metodología?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fase de comprensión del negocio o problema</w:t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Haga una lista de las tareas generales de la fase de comprensión del negocio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Determinar el objetivo del negocio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Valoración la situación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Determinar los objetivos del data mining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Realizar el plan del proyecto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¿En qué fase se establece el plan del proyecto?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fase de comprensión del negocio o problema, en el apartado de Realizar el plan del proyecto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¿En qué fase se define el coste y beneficios del negocio?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fase de comprensión del negocio o problema, en el apartado de valoración la situación 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Definir los criterios de éxito del negocio, ¿es una tarea general o específica?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Específica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¿Cuáles son las fases que demandan mayor esfuerzo y tiempo en la metodología DM?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fases de comprensión, preparación y modelado de los datos 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Enuncie las tareas específicas que deben realizarse en la verificación de la calidad de los datos.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Determinar la consistencia de los valores individuales de los campos,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¿En qué fase se realiza la limpieza de los datos?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preparación de los datos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¿En qué fase se encuentra la necesidad (potencial) de la creación de nuevas estructuras de datos?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preparación de los datos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¿En qué fase se realiza la selección de la técnica de DM más apropiada?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Modelado</w:t>
      </w:r>
    </w:p>
    <w:p w:rsidR="00000000" w:rsidDel="00000000" w:rsidP="00000000" w:rsidRDefault="00000000" w:rsidRPr="00000000" w14:paraId="0000001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Si se determina que un modelo produce resultados no satisfactorios en relación con los objetivos del negocio, ¿En qué fase se ha realizado dicho descubrimiento?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de evaluación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¿A qué tarea general corresponde la actividad específica: “Plan de monitorización y mantenimiento?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Plan de monitoreo y mantención  </w:t>
      </w:r>
    </w:p>
    <w:sectPr>
      <w:headerReference r:id="rId6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