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CF8C8D" w14:textId="69CCDC09" w:rsidR="009F2FDC" w:rsidRPr="00FF241B" w:rsidRDefault="00E75834" w:rsidP="00D20AE0">
      <w:pPr>
        <w:rPr>
          <w:b/>
          <w:bCs/>
        </w:rPr>
      </w:pPr>
      <w:r w:rsidRPr="00FF241B">
        <w:rPr>
          <w:b/>
          <w:bCs/>
        </w:rPr>
        <w:t>1. Problemática</w:t>
      </w:r>
    </w:p>
    <w:p w14:paraId="1031728F" w14:textId="0272A4C9" w:rsidR="009F2FDC" w:rsidRPr="00337CD5" w:rsidRDefault="00F95FD6" w:rsidP="009F2FDC">
      <w:pPr>
        <w:ind w:firstLine="708"/>
        <w:rPr>
          <w:rFonts w:ascii="Times New Roman" w:hAnsi="Times New Roman" w:cs="Times New Roman"/>
          <w:noProof/>
          <w:sz w:val="24"/>
          <w:szCs w:val="24"/>
          <w:lang w:val="es-CO"/>
        </w:rPr>
      </w:pPr>
      <w:r w:rsidRPr="00FF241B">
        <w:rPr>
          <w:rFonts w:ascii="Times New Roman" w:hAnsi="Times New Roman" w:cs="Times New Roman"/>
          <w:sz w:val="24"/>
          <w:szCs w:val="24"/>
        </w:rPr>
        <w:t xml:space="preserve">A nivel </w:t>
      </w:r>
      <w:r w:rsidR="009F2FDC" w:rsidRPr="00FF241B">
        <w:rPr>
          <w:rFonts w:ascii="Times New Roman" w:hAnsi="Times New Roman" w:cs="Times New Roman"/>
          <w:sz w:val="24"/>
          <w:szCs w:val="24"/>
        </w:rPr>
        <w:t>global</w:t>
      </w:r>
      <w:r w:rsidRPr="00FF241B">
        <w:rPr>
          <w:rFonts w:ascii="Times New Roman" w:hAnsi="Times New Roman" w:cs="Times New Roman"/>
          <w:sz w:val="24"/>
          <w:szCs w:val="24"/>
        </w:rPr>
        <w:t xml:space="preserve"> la tecnología </w:t>
      </w:r>
      <w:r w:rsidRPr="00337CD5">
        <w:rPr>
          <w:rFonts w:ascii="Times New Roman" w:hAnsi="Times New Roman" w:cs="Times New Roman"/>
          <w:sz w:val="24"/>
          <w:szCs w:val="24"/>
        </w:rPr>
        <w:t>fotovoltaica es clasificad</w:t>
      </w:r>
      <w:r w:rsidR="00B703FD" w:rsidRPr="00337CD5">
        <w:rPr>
          <w:rFonts w:ascii="Times New Roman" w:hAnsi="Times New Roman" w:cs="Times New Roman"/>
          <w:sz w:val="24"/>
          <w:szCs w:val="24"/>
        </w:rPr>
        <w:t>a</w:t>
      </w:r>
      <w:r w:rsidRPr="00337CD5">
        <w:rPr>
          <w:rFonts w:ascii="Times New Roman" w:hAnsi="Times New Roman" w:cs="Times New Roman"/>
          <w:sz w:val="24"/>
          <w:szCs w:val="24"/>
        </w:rPr>
        <w:t xml:space="preserve"> uno de los </w:t>
      </w:r>
      <w:r w:rsidR="009F2FDC" w:rsidRPr="00337CD5">
        <w:rPr>
          <w:rFonts w:ascii="Times New Roman" w:hAnsi="Times New Roman" w:cs="Times New Roman"/>
          <w:sz w:val="24"/>
          <w:szCs w:val="24"/>
        </w:rPr>
        <w:t>pilar</w:t>
      </w:r>
      <w:r w:rsidRPr="00337CD5">
        <w:rPr>
          <w:rFonts w:ascii="Times New Roman" w:hAnsi="Times New Roman" w:cs="Times New Roman"/>
          <w:sz w:val="24"/>
          <w:szCs w:val="24"/>
        </w:rPr>
        <w:t>es</w:t>
      </w:r>
      <w:r w:rsidR="009F2FDC" w:rsidRPr="00337CD5">
        <w:rPr>
          <w:rFonts w:ascii="Times New Roman" w:hAnsi="Times New Roman" w:cs="Times New Roman"/>
          <w:sz w:val="24"/>
          <w:szCs w:val="24"/>
        </w:rPr>
        <w:t xml:space="preserve"> fundamental</w:t>
      </w:r>
      <w:r w:rsidRPr="00337CD5">
        <w:rPr>
          <w:rFonts w:ascii="Times New Roman" w:hAnsi="Times New Roman" w:cs="Times New Roman"/>
          <w:sz w:val="24"/>
          <w:szCs w:val="24"/>
        </w:rPr>
        <w:t>es ya que requiere una transición tecnológica inmediata hacia mecanismos de alta eficiencia</w:t>
      </w:r>
      <w:r w:rsidR="00FF241B" w:rsidRPr="00337CD5">
        <w:rPr>
          <w:rFonts w:ascii="Times New Roman" w:hAnsi="Times New Roman" w:cs="Times New Roman"/>
          <w:sz w:val="24"/>
          <w:szCs w:val="24"/>
        </w:rPr>
        <w:t xml:space="preserve">, </w:t>
      </w:r>
      <w:r w:rsidRPr="00337CD5">
        <w:rPr>
          <w:rFonts w:ascii="Times New Roman" w:hAnsi="Times New Roman" w:cs="Times New Roman"/>
          <w:sz w:val="24"/>
          <w:szCs w:val="24"/>
        </w:rPr>
        <w:t xml:space="preserve">promoviendo la descarbonización en el planeta </w:t>
      </w:r>
      <w:r w:rsidR="00B703FD" w:rsidRPr="00337CD5">
        <w:rPr>
          <w:rFonts w:ascii="Times New Roman" w:hAnsi="Times New Roman" w:cs="Times New Roman"/>
          <w:noProof/>
          <w:sz w:val="24"/>
          <w:szCs w:val="24"/>
          <w:lang w:val="es-CO"/>
        </w:rPr>
        <w:t>(Energía y Sociedad, 2024)</w:t>
      </w:r>
      <w:r w:rsidR="009F2FDC" w:rsidRPr="00337CD5">
        <w:rPr>
          <w:rFonts w:ascii="Times New Roman" w:hAnsi="Times New Roman" w:cs="Times New Roman"/>
          <w:sz w:val="24"/>
          <w:szCs w:val="24"/>
        </w:rPr>
        <w:t xml:space="preserve">. Sin embargo, </w:t>
      </w:r>
      <w:r w:rsidR="00B703FD" w:rsidRPr="00337CD5">
        <w:rPr>
          <w:rFonts w:ascii="Times New Roman" w:hAnsi="Times New Roman" w:cs="Times New Roman"/>
          <w:sz w:val="24"/>
          <w:szCs w:val="24"/>
        </w:rPr>
        <w:t xml:space="preserve">la fabricación masiva </w:t>
      </w:r>
      <w:r w:rsidR="009F2FDC" w:rsidRPr="00337CD5">
        <w:rPr>
          <w:rFonts w:ascii="Times New Roman" w:hAnsi="Times New Roman" w:cs="Times New Roman"/>
          <w:sz w:val="24"/>
          <w:szCs w:val="24"/>
        </w:rPr>
        <w:t xml:space="preserve">ha generado una </w:t>
      </w:r>
      <w:r w:rsidR="00B703FD" w:rsidRPr="00337CD5">
        <w:rPr>
          <w:rFonts w:ascii="Times New Roman" w:hAnsi="Times New Roman" w:cs="Times New Roman"/>
          <w:sz w:val="24"/>
          <w:szCs w:val="24"/>
        </w:rPr>
        <w:t xml:space="preserve">controversia </w:t>
      </w:r>
      <w:r w:rsidR="009F2FDC" w:rsidRPr="00337CD5">
        <w:rPr>
          <w:rFonts w:ascii="Times New Roman" w:hAnsi="Times New Roman" w:cs="Times New Roman"/>
          <w:sz w:val="24"/>
          <w:szCs w:val="24"/>
        </w:rPr>
        <w:t xml:space="preserve">entre la instalación de infraestructura y la capacidad tecnológica para gestionar </w:t>
      </w:r>
      <w:r w:rsidR="00B703FD" w:rsidRPr="00337CD5">
        <w:rPr>
          <w:rFonts w:ascii="Times New Roman" w:hAnsi="Times New Roman" w:cs="Times New Roman"/>
          <w:sz w:val="24"/>
          <w:szCs w:val="24"/>
        </w:rPr>
        <w:t>el fin de su vida útil</w:t>
      </w:r>
      <w:r w:rsidR="009F2FDC" w:rsidRPr="00337CD5">
        <w:rPr>
          <w:rFonts w:ascii="Times New Roman" w:hAnsi="Times New Roman" w:cs="Times New Roman"/>
          <w:sz w:val="24"/>
          <w:szCs w:val="24"/>
        </w:rPr>
        <w:t xml:space="preserve">. Según el informe técnico de la International Renewable Energy Agency </w:t>
      </w:r>
      <w:r w:rsidR="0087475F" w:rsidRPr="00337CD5">
        <w:rPr>
          <w:rFonts w:ascii="Times New Roman" w:hAnsi="Times New Roman" w:cs="Times New Roman"/>
          <w:sz w:val="24"/>
          <w:szCs w:val="24"/>
        </w:rPr>
        <w:t>y</w:t>
      </w:r>
      <w:r w:rsidR="009F2FDC" w:rsidRPr="00337CD5">
        <w:rPr>
          <w:rFonts w:ascii="Times New Roman" w:hAnsi="Times New Roman" w:cs="Times New Roman"/>
          <w:sz w:val="24"/>
          <w:szCs w:val="24"/>
        </w:rPr>
        <w:t xml:space="preserve"> el Photovoltaic Power Systems Programme se proyecta que para el año 2050 el volumen acumulado de residuos de paneles solares alcanzará los 78 millones de toneladas a nivel mundial. Aunque la tecnología permite recuperar hasta el 95% de materiales como el silicio y el aluminio,</w:t>
      </w:r>
      <w:r w:rsidR="0087475F" w:rsidRPr="00337CD5">
        <w:rPr>
          <w:rFonts w:ascii="Times New Roman" w:hAnsi="Times New Roman" w:cs="Times New Roman"/>
          <w:sz w:val="24"/>
          <w:szCs w:val="24"/>
        </w:rPr>
        <w:t xml:space="preserve"> la mala administración en los </w:t>
      </w:r>
      <w:r w:rsidR="009F2FDC" w:rsidRPr="00337CD5">
        <w:rPr>
          <w:rFonts w:ascii="Times New Roman" w:hAnsi="Times New Roman" w:cs="Times New Roman"/>
          <w:sz w:val="24"/>
          <w:szCs w:val="24"/>
        </w:rPr>
        <w:t>costo</w:t>
      </w:r>
      <w:r w:rsidR="0087475F" w:rsidRPr="00337CD5">
        <w:rPr>
          <w:rFonts w:ascii="Times New Roman" w:hAnsi="Times New Roman" w:cs="Times New Roman"/>
          <w:sz w:val="24"/>
          <w:szCs w:val="24"/>
        </w:rPr>
        <w:t>s</w:t>
      </w:r>
      <w:r w:rsidR="009F2FDC" w:rsidRPr="00337CD5">
        <w:rPr>
          <w:rFonts w:ascii="Times New Roman" w:hAnsi="Times New Roman" w:cs="Times New Roman"/>
          <w:sz w:val="24"/>
          <w:szCs w:val="24"/>
        </w:rPr>
        <w:t xml:space="preserve"> y la falta de infraestructura especializada provocan que, actualmente, menos del 10% de estos componentes entren en procesos de reciclaje estandarizados </w:t>
      </w:r>
      <w:r w:rsidR="000A1E47" w:rsidRPr="00337CD5">
        <w:rPr>
          <w:rFonts w:ascii="Times New Roman" w:hAnsi="Times New Roman" w:cs="Times New Roman"/>
          <w:noProof/>
          <w:sz w:val="24"/>
          <w:szCs w:val="24"/>
          <w:lang w:val="es-CO"/>
        </w:rPr>
        <w:t>(Komoto &amp; Lee, 2018)</w:t>
      </w:r>
    </w:p>
    <w:p w14:paraId="345C39B7" w14:textId="09D5CAAC" w:rsidR="000A1E47" w:rsidRPr="00FF241B" w:rsidRDefault="000A1E47" w:rsidP="000A1E47">
      <w:pPr>
        <w:ind w:firstLine="708"/>
        <w:rPr>
          <w:rFonts w:ascii="Times New Roman" w:hAnsi="Times New Roman" w:cs="Times New Roman"/>
          <w:sz w:val="24"/>
          <w:szCs w:val="24"/>
        </w:rPr>
      </w:pPr>
      <w:r w:rsidRPr="00337CD5">
        <w:rPr>
          <w:rStyle w:val="citation-144"/>
          <w:rFonts w:ascii="Times New Roman" w:hAnsi="Times New Roman" w:cs="Times New Roman"/>
          <w:sz w:val="24"/>
          <w:szCs w:val="24"/>
        </w:rPr>
        <w:t xml:space="preserve">Como lo señala la Comisión Económica para América Latina y el Caribe </w:t>
      </w:r>
      <w:r w:rsidR="00D20AE0" w:rsidRPr="00337CD5">
        <w:rPr>
          <w:rFonts w:ascii="Times New Roman" w:hAnsi="Times New Roman" w:cs="Times New Roman"/>
          <w:noProof/>
          <w:sz w:val="24"/>
          <w:szCs w:val="24"/>
          <w:lang w:val="es-CO"/>
        </w:rPr>
        <w:t>(Consejo Nacional de Política Económica y Social (CONPES), 2025)</w:t>
      </w:r>
      <w:r w:rsidRPr="00337CD5">
        <w:rPr>
          <w:rStyle w:val="citation-144"/>
          <w:rFonts w:ascii="Times New Roman" w:hAnsi="Times New Roman" w:cs="Times New Roman"/>
          <w:sz w:val="24"/>
          <w:szCs w:val="24"/>
        </w:rPr>
        <w:t>, aunque países como Brasil, Chile y Colombia han acelerado su transición sola.</w:t>
      </w:r>
      <w:r w:rsidRPr="00337CD5">
        <w:rPr>
          <w:rFonts w:ascii="Times New Roman" w:hAnsi="Times New Roman" w:cs="Times New Roman"/>
          <w:sz w:val="24"/>
          <w:szCs w:val="24"/>
        </w:rPr>
        <w:t xml:space="preserve"> La mayoría de los países latinoamericanos carece de políticas de Responsabilidad Extendida del Productor que obliguen a los fabricantes e importadores a gestionar los residuos tóxicos como el plomo y el cadmio que resultan tras los 25 años de vida útil de los paneles, lo que amenaza con convertir una solución ambiental en una crisis de basura electrónica a largo plazo.</w:t>
      </w:r>
    </w:p>
    <w:p w14:paraId="05A077B8" w14:textId="361BF82B" w:rsidR="00D20AE0" w:rsidRDefault="00D20AE0" w:rsidP="000A1E47">
      <w:pPr>
        <w:ind w:firstLine="708"/>
        <w:rPr>
          <w:rFonts w:ascii="Times New Roman" w:hAnsi="Times New Roman" w:cs="Times New Roman"/>
          <w:sz w:val="24"/>
          <w:szCs w:val="24"/>
        </w:rPr>
      </w:pPr>
      <w:r w:rsidRPr="00FF241B">
        <w:rPr>
          <w:rFonts w:ascii="Times New Roman" w:hAnsi="Times New Roman" w:cs="Times New Roman"/>
          <w:sz w:val="24"/>
          <w:szCs w:val="24"/>
        </w:rPr>
        <w:t>En Colombia, la situación es preocupante debido al impulso gubernamental de programas como "Colombia Solar", el cual proyecta una inversión masiva para llevar energía a más de 1.3 millones de familias</w:t>
      </w:r>
      <w:r w:rsidR="004D6EDE" w:rsidRPr="00FF241B">
        <w:rPr>
          <w:rFonts w:ascii="Times New Roman" w:hAnsi="Times New Roman" w:cs="Times New Roman"/>
          <w:sz w:val="24"/>
          <w:szCs w:val="24"/>
        </w:rPr>
        <w:t xml:space="preserve">. </w:t>
      </w:r>
      <w:r w:rsidRPr="00FF241B">
        <w:rPr>
          <w:rFonts w:ascii="Times New Roman" w:hAnsi="Times New Roman" w:cs="Times New Roman"/>
          <w:sz w:val="24"/>
          <w:szCs w:val="24"/>
        </w:rPr>
        <w:t>Si bien esto representa un avance sociocultural, cualitativamente el problema radica en que no existen instalaciones locales para el tratamiento de estos residuos. El Decreto 670 de 2025 y el programa Basura Cero han empezado a integrar el concepto de economía circular, pero la industria fotovoltaica aún opera bajo una lógica de "instalar y olvidar", sin reportar con transparencia la huella de carbono real de la disposición final de los componentes.</w:t>
      </w:r>
      <w:sdt>
        <w:sdtPr>
          <w:rPr>
            <w:rFonts w:ascii="Times New Roman" w:hAnsi="Times New Roman" w:cs="Times New Roman"/>
            <w:sz w:val="24"/>
            <w:szCs w:val="24"/>
          </w:rPr>
          <w:id w:val="-2130775479"/>
          <w:citation/>
        </w:sdtPr>
        <w:sdtEndPr/>
        <w:sdtContent>
          <w:r w:rsidR="004D6EDE" w:rsidRPr="00FF241B">
            <w:rPr>
              <w:rFonts w:ascii="Times New Roman" w:hAnsi="Times New Roman" w:cs="Times New Roman"/>
              <w:sz w:val="24"/>
              <w:szCs w:val="24"/>
            </w:rPr>
            <w:fldChar w:fldCharType="begin"/>
          </w:r>
          <w:r w:rsidR="004D6EDE" w:rsidRPr="00FF241B">
            <w:rPr>
              <w:rFonts w:ascii="Times New Roman" w:hAnsi="Times New Roman" w:cs="Times New Roman"/>
              <w:sz w:val="24"/>
              <w:szCs w:val="24"/>
              <w:lang w:val="es-CO"/>
            </w:rPr>
            <w:instrText xml:space="preserve"> CITATION Min25 \l 9226 </w:instrText>
          </w:r>
          <w:r w:rsidR="004D6EDE" w:rsidRPr="00FF241B">
            <w:rPr>
              <w:rFonts w:ascii="Times New Roman" w:hAnsi="Times New Roman" w:cs="Times New Roman"/>
              <w:sz w:val="24"/>
              <w:szCs w:val="24"/>
            </w:rPr>
            <w:fldChar w:fldCharType="separate"/>
          </w:r>
          <w:r w:rsidR="004D6EDE" w:rsidRPr="00FF241B">
            <w:rPr>
              <w:rFonts w:ascii="Times New Roman" w:hAnsi="Times New Roman" w:cs="Times New Roman"/>
              <w:noProof/>
              <w:sz w:val="24"/>
              <w:szCs w:val="24"/>
              <w:lang w:val="es-CO"/>
            </w:rPr>
            <w:t xml:space="preserve"> (Ministerio de Vivienda, 2025)</w:t>
          </w:r>
          <w:r w:rsidR="004D6EDE" w:rsidRPr="00FF241B">
            <w:rPr>
              <w:rFonts w:ascii="Times New Roman" w:hAnsi="Times New Roman" w:cs="Times New Roman"/>
              <w:sz w:val="24"/>
              <w:szCs w:val="24"/>
            </w:rPr>
            <w:fldChar w:fldCharType="end"/>
          </w:r>
        </w:sdtContent>
      </w:sdt>
      <w:r w:rsidR="004D6EDE" w:rsidRPr="00FF241B">
        <w:rPr>
          <w:rFonts w:ascii="Times New Roman" w:hAnsi="Times New Roman" w:cs="Times New Roman"/>
          <w:sz w:val="24"/>
          <w:szCs w:val="24"/>
        </w:rPr>
        <w:t>.</w:t>
      </w:r>
    </w:p>
    <w:p w14:paraId="6A0C5BF7" w14:textId="21A95E11" w:rsidR="00337CD5" w:rsidRDefault="00337CD5" w:rsidP="00337CD5">
      <w:pPr>
        <w:rPr>
          <w:rFonts w:ascii="Times New Roman" w:hAnsi="Times New Roman" w:cs="Times New Roman"/>
          <w:b/>
          <w:bCs/>
          <w:sz w:val="24"/>
          <w:szCs w:val="24"/>
        </w:rPr>
      </w:pPr>
      <w:r w:rsidRPr="00337CD5">
        <w:rPr>
          <w:rFonts w:ascii="Times New Roman" w:hAnsi="Times New Roman" w:cs="Times New Roman"/>
          <w:b/>
          <w:bCs/>
          <w:sz w:val="24"/>
          <w:szCs w:val="24"/>
        </w:rPr>
        <w:t>Pregunta problema</w:t>
      </w:r>
    </w:p>
    <w:p w14:paraId="7785622A" w14:textId="41253DAC" w:rsidR="000D171D" w:rsidRPr="000D171D" w:rsidRDefault="000D171D" w:rsidP="00337CD5">
      <w:pPr>
        <w:rPr>
          <w:rFonts w:ascii="Times New Roman" w:hAnsi="Times New Roman" w:cs="Times New Roman"/>
          <w:sz w:val="24"/>
          <w:szCs w:val="24"/>
        </w:rPr>
      </w:pPr>
      <w:r w:rsidRPr="000D171D">
        <w:rPr>
          <w:rFonts w:ascii="Times New Roman" w:hAnsi="Times New Roman" w:cs="Times New Roman"/>
          <w:sz w:val="24"/>
          <w:szCs w:val="24"/>
        </w:rPr>
        <w:t xml:space="preserve">¿De qué manera el desarrollo de un ecosistema digital </w:t>
      </w:r>
      <w:r>
        <w:rPr>
          <w:rFonts w:ascii="Times New Roman" w:hAnsi="Times New Roman" w:cs="Times New Roman"/>
          <w:sz w:val="24"/>
          <w:szCs w:val="24"/>
        </w:rPr>
        <w:t>automático</w:t>
      </w:r>
      <w:r w:rsidRPr="000D171D">
        <w:rPr>
          <w:rFonts w:ascii="Times New Roman" w:hAnsi="Times New Roman" w:cs="Times New Roman"/>
          <w:sz w:val="24"/>
          <w:szCs w:val="24"/>
        </w:rPr>
        <w:t xml:space="preserve"> puede resolver la in</w:t>
      </w:r>
      <w:r>
        <w:rPr>
          <w:rFonts w:ascii="Times New Roman" w:hAnsi="Times New Roman" w:cs="Times New Roman"/>
          <w:sz w:val="24"/>
          <w:szCs w:val="24"/>
        </w:rPr>
        <w:t>eficiencia</w:t>
      </w:r>
      <w:r w:rsidRPr="000D171D">
        <w:rPr>
          <w:rFonts w:ascii="Times New Roman" w:hAnsi="Times New Roman" w:cs="Times New Roman"/>
          <w:sz w:val="24"/>
          <w:szCs w:val="24"/>
        </w:rPr>
        <w:t xml:space="preserve"> de los marcos normativos actuales</w:t>
      </w:r>
      <w:r>
        <w:rPr>
          <w:rFonts w:ascii="Times New Roman" w:hAnsi="Times New Roman" w:cs="Times New Roman"/>
          <w:sz w:val="24"/>
          <w:szCs w:val="24"/>
        </w:rPr>
        <w:t xml:space="preserve"> en Colombia</w:t>
      </w:r>
      <w:r w:rsidRPr="000D171D">
        <w:rPr>
          <w:rFonts w:ascii="Times New Roman" w:hAnsi="Times New Roman" w:cs="Times New Roman"/>
          <w:sz w:val="24"/>
          <w:szCs w:val="24"/>
        </w:rPr>
        <w:t xml:space="preserve"> para garantizar </w:t>
      </w:r>
      <w:r>
        <w:rPr>
          <w:rFonts w:ascii="Times New Roman" w:hAnsi="Times New Roman" w:cs="Times New Roman"/>
          <w:sz w:val="24"/>
          <w:szCs w:val="24"/>
        </w:rPr>
        <w:t xml:space="preserve">el monitoreo efectivo </w:t>
      </w:r>
      <w:r w:rsidRPr="000D171D">
        <w:rPr>
          <w:rFonts w:ascii="Times New Roman" w:hAnsi="Times New Roman" w:cs="Times New Roman"/>
          <w:sz w:val="24"/>
          <w:szCs w:val="24"/>
        </w:rPr>
        <w:t xml:space="preserve">y </w:t>
      </w:r>
      <w:r>
        <w:rPr>
          <w:rFonts w:ascii="Times New Roman" w:hAnsi="Times New Roman" w:cs="Times New Roman"/>
          <w:sz w:val="24"/>
          <w:szCs w:val="24"/>
        </w:rPr>
        <w:t>la administración</w:t>
      </w:r>
      <w:r w:rsidRPr="000D171D">
        <w:rPr>
          <w:rFonts w:ascii="Times New Roman" w:hAnsi="Times New Roman" w:cs="Times New Roman"/>
          <w:sz w:val="24"/>
          <w:szCs w:val="24"/>
        </w:rPr>
        <w:t xml:space="preserve"> de</w:t>
      </w:r>
      <w:r w:rsidRPr="000D171D">
        <w:rPr>
          <w:rFonts w:ascii="Times New Roman" w:hAnsi="Times New Roman" w:cs="Times New Roman"/>
          <w:sz w:val="24"/>
          <w:szCs w:val="24"/>
        </w:rPr>
        <w:t xml:space="preserve"> los residuos fotovoltaicos?</w:t>
      </w:r>
    </w:p>
    <w:p w14:paraId="14DFDEC2" w14:textId="77777777" w:rsidR="009F2FDC" w:rsidRPr="00337CD5" w:rsidRDefault="009F2FDC" w:rsidP="004D6EDE">
      <w:pPr>
        <w:rPr>
          <w:b/>
          <w:bCs/>
        </w:rPr>
      </w:pPr>
    </w:p>
    <w:p w14:paraId="22C39187" w14:textId="15E14B14" w:rsidR="00120E3F" w:rsidRDefault="00120E3F" w:rsidP="00120E3F">
      <w:pPr>
        <w:rPr>
          <w:rFonts w:ascii="Times New Roman" w:hAnsi="Times New Roman" w:cs="Times New Roman"/>
          <w:b/>
          <w:bCs/>
          <w:sz w:val="24"/>
          <w:szCs w:val="24"/>
        </w:rPr>
      </w:pPr>
      <w:r w:rsidRPr="00337CD5">
        <w:rPr>
          <w:rFonts w:ascii="Times New Roman" w:hAnsi="Times New Roman" w:cs="Times New Roman"/>
          <w:b/>
          <w:bCs/>
          <w:sz w:val="24"/>
          <w:szCs w:val="24"/>
        </w:rPr>
        <w:t>3. Justificación</w:t>
      </w:r>
    </w:p>
    <w:p w14:paraId="78B34E91" w14:textId="6B915E79" w:rsidR="004D6EDE" w:rsidRDefault="001C0BBD" w:rsidP="004D6EDE">
      <w:pPr>
        <w:rPr>
          <w:rFonts w:ascii="Times New Roman" w:hAnsi="Times New Roman" w:cs="Times New Roman"/>
          <w:sz w:val="24"/>
          <w:szCs w:val="24"/>
        </w:rPr>
      </w:pPr>
      <w:r>
        <w:rPr>
          <w:rFonts w:ascii="Times New Roman" w:hAnsi="Times New Roman" w:cs="Times New Roman"/>
          <w:sz w:val="24"/>
          <w:szCs w:val="24"/>
        </w:rPr>
        <w:tab/>
      </w:r>
      <w:r w:rsidRPr="001C0BBD">
        <w:rPr>
          <w:rFonts w:ascii="Times New Roman" w:hAnsi="Times New Roman" w:cs="Times New Roman"/>
          <w:sz w:val="24"/>
          <w:szCs w:val="24"/>
        </w:rPr>
        <w:t>La presente investigación se fundamenta en la necesidad de armonizar el crecimiento exponencial de la infraestructura fotovoltaica en Colombia con los principios de sostenibilidad real y economía circular. A continuación, se describen los beneficios potenciales del proyecto en sus distintas dimensiones:</w:t>
      </w:r>
    </w:p>
    <w:p w14:paraId="42E2429D" w14:textId="77777777" w:rsidR="00AC2E5E" w:rsidRPr="004D6EDE" w:rsidRDefault="00AC2E5E" w:rsidP="004D6EDE">
      <w:pPr>
        <w:rPr>
          <w:rFonts w:ascii="Times New Roman" w:hAnsi="Times New Roman" w:cs="Times New Roman"/>
          <w:sz w:val="24"/>
          <w:szCs w:val="24"/>
        </w:rPr>
      </w:pPr>
    </w:p>
    <w:p w14:paraId="11DA0305" w14:textId="77777777" w:rsidR="004D6EDE" w:rsidRPr="004D6EDE" w:rsidRDefault="004D6EDE" w:rsidP="004D6EDE">
      <w:pPr>
        <w:rPr>
          <w:rFonts w:ascii="Times New Roman" w:hAnsi="Times New Roman" w:cs="Times New Roman"/>
          <w:sz w:val="24"/>
          <w:szCs w:val="24"/>
        </w:rPr>
      </w:pPr>
      <w:r w:rsidRPr="004D6EDE">
        <w:rPr>
          <w:rFonts w:ascii="Times New Roman" w:hAnsi="Times New Roman" w:cs="Times New Roman"/>
          <w:sz w:val="24"/>
          <w:szCs w:val="24"/>
        </w:rPr>
        <w:lastRenderedPageBreak/>
        <w:t>3.1. Impacto Ambiental y Tecnológico</w:t>
      </w:r>
    </w:p>
    <w:p w14:paraId="73B2917C" w14:textId="353F35F9" w:rsidR="004D6EDE" w:rsidRPr="004D6EDE" w:rsidRDefault="004D6EDE" w:rsidP="004D6EDE">
      <w:pPr>
        <w:ind w:firstLine="708"/>
        <w:rPr>
          <w:rFonts w:ascii="Times New Roman" w:hAnsi="Times New Roman" w:cs="Times New Roman"/>
          <w:sz w:val="24"/>
          <w:szCs w:val="24"/>
        </w:rPr>
      </w:pPr>
      <w:r w:rsidRPr="00AC2E5E">
        <w:rPr>
          <w:rFonts w:ascii="Times New Roman" w:hAnsi="Times New Roman" w:cs="Times New Roman"/>
          <w:sz w:val="24"/>
          <w:szCs w:val="24"/>
        </w:rPr>
        <w:t xml:space="preserve">El beneficio primordial de esta investigación es mitigar el riesgo de una crisis de basura electrónica a largo plazo. Al </w:t>
      </w:r>
      <w:r w:rsidRPr="00AC2E5E">
        <w:rPr>
          <w:rFonts w:ascii="Times New Roman" w:hAnsi="Times New Roman" w:cs="Times New Roman"/>
          <w:sz w:val="24"/>
          <w:szCs w:val="24"/>
          <w:highlight w:val="yellow"/>
        </w:rPr>
        <w:t>analizar</w:t>
      </w:r>
      <w:r w:rsidRPr="00AC2E5E">
        <w:rPr>
          <w:rFonts w:ascii="Times New Roman" w:hAnsi="Times New Roman" w:cs="Times New Roman"/>
          <w:sz w:val="24"/>
          <w:szCs w:val="24"/>
        </w:rPr>
        <w:t xml:space="preserve"> las </w:t>
      </w:r>
      <w:r w:rsidRPr="00AC2E5E">
        <w:rPr>
          <w:rFonts w:ascii="Times New Roman" w:hAnsi="Times New Roman" w:cs="Times New Roman"/>
          <w:sz w:val="24"/>
          <w:szCs w:val="24"/>
          <w:highlight w:val="green"/>
        </w:rPr>
        <w:t>deficiencias</w:t>
      </w:r>
      <w:r w:rsidRPr="00AC2E5E">
        <w:rPr>
          <w:rFonts w:ascii="Times New Roman" w:hAnsi="Times New Roman" w:cs="Times New Roman"/>
          <w:sz w:val="24"/>
          <w:szCs w:val="24"/>
        </w:rPr>
        <w:t xml:space="preserve"> en la gestión de residuos, este proyecto de investigación</w:t>
      </w:r>
      <w:r>
        <w:rPr>
          <w:rFonts w:ascii="Times New Roman" w:hAnsi="Times New Roman" w:cs="Times New Roman"/>
          <w:sz w:val="24"/>
          <w:szCs w:val="24"/>
        </w:rPr>
        <w:t xml:space="preserve"> </w:t>
      </w:r>
      <w:r w:rsidRPr="004D6EDE">
        <w:rPr>
          <w:rFonts w:ascii="Times New Roman" w:hAnsi="Times New Roman" w:cs="Times New Roman"/>
          <w:sz w:val="24"/>
          <w:szCs w:val="24"/>
        </w:rPr>
        <w:t xml:space="preserve">aporta </w:t>
      </w:r>
      <w:r w:rsidRPr="00AC2E5E">
        <w:rPr>
          <w:rFonts w:ascii="Times New Roman" w:hAnsi="Times New Roman" w:cs="Times New Roman"/>
          <w:sz w:val="24"/>
          <w:szCs w:val="24"/>
          <w:highlight w:val="yellow"/>
        </w:rPr>
        <w:t>bases teóricas</w:t>
      </w:r>
      <w:r w:rsidRPr="004D6EDE">
        <w:rPr>
          <w:rFonts w:ascii="Times New Roman" w:hAnsi="Times New Roman" w:cs="Times New Roman"/>
          <w:sz w:val="24"/>
          <w:szCs w:val="24"/>
        </w:rPr>
        <w:t xml:space="preserve"> para evitar que materiales como el </w:t>
      </w:r>
      <w:r w:rsidRPr="00AC2E5E">
        <w:rPr>
          <w:rFonts w:ascii="Times New Roman" w:hAnsi="Times New Roman" w:cs="Times New Roman"/>
          <w:sz w:val="24"/>
          <w:szCs w:val="24"/>
          <w:highlight w:val="green"/>
        </w:rPr>
        <w:t>plomo y el cadmio</w:t>
      </w:r>
      <w:r w:rsidRPr="004D6EDE">
        <w:rPr>
          <w:rFonts w:ascii="Times New Roman" w:hAnsi="Times New Roman" w:cs="Times New Roman"/>
          <w:sz w:val="24"/>
          <w:szCs w:val="24"/>
        </w:rPr>
        <w:t xml:space="preserve"> contaminen </w:t>
      </w:r>
      <w:r w:rsidRPr="00AC2E5E">
        <w:rPr>
          <w:rFonts w:ascii="Times New Roman" w:hAnsi="Times New Roman" w:cs="Times New Roman"/>
          <w:sz w:val="24"/>
          <w:szCs w:val="24"/>
          <w:highlight w:val="yellow"/>
        </w:rPr>
        <w:t>ecosistemas locales</w:t>
      </w:r>
      <w:r w:rsidRPr="004D6EDE">
        <w:rPr>
          <w:rFonts w:ascii="Times New Roman" w:hAnsi="Times New Roman" w:cs="Times New Roman"/>
          <w:sz w:val="24"/>
          <w:szCs w:val="24"/>
        </w:rPr>
        <w:t xml:space="preserve"> tras el fin de la vida útil de los paneles. Como se ha mencionado, la</w:t>
      </w:r>
      <w:r w:rsidR="00D64AE4">
        <w:rPr>
          <w:rFonts w:ascii="Times New Roman" w:hAnsi="Times New Roman" w:cs="Times New Roman"/>
          <w:sz w:val="24"/>
          <w:szCs w:val="24"/>
        </w:rPr>
        <w:t xml:space="preserve">s </w:t>
      </w:r>
      <w:r w:rsidRPr="004D6EDE">
        <w:rPr>
          <w:rFonts w:ascii="Times New Roman" w:hAnsi="Times New Roman" w:cs="Times New Roman"/>
          <w:sz w:val="24"/>
          <w:szCs w:val="24"/>
        </w:rPr>
        <w:t xml:space="preserve">soluciones de alta eficiencia y descarbonización (Energía y Sociedad, 2024) solo es coherente si </w:t>
      </w:r>
      <w:r w:rsidRPr="00D64AE4">
        <w:rPr>
          <w:rFonts w:ascii="Times New Roman" w:hAnsi="Times New Roman" w:cs="Times New Roman"/>
          <w:sz w:val="24"/>
          <w:szCs w:val="24"/>
          <w:highlight w:val="red"/>
        </w:rPr>
        <w:t>el ciclo de vida del equipo</w:t>
      </w:r>
      <w:r w:rsidR="00D64AE4" w:rsidRPr="00D64AE4">
        <w:rPr>
          <w:rFonts w:ascii="Times New Roman" w:hAnsi="Times New Roman" w:cs="Times New Roman"/>
          <w:sz w:val="24"/>
          <w:szCs w:val="24"/>
          <w:highlight w:val="red"/>
        </w:rPr>
        <w:t xml:space="preserve"> </w:t>
      </w:r>
      <w:r w:rsidRPr="00D64AE4">
        <w:rPr>
          <w:rFonts w:ascii="Times New Roman" w:hAnsi="Times New Roman" w:cs="Times New Roman"/>
          <w:sz w:val="24"/>
          <w:szCs w:val="24"/>
          <w:highlight w:val="red"/>
        </w:rPr>
        <w:t>es cerrado.</w:t>
      </w:r>
      <w:r w:rsidRPr="004D6EDE">
        <w:rPr>
          <w:rFonts w:ascii="Times New Roman" w:hAnsi="Times New Roman" w:cs="Times New Roman"/>
          <w:sz w:val="24"/>
          <w:szCs w:val="24"/>
        </w:rPr>
        <w:t xml:space="preserve"> Este proyecto </w:t>
      </w:r>
      <w:r w:rsidR="00AC2E5E">
        <w:rPr>
          <w:rFonts w:ascii="Times New Roman" w:hAnsi="Times New Roman" w:cs="Times New Roman"/>
          <w:sz w:val="24"/>
          <w:szCs w:val="24"/>
        </w:rPr>
        <w:t xml:space="preserve">también busca proponer un sistema </w:t>
      </w:r>
      <w:r w:rsidR="00B20013">
        <w:rPr>
          <w:rFonts w:ascii="Times New Roman" w:hAnsi="Times New Roman" w:cs="Times New Roman"/>
          <w:sz w:val="24"/>
          <w:szCs w:val="24"/>
        </w:rPr>
        <w:t>automático</w:t>
      </w:r>
      <w:r w:rsidR="00AC2E5E">
        <w:rPr>
          <w:rFonts w:ascii="Times New Roman" w:hAnsi="Times New Roman" w:cs="Times New Roman"/>
          <w:sz w:val="24"/>
          <w:szCs w:val="24"/>
        </w:rPr>
        <w:t xml:space="preserve"> que </w:t>
      </w:r>
      <w:r w:rsidR="00B20013">
        <w:rPr>
          <w:rFonts w:ascii="Times New Roman" w:hAnsi="Times New Roman" w:cs="Times New Roman"/>
          <w:sz w:val="24"/>
          <w:szCs w:val="24"/>
        </w:rPr>
        <w:t xml:space="preserve">permita </w:t>
      </w:r>
      <w:r w:rsidR="00AC2E5E">
        <w:rPr>
          <w:rFonts w:ascii="Times New Roman" w:hAnsi="Times New Roman" w:cs="Times New Roman"/>
          <w:sz w:val="24"/>
          <w:szCs w:val="24"/>
        </w:rPr>
        <w:t xml:space="preserve">el monitoreo y administración sobre la vida útil de los paneles solares, que genera una alerta cuando este llegue a su fin de ciclo y permita ser removido exitosamente.  </w:t>
      </w:r>
    </w:p>
    <w:p w14:paraId="24842481" w14:textId="77777777" w:rsidR="004D6EDE" w:rsidRPr="004D6EDE" w:rsidRDefault="004D6EDE" w:rsidP="004D6EDE">
      <w:pPr>
        <w:rPr>
          <w:rFonts w:ascii="Times New Roman" w:hAnsi="Times New Roman" w:cs="Times New Roman"/>
          <w:sz w:val="24"/>
          <w:szCs w:val="24"/>
        </w:rPr>
      </w:pPr>
    </w:p>
    <w:p w14:paraId="7C793669" w14:textId="77777777" w:rsidR="004D6EDE" w:rsidRPr="004D6EDE" w:rsidRDefault="004D6EDE" w:rsidP="004D6EDE">
      <w:pPr>
        <w:rPr>
          <w:rFonts w:ascii="Times New Roman" w:hAnsi="Times New Roman" w:cs="Times New Roman"/>
          <w:sz w:val="24"/>
          <w:szCs w:val="24"/>
        </w:rPr>
      </w:pPr>
      <w:r w:rsidRPr="004D6EDE">
        <w:rPr>
          <w:rFonts w:ascii="Times New Roman" w:hAnsi="Times New Roman" w:cs="Times New Roman"/>
          <w:sz w:val="24"/>
          <w:szCs w:val="24"/>
        </w:rPr>
        <w:t>3.2. Pertinencia Económica y Política</w:t>
      </w:r>
    </w:p>
    <w:p w14:paraId="51295A45" w14:textId="77777777" w:rsidR="004D6EDE" w:rsidRPr="004D6EDE" w:rsidRDefault="004D6EDE" w:rsidP="00D64AE4">
      <w:pPr>
        <w:ind w:firstLine="708"/>
        <w:rPr>
          <w:rFonts w:ascii="Times New Roman" w:hAnsi="Times New Roman" w:cs="Times New Roman"/>
          <w:sz w:val="24"/>
          <w:szCs w:val="24"/>
        </w:rPr>
      </w:pPr>
      <w:r w:rsidRPr="004D6EDE">
        <w:rPr>
          <w:rFonts w:ascii="Times New Roman" w:hAnsi="Times New Roman" w:cs="Times New Roman"/>
          <w:sz w:val="24"/>
          <w:szCs w:val="24"/>
        </w:rPr>
        <w:t>Desde una perspectiva económica, la investigación es pertinente porque identifica el valor latente en la "minería urbana". Recuperar materiales críticos como la plata y el silicio, que hoy se pierden en más de un 90% (</w:t>
      </w:r>
      <w:proofErr w:type="spellStart"/>
      <w:r w:rsidRPr="004D6EDE">
        <w:rPr>
          <w:rFonts w:ascii="Times New Roman" w:hAnsi="Times New Roman" w:cs="Times New Roman"/>
          <w:sz w:val="24"/>
          <w:szCs w:val="24"/>
        </w:rPr>
        <w:t>Komoto</w:t>
      </w:r>
      <w:proofErr w:type="spellEnd"/>
      <w:r w:rsidRPr="004D6EDE">
        <w:rPr>
          <w:rFonts w:ascii="Times New Roman" w:hAnsi="Times New Roman" w:cs="Times New Roman"/>
          <w:sz w:val="24"/>
          <w:szCs w:val="24"/>
        </w:rPr>
        <w:t xml:space="preserve"> &amp; Lee, 2018), representa una oportunidad de mercado y ahorro de costos en la cadena de suministro. En el ámbito político, el proyecto se alinea con el Decreto 670 de 2025 y las metas del CONPES (2025), proporcionando información técnica que puede servir para el diseño de políticas de Responsabilidad Extendida del Productor (REP) más robustas y adaptadas a la realidad nacional.</w:t>
      </w:r>
    </w:p>
    <w:p w14:paraId="3A78FA49" w14:textId="77777777" w:rsidR="004D6EDE" w:rsidRPr="004D6EDE" w:rsidRDefault="004D6EDE" w:rsidP="004D6EDE">
      <w:pPr>
        <w:rPr>
          <w:rFonts w:ascii="Times New Roman" w:hAnsi="Times New Roman" w:cs="Times New Roman"/>
          <w:sz w:val="24"/>
          <w:szCs w:val="24"/>
        </w:rPr>
      </w:pPr>
    </w:p>
    <w:p w14:paraId="4E26879A" w14:textId="77777777" w:rsidR="004D6EDE" w:rsidRPr="004D6EDE" w:rsidRDefault="004D6EDE" w:rsidP="004D6EDE">
      <w:pPr>
        <w:rPr>
          <w:rFonts w:ascii="Times New Roman" w:hAnsi="Times New Roman" w:cs="Times New Roman"/>
          <w:sz w:val="24"/>
          <w:szCs w:val="24"/>
        </w:rPr>
      </w:pPr>
      <w:r w:rsidRPr="004D6EDE">
        <w:rPr>
          <w:rFonts w:ascii="Times New Roman" w:hAnsi="Times New Roman" w:cs="Times New Roman"/>
          <w:sz w:val="24"/>
          <w:szCs w:val="24"/>
        </w:rPr>
        <w:t>3.3. Relevancia Sociocultural</w:t>
      </w:r>
    </w:p>
    <w:p w14:paraId="6E0A1C88" w14:textId="607F0C21" w:rsidR="00120E3F" w:rsidRDefault="004D6EDE" w:rsidP="004D6EDE">
      <w:pPr>
        <w:rPr>
          <w:rFonts w:ascii="Times New Roman" w:hAnsi="Times New Roman" w:cs="Times New Roman"/>
          <w:sz w:val="24"/>
          <w:szCs w:val="24"/>
        </w:rPr>
      </w:pPr>
      <w:r w:rsidRPr="004D6EDE">
        <w:rPr>
          <w:rFonts w:ascii="Times New Roman" w:hAnsi="Times New Roman" w:cs="Times New Roman"/>
          <w:sz w:val="24"/>
          <w:szCs w:val="24"/>
        </w:rPr>
        <w:t>Socioculturalmente, el proyecto busca salvaguardar la confianza de la población en las energías renovables. Con el avance de programas como "Colombia Solar", que impactará a más de 1.3 millones de familias (Ministerio de Vivienda, 2025), es vital asegurar que estas comunidades no hereden un problema ambiental en 25 años. Generar conocimiento sobre la disposición final garantiza que el beneficio social de la energía eléctrica no se traduzca en una carga sanitaria futura para las poblaciones rurales y vulnerables.</w:t>
      </w:r>
    </w:p>
    <w:p w14:paraId="05013385" w14:textId="1A222D84" w:rsidR="00D33BA1" w:rsidRDefault="00D33BA1" w:rsidP="004D6EDE">
      <w:pPr>
        <w:rPr>
          <w:rFonts w:ascii="Times New Roman" w:hAnsi="Times New Roman" w:cs="Times New Roman"/>
          <w:sz w:val="24"/>
          <w:szCs w:val="24"/>
        </w:rPr>
      </w:pPr>
    </w:p>
    <w:p w14:paraId="2C38DD46" w14:textId="69D135B9" w:rsidR="00D33BA1" w:rsidRPr="00C3206B" w:rsidRDefault="00D33BA1" w:rsidP="004D6EDE">
      <w:pPr>
        <w:rPr>
          <w:rFonts w:ascii="Times New Roman" w:hAnsi="Times New Roman" w:cs="Times New Roman"/>
          <w:b/>
          <w:bCs/>
          <w:sz w:val="24"/>
          <w:szCs w:val="24"/>
        </w:rPr>
      </w:pPr>
      <w:r w:rsidRPr="00C3206B">
        <w:rPr>
          <w:rFonts w:ascii="Times New Roman" w:hAnsi="Times New Roman" w:cs="Times New Roman"/>
          <w:b/>
          <w:bCs/>
          <w:sz w:val="24"/>
          <w:szCs w:val="24"/>
        </w:rPr>
        <w:t>Objetivo general</w:t>
      </w:r>
    </w:p>
    <w:p w14:paraId="1A06DF10" w14:textId="5DB85E23" w:rsidR="00D33BA1" w:rsidRDefault="00D33BA1" w:rsidP="004D6EDE">
      <w:pPr>
        <w:rPr>
          <w:rFonts w:ascii="Times New Roman" w:hAnsi="Times New Roman" w:cs="Times New Roman"/>
          <w:sz w:val="24"/>
          <w:szCs w:val="24"/>
        </w:rPr>
      </w:pPr>
      <w:r>
        <w:rPr>
          <w:rFonts w:ascii="Times New Roman" w:hAnsi="Times New Roman" w:cs="Times New Roman"/>
          <w:sz w:val="24"/>
          <w:szCs w:val="24"/>
        </w:rPr>
        <w:t xml:space="preserve">Comprender los impactos </w:t>
      </w:r>
      <w:r w:rsidR="00C3206B">
        <w:rPr>
          <w:rFonts w:ascii="Times New Roman" w:hAnsi="Times New Roman" w:cs="Times New Roman"/>
          <w:sz w:val="24"/>
          <w:szCs w:val="24"/>
        </w:rPr>
        <w:t xml:space="preserve">que tienen los </w:t>
      </w:r>
      <w:r w:rsidRPr="00337CD5">
        <w:rPr>
          <w:rFonts w:ascii="Times New Roman" w:hAnsi="Times New Roman" w:cs="Times New Roman"/>
          <w:sz w:val="24"/>
          <w:szCs w:val="24"/>
        </w:rPr>
        <w:t>marco</w:t>
      </w:r>
      <w:r w:rsidR="00C3206B">
        <w:rPr>
          <w:rFonts w:ascii="Times New Roman" w:hAnsi="Times New Roman" w:cs="Times New Roman"/>
          <w:sz w:val="24"/>
          <w:szCs w:val="24"/>
        </w:rPr>
        <w:t>s</w:t>
      </w:r>
      <w:r w:rsidRPr="00337CD5">
        <w:rPr>
          <w:rFonts w:ascii="Times New Roman" w:hAnsi="Times New Roman" w:cs="Times New Roman"/>
          <w:sz w:val="24"/>
          <w:szCs w:val="24"/>
        </w:rPr>
        <w:t xml:space="preserve"> normativo</w:t>
      </w:r>
      <w:r w:rsidR="00C3206B">
        <w:rPr>
          <w:rFonts w:ascii="Times New Roman" w:hAnsi="Times New Roman" w:cs="Times New Roman"/>
          <w:sz w:val="24"/>
          <w:szCs w:val="24"/>
        </w:rPr>
        <w:t>s</w:t>
      </w:r>
      <w:r w:rsidRPr="00337CD5">
        <w:rPr>
          <w:rFonts w:ascii="Times New Roman" w:hAnsi="Times New Roman" w:cs="Times New Roman"/>
          <w:sz w:val="24"/>
          <w:szCs w:val="24"/>
        </w:rPr>
        <w:t xml:space="preserve"> actual</w:t>
      </w:r>
      <w:r w:rsidR="00C3206B">
        <w:rPr>
          <w:rFonts w:ascii="Times New Roman" w:hAnsi="Times New Roman" w:cs="Times New Roman"/>
          <w:sz w:val="24"/>
          <w:szCs w:val="24"/>
        </w:rPr>
        <w:t>es</w:t>
      </w:r>
      <w:r w:rsidRPr="00337CD5">
        <w:rPr>
          <w:rFonts w:ascii="Times New Roman" w:hAnsi="Times New Roman" w:cs="Times New Roman"/>
          <w:sz w:val="24"/>
          <w:szCs w:val="24"/>
        </w:rPr>
        <w:t xml:space="preserve"> y los programas de transición energética en Colombia</w:t>
      </w:r>
      <w:r>
        <w:rPr>
          <w:rFonts w:ascii="Times New Roman" w:hAnsi="Times New Roman" w:cs="Times New Roman"/>
          <w:sz w:val="24"/>
          <w:szCs w:val="24"/>
        </w:rPr>
        <w:t xml:space="preserve"> en la gestión de residuos fotovoltaicos para proponer una posible solución a esta problemática.</w:t>
      </w:r>
    </w:p>
    <w:p w14:paraId="05005EA1" w14:textId="2257986A" w:rsidR="00C3206B" w:rsidRPr="00C3206B" w:rsidRDefault="00C3206B" w:rsidP="004D6EDE">
      <w:pPr>
        <w:rPr>
          <w:rFonts w:ascii="Times New Roman" w:hAnsi="Times New Roman" w:cs="Times New Roman"/>
          <w:b/>
          <w:bCs/>
          <w:sz w:val="24"/>
          <w:szCs w:val="24"/>
        </w:rPr>
      </w:pPr>
      <w:r w:rsidRPr="00C3206B">
        <w:rPr>
          <w:rFonts w:ascii="Times New Roman" w:hAnsi="Times New Roman" w:cs="Times New Roman"/>
          <w:b/>
          <w:bCs/>
          <w:sz w:val="24"/>
          <w:szCs w:val="24"/>
        </w:rPr>
        <w:t>Objetivos específicos</w:t>
      </w:r>
    </w:p>
    <w:p w14:paraId="5AD8AF32" w14:textId="5290AB6D" w:rsidR="00D90E16" w:rsidRDefault="00D90E16" w:rsidP="00D90E16">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Identificar los impactos que tienen las normativas actuales en Colombia y los programas de transición energética.</w:t>
      </w:r>
    </w:p>
    <w:p w14:paraId="5A1ED1B6" w14:textId="74339E9A" w:rsidR="00C3206B" w:rsidRDefault="00C3206B" w:rsidP="00FA00D4">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Examinar las ineficiencias en el monitoreo y administración de los residuos fotovoltaicos.</w:t>
      </w:r>
    </w:p>
    <w:p w14:paraId="63C4055F" w14:textId="38CFAC8B" w:rsidR="00D90E16" w:rsidRPr="00C3206B" w:rsidRDefault="00D90E16" w:rsidP="00FA00D4">
      <w:pPr>
        <w:pStyle w:val="Prrafodelista"/>
        <w:numPr>
          <w:ilvl w:val="0"/>
          <w:numId w:val="1"/>
        </w:numPr>
        <w:rPr>
          <w:rFonts w:ascii="Times New Roman" w:hAnsi="Times New Roman" w:cs="Times New Roman"/>
          <w:sz w:val="24"/>
          <w:szCs w:val="24"/>
        </w:rPr>
      </w:pPr>
      <w:r w:rsidRPr="00C3206B">
        <w:rPr>
          <w:rFonts w:ascii="Times New Roman" w:hAnsi="Times New Roman" w:cs="Times New Roman"/>
          <w:sz w:val="24"/>
          <w:szCs w:val="24"/>
        </w:rPr>
        <w:lastRenderedPageBreak/>
        <w:t>Proponer</w:t>
      </w:r>
      <w:r w:rsidR="00C3206B">
        <w:rPr>
          <w:rFonts w:ascii="Times New Roman" w:hAnsi="Times New Roman" w:cs="Times New Roman"/>
          <w:sz w:val="24"/>
          <w:szCs w:val="24"/>
        </w:rPr>
        <w:t xml:space="preserve"> una posible solución a la problemática actual en Colombia sobre la regulación de residuos de energía solar.</w:t>
      </w:r>
    </w:p>
    <w:p w14:paraId="471A1391" w14:textId="34A1B36F" w:rsidR="00E75834" w:rsidRDefault="00E75834"/>
    <w:p w14:paraId="3A6D851D" w14:textId="77777777" w:rsidR="004D6EDE" w:rsidRDefault="004D6EDE"/>
    <w:p w14:paraId="5930F69F" w14:textId="1FABF20F" w:rsidR="00E75834" w:rsidRDefault="00E75834">
      <w:r>
        <w:t xml:space="preserve">Web </w:t>
      </w:r>
      <w:proofErr w:type="spellStart"/>
      <w:r>
        <w:t>grafia</w:t>
      </w:r>
      <w:proofErr w:type="spellEnd"/>
    </w:p>
    <w:p w14:paraId="2271E17F" w14:textId="4A49587D" w:rsidR="00E75834" w:rsidRDefault="000D171D">
      <w:hyperlink r:id="rId6" w:anchor=":~:text=This%20makes%20it%20crucial%20for%20governments%2C%20industries%2C,10%25%20of%20discarded%20solar%20panels%20are%20recycled" w:history="1">
        <w:r w:rsidR="00E75834" w:rsidRPr="000C14A7">
          <w:rPr>
            <w:rStyle w:val="Hipervnculo"/>
            <w:highlight w:val="yellow"/>
          </w:rPr>
          <w:t>https://www.activesustainability.com/renewable-energy/solar-panel-recycling#:~:text=This%20makes%20it%20crucial%20for%20governments%2C%20industries%2C,10%25%20of%20discarded%20solar%20panels%20are%20recycled</w:t>
        </w:r>
      </w:hyperlink>
      <w:r w:rsidR="00E75834" w:rsidRPr="00E75834">
        <w:rPr>
          <w:highlight w:val="yellow"/>
        </w:rPr>
        <w:t>.</w:t>
      </w:r>
    </w:p>
    <w:p w14:paraId="1E415200" w14:textId="191C0440" w:rsidR="00E75834" w:rsidRDefault="00E75834">
      <w:r w:rsidRPr="00E75834">
        <w:t>https://www.irena.org/-/media/Files/IRENA/Agency/Publication/2016/IRENA_IEAPVPS_End-of-Life_Solar_PV_Panels_2016.pdf#:~:text=This%20publication%20should%20be%20cited%20as:%20IRENA,978%2D92%2D95111%2D98%2D1%20(Print%2C%20IRENA)%20ISBN%20978%2D92%2D95111%2D99%2D8%20(PDF%2C%20IRENA)</w:t>
      </w:r>
    </w:p>
    <w:p w14:paraId="7CEF69FC" w14:textId="3E715A77" w:rsidR="00AF10E7" w:rsidRDefault="000D171D">
      <w:hyperlink r:id="rId7" w:history="1">
        <w:r w:rsidR="00E75834" w:rsidRPr="000C14A7">
          <w:rPr>
            <w:rStyle w:val="Hipervnculo"/>
          </w:rPr>
          <w:t>https://www.nature.com/articles/nclimate2843</w:t>
        </w:r>
      </w:hyperlink>
    </w:p>
    <w:p w14:paraId="6D273261" w14:textId="5A1E244D" w:rsidR="00E75834" w:rsidRDefault="00E75834">
      <w:r w:rsidRPr="00E75834">
        <w:t>https://www.researchgate.net/profile/Jefferson-Andrade-Villarreal/publication/378516333_Los_paneles_solares_como_elementos_sostenibles_del_turismo_en_zonas_costeras/links/65dde3e8adc608480aed4f23/Los-paneles-solares-como-elementos-sostenibles-del-turismo-en-zonas-costeras.pdf</w:t>
      </w:r>
    </w:p>
    <w:p w14:paraId="5D719926" w14:textId="63E5FD04" w:rsidR="00E75834" w:rsidRDefault="00E75834">
      <w:r w:rsidRPr="00E75834">
        <w:t>https://repository.uniminuto.edu/items/3b55649a-9c59-460f-9773-4646cdb57281</w:t>
      </w:r>
    </w:p>
    <w:sectPr w:rsidR="00E7583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7089D"/>
    <w:multiLevelType w:val="hybridMultilevel"/>
    <w:tmpl w:val="3DA653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834"/>
    <w:rsid w:val="000A1E47"/>
    <w:rsid w:val="000D171D"/>
    <w:rsid w:val="00120E3F"/>
    <w:rsid w:val="001C0BBD"/>
    <w:rsid w:val="00337CD5"/>
    <w:rsid w:val="004D6EDE"/>
    <w:rsid w:val="006C7B35"/>
    <w:rsid w:val="0087475F"/>
    <w:rsid w:val="009C4BAA"/>
    <w:rsid w:val="009F2FDC"/>
    <w:rsid w:val="00AC2E5E"/>
    <w:rsid w:val="00AF10E7"/>
    <w:rsid w:val="00B20013"/>
    <w:rsid w:val="00B703FD"/>
    <w:rsid w:val="00C3206B"/>
    <w:rsid w:val="00D20AE0"/>
    <w:rsid w:val="00D33BA1"/>
    <w:rsid w:val="00D64AE4"/>
    <w:rsid w:val="00D90E16"/>
    <w:rsid w:val="00E75834"/>
    <w:rsid w:val="00EE4674"/>
    <w:rsid w:val="00F95FD6"/>
    <w:rsid w:val="00FF24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5F328"/>
  <w15:chartTrackingRefBased/>
  <w15:docId w15:val="{902AEB69-134C-432F-A23B-BB6EA429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4BAA"/>
    <w:pPr>
      <w:keepNext/>
      <w:keepLines/>
      <w:spacing w:before="240" w:after="0"/>
      <w:outlineLvl w:val="0"/>
    </w:pPr>
    <w:rPr>
      <w:rFonts w:asciiTheme="majorHAnsi" w:eastAsiaTheme="majorEastAsia" w:hAnsiTheme="majorHAnsi" w:cstheme="majorBidi"/>
      <w:color w:val="2F5496" w:themeColor="accent1" w:themeShade="BF"/>
      <w:sz w:val="32"/>
      <w:szCs w:val="32"/>
      <w:lang w:eastAsia="es-ES"/>
    </w:rPr>
  </w:style>
  <w:style w:type="paragraph" w:styleId="Ttulo3">
    <w:name w:val="heading 3"/>
    <w:basedOn w:val="Normal"/>
    <w:next w:val="Normal"/>
    <w:link w:val="Ttulo3Car"/>
    <w:uiPriority w:val="9"/>
    <w:semiHidden/>
    <w:unhideWhenUsed/>
    <w:qFormat/>
    <w:rsid w:val="004D6ED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75834"/>
    <w:rPr>
      <w:color w:val="0563C1" w:themeColor="hyperlink"/>
      <w:u w:val="single"/>
    </w:rPr>
  </w:style>
  <w:style w:type="character" w:styleId="Mencinsinresolver">
    <w:name w:val="Unresolved Mention"/>
    <w:basedOn w:val="Fuentedeprrafopredeter"/>
    <w:uiPriority w:val="99"/>
    <w:semiHidden/>
    <w:unhideWhenUsed/>
    <w:rsid w:val="00E75834"/>
    <w:rPr>
      <w:color w:val="605E5C"/>
      <w:shd w:val="clear" w:color="auto" w:fill="E1DFDD"/>
    </w:rPr>
  </w:style>
  <w:style w:type="paragraph" w:styleId="Prrafodelista">
    <w:name w:val="List Paragraph"/>
    <w:basedOn w:val="Normal"/>
    <w:uiPriority w:val="34"/>
    <w:qFormat/>
    <w:rsid w:val="00E75834"/>
    <w:pPr>
      <w:ind w:left="720"/>
      <w:contextualSpacing/>
    </w:pPr>
  </w:style>
  <w:style w:type="character" w:customStyle="1" w:styleId="Ttulo1Car">
    <w:name w:val="Título 1 Car"/>
    <w:basedOn w:val="Fuentedeprrafopredeter"/>
    <w:link w:val="Ttulo1"/>
    <w:uiPriority w:val="9"/>
    <w:rsid w:val="009C4BAA"/>
    <w:rPr>
      <w:rFonts w:asciiTheme="majorHAnsi" w:eastAsiaTheme="majorEastAsia" w:hAnsiTheme="majorHAnsi" w:cstheme="majorBidi"/>
      <w:color w:val="2F5496" w:themeColor="accent1" w:themeShade="BF"/>
      <w:sz w:val="32"/>
      <w:szCs w:val="32"/>
      <w:lang w:eastAsia="es-ES"/>
    </w:rPr>
  </w:style>
  <w:style w:type="paragraph" w:styleId="Bibliografa">
    <w:name w:val="Bibliography"/>
    <w:basedOn w:val="Normal"/>
    <w:next w:val="Normal"/>
    <w:uiPriority w:val="37"/>
    <w:unhideWhenUsed/>
    <w:rsid w:val="009C4BAA"/>
  </w:style>
  <w:style w:type="character" w:customStyle="1" w:styleId="citation-144">
    <w:name w:val="citation-144"/>
    <w:basedOn w:val="Fuentedeprrafopredeter"/>
    <w:rsid w:val="000A1E47"/>
  </w:style>
  <w:style w:type="character" w:customStyle="1" w:styleId="Ttulo3Car">
    <w:name w:val="Título 3 Car"/>
    <w:basedOn w:val="Fuentedeprrafopredeter"/>
    <w:link w:val="Ttulo3"/>
    <w:uiPriority w:val="9"/>
    <w:semiHidden/>
    <w:rsid w:val="004D6ED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852541">
      <w:bodyDiv w:val="1"/>
      <w:marLeft w:val="0"/>
      <w:marRight w:val="0"/>
      <w:marTop w:val="0"/>
      <w:marBottom w:val="0"/>
      <w:divBdr>
        <w:top w:val="none" w:sz="0" w:space="0" w:color="auto"/>
        <w:left w:val="none" w:sz="0" w:space="0" w:color="auto"/>
        <w:bottom w:val="none" w:sz="0" w:space="0" w:color="auto"/>
        <w:right w:val="none" w:sz="0" w:space="0" w:color="auto"/>
      </w:divBdr>
    </w:div>
    <w:div w:id="793526709">
      <w:bodyDiv w:val="1"/>
      <w:marLeft w:val="0"/>
      <w:marRight w:val="0"/>
      <w:marTop w:val="0"/>
      <w:marBottom w:val="0"/>
      <w:divBdr>
        <w:top w:val="none" w:sz="0" w:space="0" w:color="auto"/>
        <w:left w:val="none" w:sz="0" w:space="0" w:color="auto"/>
        <w:bottom w:val="none" w:sz="0" w:space="0" w:color="auto"/>
        <w:right w:val="none" w:sz="0" w:space="0" w:color="auto"/>
      </w:divBdr>
    </w:div>
    <w:div w:id="950670127">
      <w:bodyDiv w:val="1"/>
      <w:marLeft w:val="0"/>
      <w:marRight w:val="0"/>
      <w:marTop w:val="0"/>
      <w:marBottom w:val="0"/>
      <w:divBdr>
        <w:top w:val="none" w:sz="0" w:space="0" w:color="auto"/>
        <w:left w:val="none" w:sz="0" w:space="0" w:color="auto"/>
        <w:bottom w:val="none" w:sz="0" w:space="0" w:color="auto"/>
        <w:right w:val="none" w:sz="0" w:space="0" w:color="auto"/>
      </w:divBdr>
    </w:div>
    <w:div w:id="1022972411">
      <w:bodyDiv w:val="1"/>
      <w:marLeft w:val="0"/>
      <w:marRight w:val="0"/>
      <w:marTop w:val="0"/>
      <w:marBottom w:val="0"/>
      <w:divBdr>
        <w:top w:val="none" w:sz="0" w:space="0" w:color="auto"/>
        <w:left w:val="none" w:sz="0" w:space="0" w:color="auto"/>
        <w:bottom w:val="none" w:sz="0" w:space="0" w:color="auto"/>
        <w:right w:val="none" w:sz="0" w:space="0" w:color="auto"/>
      </w:divBdr>
    </w:div>
    <w:div w:id="1088619928">
      <w:bodyDiv w:val="1"/>
      <w:marLeft w:val="0"/>
      <w:marRight w:val="0"/>
      <w:marTop w:val="0"/>
      <w:marBottom w:val="0"/>
      <w:divBdr>
        <w:top w:val="none" w:sz="0" w:space="0" w:color="auto"/>
        <w:left w:val="none" w:sz="0" w:space="0" w:color="auto"/>
        <w:bottom w:val="none" w:sz="0" w:space="0" w:color="auto"/>
        <w:right w:val="none" w:sz="0" w:space="0" w:color="auto"/>
      </w:divBdr>
    </w:div>
    <w:div w:id="1209729116">
      <w:bodyDiv w:val="1"/>
      <w:marLeft w:val="0"/>
      <w:marRight w:val="0"/>
      <w:marTop w:val="0"/>
      <w:marBottom w:val="0"/>
      <w:divBdr>
        <w:top w:val="none" w:sz="0" w:space="0" w:color="auto"/>
        <w:left w:val="none" w:sz="0" w:space="0" w:color="auto"/>
        <w:bottom w:val="none" w:sz="0" w:space="0" w:color="auto"/>
        <w:right w:val="none" w:sz="0" w:space="0" w:color="auto"/>
      </w:divBdr>
    </w:div>
    <w:div w:id="1213613420">
      <w:bodyDiv w:val="1"/>
      <w:marLeft w:val="0"/>
      <w:marRight w:val="0"/>
      <w:marTop w:val="0"/>
      <w:marBottom w:val="0"/>
      <w:divBdr>
        <w:top w:val="none" w:sz="0" w:space="0" w:color="auto"/>
        <w:left w:val="none" w:sz="0" w:space="0" w:color="auto"/>
        <w:bottom w:val="none" w:sz="0" w:space="0" w:color="auto"/>
        <w:right w:val="none" w:sz="0" w:space="0" w:color="auto"/>
      </w:divBdr>
    </w:div>
    <w:div w:id="1222836630">
      <w:bodyDiv w:val="1"/>
      <w:marLeft w:val="0"/>
      <w:marRight w:val="0"/>
      <w:marTop w:val="0"/>
      <w:marBottom w:val="0"/>
      <w:divBdr>
        <w:top w:val="none" w:sz="0" w:space="0" w:color="auto"/>
        <w:left w:val="none" w:sz="0" w:space="0" w:color="auto"/>
        <w:bottom w:val="none" w:sz="0" w:space="0" w:color="auto"/>
        <w:right w:val="none" w:sz="0" w:space="0" w:color="auto"/>
      </w:divBdr>
    </w:div>
    <w:div w:id="1442610329">
      <w:bodyDiv w:val="1"/>
      <w:marLeft w:val="0"/>
      <w:marRight w:val="0"/>
      <w:marTop w:val="0"/>
      <w:marBottom w:val="0"/>
      <w:divBdr>
        <w:top w:val="none" w:sz="0" w:space="0" w:color="auto"/>
        <w:left w:val="none" w:sz="0" w:space="0" w:color="auto"/>
        <w:bottom w:val="none" w:sz="0" w:space="0" w:color="auto"/>
        <w:right w:val="none" w:sz="0" w:space="0" w:color="auto"/>
      </w:divBdr>
    </w:div>
    <w:div w:id="1570116583">
      <w:bodyDiv w:val="1"/>
      <w:marLeft w:val="0"/>
      <w:marRight w:val="0"/>
      <w:marTop w:val="0"/>
      <w:marBottom w:val="0"/>
      <w:divBdr>
        <w:top w:val="none" w:sz="0" w:space="0" w:color="auto"/>
        <w:left w:val="none" w:sz="0" w:space="0" w:color="auto"/>
        <w:bottom w:val="none" w:sz="0" w:space="0" w:color="auto"/>
        <w:right w:val="none" w:sz="0" w:space="0" w:color="auto"/>
      </w:divBdr>
    </w:div>
    <w:div w:id="1624580573">
      <w:bodyDiv w:val="1"/>
      <w:marLeft w:val="0"/>
      <w:marRight w:val="0"/>
      <w:marTop w:val="0"/>
      <w:marBottom w:val="0"/>
      <w:divBdr>
        <w:top w:val="none" w:sz="0" w:space="0" w:color="auto"/>
        <w:left w:val="none" w:sz="0" w:space="0" w:color="auto"/>
        <w:bottom w:val="none" w:sz="0" w:space="0" w:color="auto"/>
        <w:right w:val="none" w:sz="0" w:space="0" w:color="auto"/>
      </w:divBdr>
    </w:div>
    <w:div w:id="1650205331">
      <w:bodyDiv w:val="1"/>
      <w:marLeft w:val="0"/>
      <w:marRight w:val="0"/>
      <w:marTop w:val="0"/>
      <w:marBottom w:val="0"/>
      <w:divBdr>
        <w:top w:val="none" w:sz="0" w:space="0" w:color="auto"/>
        <w:left w:val="none" w:sz="0" w:space="0" w:color="auto"/>
        <w:bottom w:val="none" w:sz="0" w:space="0" w:color="auto"/>
        <w:right w:val="none" w:sz="0" w:space="0" w:color="auto"/>
      </w:divBdr>
    </w:div>
    <w:div w:id="2013289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nature.com/articles/nclimate284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ctivesustainability.com/renewable-energy/solar-panel-recycling"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aso25</b:Tag>
    <b:SourceType>JournalArticle</b:SourceType>
    <b:Guid>{3BE6CBC0-6595-4367-A299-DEF89D571A8C}</b:Guid>
    <b:Title>kjhoihuy</b:Title>
    <b:Year>2025</b:Year>
    <b:Author>
      <b:Author>
        <b:Corporate>aso</b:Corporate>
      </b:Author>
    </b:Author>
    <b:JournalName>pkkoi 1 doi</b:JournalName>
    <b:Pages>1´40</b:Pages>
    <b:RefOrder>2</b:RefOrder>
  </b:Source>
  <b:Source>
    <b:Tag>IRE16</b:Tag>
    <b:SourceType>Report</b:SourceType>
    <b:Guid>{54DF28B0-059F-44C8-AA17-4AB37ACC34C3}</b:Guid>
    <b:Author>
      <b:Author>
        <b:Corporate>IRENA &amp; IEA-PVPS</b:Corporate>
      </b:Author>
    </b:Author>
    <b:Title>End-of-Life Management: Solar Photovoltaic Panels</b:Title>
    <b:Year>2016</b:Year>
    <b:Pages>13,21</b:Pages>
    <b:Publisher>International Renewable Energy Agency; IEA Photovoltaic Power Systems Programme</b:Publisher>
    <b:City>Abu Dhabi, Emiratos Árabes Unidos; París, Francia</b:City>
    <b:RefOrder>3</b:RefOrder>
  </b:Source>
  <b:Source>
    <b:Tag>Ene24</b:Tag>
    <b:SourceType>JournalArticle</b:SourceType>
    <b:Guid>{8812431C-E15F-4A5D-A333-8D42911CA3FC}</b:Guid>
    <b:Author>
      <b:Author>
        <b:Corporate>Energía y Sociedad</b:Corporate>
      </b:Author>
    </b:Author>
    <b:Title>La descarbonización del calor y frío, el autoconsumo y la bomba de calor</b:Title>
    <b:Year>2024</b:Year>
    <b:JournalName>Energía y Sociedad</b:JournalName>
    <b:RefOrder>4</b:RefOrder>
  </b:Source>
  <b:Source>
    <b:Tag>Kei18</b:Tag>
    <b:SourceType>JournalArticle</b:SourceType>
    <b:Guid>{DE524A7F-D2D9-48DF-88FF-1A5A2A89DCF6}</b:Guid>
    <b:Author>
      <b:Author>
        <b:NameList>
          <b:Person>
            <b:Last>Komoto</b:Last>
            <b:First>Keiichi</b:First>
          </b:Person>
          <b:Person>
            <b:Last>Lee</b:Last>
            <b:First>Jin-Seok</b:First>
          </b:Person>
        </b:NameList>
      </b:Author>
    </b:Author>
    <b:Title>End of Life Management of Photovoltaic Panels: Trends in PV Module Recycling Technologies</b:Title>
    <b:JournalName>INTERNATIONAL ENERGY AGENCY</b:JournalName>
    <b:Year>2018</b:Year>
    <b:RefOrder>5</b:RefOrder>
  </b:Source>
  <b:Source>
    <b:Tag>CON25</b:Tag>
    <b:SourceType>JournalArticle</b:SourceType>
    <b:Guid>{C44F62E0-0F1F-40E2-9FEF-8F92ACF4FB64}</b:Guid>
    <b:Author>
      <b:Author>
        <b:Corporate>CONSEJO NACIONAL DE POLÍTICA ECONÓMICA Y SOCIAL (CONPES)</b:Corporate>
      </b:Author>
    </b:Author>
    <b:Title>DECLARACIÓN DE IMPORTANCIA ESTRATÉGICA DEL PROYECTO DE INVERSIÓN IMPLEMENTACIÓN DE SOLUCIONES DE GENERACIÓN FOTOVOLTAICA PARA LA REDUCCIÓN DEL COSTO DEL SERVICIO ELÉCTRICO EN LOS ESTRATOS 1, 2 Y 3 DEL SISTEMA INTERCONECTADO NACIONAL DEL PROGRAMA COLOMBIA </b:Title>
    <b:JournalName>CONPES</b:JournalName>
    <b:Year>2025</b:Year>
    <b:RefOrder>6</b:RefOrder>
  </b:Source>
  <b:Source>
    <b:Tag>Min25</b:Tag>
    <b:SourceType>JournalArticle</b:SourceType>
    <b:Guid>{D3D32F71-35EF-4782-8973-C4A5BEBDB857}</b:Guid>
    <b:Author>
      <b:Author>
        <b:Corporate>Ministerio de Vivienda</b:Corporate>
      </b:Author>
    </b:Author>
    <b:Title>Decreto 670 de 2025 Ministerio de Vivienda, Ciudad y Territorio</b:Title>
    <b:JournalName>Función Pública</b:JournalName>
    <b:Year>2025</b:Year>
    <b:RefOrder>1</b:RefOrder>
  </b:Source>
</b:Sources>
</file>

<file path=customXml/itemProps1.xml><?xml version="1.0" encoding="utf-8"?>
<ds:datastoreItem xmlns:ds="http://schemas.openxmlformats.org/officeDocument/2006/customXml" ds:itemID="{200D59A6-6778-49FD-983E-B8E80717C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Pages>
  <Words>1020</Words>
  <Characters>5615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RGH-LS11-10</dc:creator>
  <cp:keywords/>
  <dc:description/>
  <cp:lastModifiedBy>RGH-LS11-15</cp:lastModifiedBy>
  <cp:revision>2</cp:revision>
  <dcterms:created xsi:type="dcterms:W3CDTF">2026-03-03T13:54:00Z</dcterms:created>
  <dcterms:modified xsi:type="dcterms:W3CDTF">2026-03-03T13:54:00Z</dcterms:modified>
</cp:coreProperties>
</file>