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B4F9E" w:sz="6" w:space="6"/>
        </w:pBdr>
        <w:spacing w:after="100" w:before="0"/>
        <w:jc w:val="center"/>
      </w:pPr>
      <w:r>
        <w:rPr>
          <w:rFonts w:ascii="Arial" w:cs="Arial" w:eastAsia="Arial" w:hAnsi="Arial"/>
          <w:b/>
          <w:bCs/>
          <w:color w:val="0B4F9E"/>
          <w:sz w:val="36"/>
          <w:szCs w:val="36"/>
        </w:rPr>
        <w:t xml:space="preserve">Flujo de Pre-alerta — Compras Express</w:t>
      </w:r>
    </w:p>
    <w:p>
      <w:pPr>
        <w:spacing w:after="240" w:before="8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v4.0  ·  Documento para revisión y aprobación  ·  Abril 2026</w:t>
      </w:r>
    </w:p>
    <w:p>
      <w:pPr>
        <w:spacing w:after="320" w:before="0"/>
        <w:jc w:val="center"/>
      </w:pPr>
      <w:r>
        <w:drawing>
          <wp:inline distT="0" distB="0" distL="0" distR="0">
            <wp:extent cx="6096000" cy="880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80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Arial" w:cs="Arial" w:eastAsia="Arial" w:hAnsi="Arial"/>
        </w:rPr>
        <w:t xml:space="preserve">Servicios disponibles</w:t>
      </w:r>
    </w:p>
    <w:p>
      <w:pPr>
        <w:pStyle w:val="Heading2"/>
      </w:pPr>
      <w:r>
        <w:rPr>
          <w:rFonts w:ascii="Arial" w:cs="Arial" w:eastAsia="Arial" w:hAnsi="Arial"/>
        </w:rPr>
        <w:t xml:space="preserve">Con reempaque unitario + opción a consolidar</w:t>
      </w:r>
    </w:p>
    <w:p>
      <w:pPr>
        <w:spacing w:after="60" w:before="60"/>
        <w:ind w:left="440" w:hanging="440"/>
      </w:pPr>
      <w:r>
        <w:rPr>
          <w:rFonts w:ascii="Arial" w:cs="Arial" w:eastAsia="Arial" w:hAnsi="Arial"/>
          <w:color w:val="0B4F9E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0B4F9E"/>
          <w:sz w:val="22"/>
          <w:szCs w:val="22"/>
        </w:rPr>
        <w:t xml:space="preserve">EXPRESS</w:t>
      </w:r>
      <w:r>
        <w:rPr>
          <w:rFonts w:ascii="Arial" w:cs="Arial" w:eastAsia="Arial" w:hAnsi="Arial"/>
          <w:sz w:val="22"/>
          <w:szCs w:val="22"/>
        </w:rPr>
        <w:t xml:space="preserve"> — Aéreo express (sale viernes) · $8.00/lb · 3–7 días hábiles</w:t>
      </w:r>
    </w:p>
    <w:p>
      <w:pPr>
        <w:spacing w:after="60" w:before="60"/>
        <w:ind w:left="440" w:hanging="440"/>
      </w:pPr>
      <w:r>
        <w:rPr>
          <w:rFonts w:ascii="Arial" w:cs="Arial" w:eastAsia="Arial" w:hAnsi="Arial"/>
          <w:color w:val="0B4F9E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0B4F9E"/>
          <w:sz w:val="22"/>
          <w:szCs w:val="22"/>
        </w:rPr>
        <w:t xml:space="preserve">CER</w:t>
      </w:r>
      <w:r>
        <w:rPr>
          <w:rFonts w:ascii="Arial" w:cs="Arial" w:eastAsia="Arial" w:hAnsi="Arial"/>
          <w:sz w:val="22"/>
          <w:szCs w:val="22"/>
        </w:rPr>
        <w:t xml:space="preserve"> — Aéreo estándar · $4.50/lb · 6–10 días hábiles</w:t>
      </w:r>
    </w:p>
    <w:p>
      <w:pPr>
        <w:spacing w:after="60" w:before="60"/>
        <w:ind w:left="440" w:hanging="440"/>
      </w:pPr>
      <w:r>
        <w:rPr>
          <w:rFonts w:ascii="Arial" w:cs="Arial" w:eastAsia="Arial" w:hAnsi="Arial"/>
          <w:color w:val="0B4F9E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0B4F9E"/>
          <w:sz w:val="22"/>
          <w:szCs w:val="22"/>
        </w:rPr>
        <w:t xml:space="preserve">CEM</w:t>
      </w:r>
      <w:r>
        <w:rPr>
          <w:rFonts w:ascii="Arial" w:cs="Arial" w:eastAsia="Arial" w:hAnsi="Arial"/>
          <w:sz w:val="22"/>
          <w:szCs w:val="22"/>
        </w:rPr>
        <w:t xml:space="preserve"> — Marítimo · $2.50/lb · 14–17 días hábiles</w:t>
      </w:r>
    </w:p>
    <w:p>
      <w:pPr>
        <w:pStyle w:val="Heading2"/>
      </w:pPr>
      <w:r>
        <w:rPr>
          <w:rFonts w:ascii="Arial" w:cs="Arial" w:eastAsia="Arial" w:hAnsi="Arial"/>
        </w:rPr>
        <w:t xml:space="preserve">Sin reempaque — sin opción a consolidar</w:t>
      </w:r>
    </w:p>
    <w:p>
      <w:pPr>
        <w:spacing w:after="60" w:before="60"/>
        <w:ind w:left="440" w:hanging="44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CKA</w:t>
      </w:r>
      <w:r>
        <w:rPr>
          <w:rFonts w:ascii="Arial" w:cs="Arial" w:eastAsia="Arial" w:hAnsi="Arial"/>
          <w:sz w:val="22"/>
          <w:szCs w:val="22"/>
        </w:rPr>
        <w:t xml:space="preserve"> — Aéreo · $4.00/lb · 6–10 días hábiles · máximo 1 paquete por acción</w:t>
      </w:r>
    </w:p>
    <w:p>
      <w:pPr>
        <w:spacing w:after="60" w:before="60"/>
        <w:ind w:left="440" w:hanging="44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CKM</w:t>
      </w:r>
      <w:r>
        <w:rPr>
          <w:rFonts w:ascii="Arial" w:cs="Arial" w:eastAsia="Arial" w:hAnsi="Arial"/>
          <w:sz w:val="22"/>
          <w:szCs w:val="22"/>
        </w:rPr>
        <w:t xml:space="preserve"> — Marítimo · $1.50/lb · 14–17 días hábiles · máximo 1 paquete por acción</w:t>
      </w:r>
    </w:p>
    <w:p>
      <w:pPr>
        <w:pStyle w:val="Heading1"/>
      </w:pPr>
      <w:r>
        <w:rPr>
          <w:rFonts w:ascii="Arial" w:cs="Arial" w:eastAsia="Arial" w:hAnsi="Arial"/>
        </w:rPr>
        <w:t xml:space="preserve">Reglas del flujo</w:t>
      </w:r>
    </w:p>
    <w:p>
      <w:pPr>
        <w:spacing w:after="80" w:before="80"/>
        <w:ind w:left="440" w:hanging="440"/>
      </w:pPr>
      <w:r>
        <w:rPr>
          <w:rFonts w:ascii="Arial" w:cs="Arial" w:eastAsia="Arial" w:hAnsi="Arial"/>
          <w:b/>
          <w:bCs/>
          <w:color w:val="0B4F9E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CKA y CKM: </w:t>
      </w:r>
      <w:r>
        <w:rPr>
          <w:rFonts w:ascii="Arial" w:cs="Arial" w:eastAsia="Arial" w:hAnsi="Arial"/>
          <w:sz w:val="22"/>
          <w:szCs w:val="22"/>
        </w:rPr>
        <w:t xml:space="preserve">solo permiten 1 paquete por acción para evitar malos entendidos.</w:t>
      </w:r>
    </w:p>
    <w:p>
      <w:pPr>
        <w:spacing w:after="80" w:before="80"/>
        <w:ind w:left="440" w:hanging="440"/>
      </w:pPr>
      <w:r>
        <w:rPr>
          <w:rFonts w:ascii="Arial" w:cs="Arial" w:eastAsia="Arial" w:hAnsi="Arial"/>
          <w:b/>
          <w:bCs/>
          <w:color w:val="0B4F9E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EXPRESS, CER y CEM: </w:t>
      </w:r>
      <w:r>
        <w:rPr>
          <w:rFonts w:ascii="Arial" w:cs="Arial" w:eastAsia="Arial" w:hAnsi="Arial"/>
          <w:sz w:val="22"/>
          <w:szCs w:val="22"/>
        </w:rPr>
        <w:t xml:space="preserve">permiten elegir entre consolidar o solo reempacar sin consolidar.</w:t>
      </w:r>
    </w:p>
    <w:p>
      <w:pPr>
        <w:spacing w:after="80" w:before="80"/>
        <w:ind w:left="440" w:hanging="440"/>
      </w:pPr>
      <w:r>
        <w:rPr>
          <w:rFonts w:ascii="Arial" w:cs="Arial" w:eastAsia="Arial" w:hAnsi="Arial"/>
          <w:b/>
          <w:bCs/>
          <w:color w:val="0B4F9E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Consolidación: </w:t>
      </w:r>
      <w:r>
        <w:rPr>
          <w:rFonts w:ascii="Arial" w:cs="Arial" w:eastAsia="Arial" w:hAnsi="Arial"/>
          <w:sz w:val="22"/>
          <w:szCs w:val="22"/>
        </w:rPr>
        <w:t xml:space="preserve">sin costo adicional. Debe solicitarse antes de que el paquete llegue a Honduras.</w:t>
      </w:r>
    </w:p>
    <w:p>
      <w:pPr>
        <w:spacing w:after="80" w:before="80"/>
        <w:ind w:left="440" w:hanging="440"/>
      </w:pPr>
      <w:r>
        <w:rPr>
          <w:rFonts w:ascii="Arial" w:cs="Arial" w:eastAsia="Arial" w:hAnsi="Arial"/>
          <w:b/>
          <w:bCs/>
          <w:color w:val="0B4F9E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Tracking: </w:t>
      </w:r>
      <w:r>
        <w:rPr>
          <w:rFonts w:ascii="Arial" w:cs="Arial" w:eastAsia="Arial" w:hAnsi="Arial"/>
          <w:sz w:val="22"/>
          <w:szCs w:val="22"/>
        </w:rPr>
        <w:t xml:space="preserve">opcional en todos los servicios — puede omitirse o agregarse después.</w:t>
      </w:r>
    </w:p>
    <w:p>
      <w:pPr>
        <w:spacing w:after="80" w:before="80"/>
        <w:ind w:left="440" w:hanging="440"/>
      </w:pPr>
      <w:r>
        <w:rPr>
          <w:rFonts w:ascii="Arial" w:cs="Arial" w:eastAsia="Arial" w:hAnsi="Arial"/>
          <w:b/>
          <w:bCs/>
          <w:color w:val="0B4F9E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Notas del cliente: </w:t>
      </w:r>
      <w:r>
        <w:rPr>
          <w:rFonts w:ascii="Arial" w:cs="Arial" w:eastAsia="Arial" w:hAnsi="Arial"/>
          <w:sz w:val="22"/>
          <w:szCs w:val="22"/>
        </w:rPr>
        <w:t xml:space="preserve">se muestran automáticamente al crear la pre-alerta (bug activo en Miami, pendiente de corrección).</w:t>
      </w:r>
    </w:p>
    <w:p>
      <w:pPr>
        <w:spacing w:after="80" w:before="80"/>
        <w:ind w:left="440" w:hanging="440"/>
      </w:pPr>
      <w:r>
        <w:rPr>
          <w:rFonts w:ascii="Arial" w:cs="Arial" w:eastAsia="Arial" w:hAnsi="Arial"/>
          <w:b/>
          <w:bCs/>
          <w:color w:val="0B4F9E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Default: </w:t>
      </w:r>
      <w:r>
        <w:rPr>
          <w:rFonts w:ascii="Arial" w:cs="Arial" w:eastAsia="Arial" w:hAnsi="Arial"/>
          <w:sz w:val="22"/>
          <w:szCs w:val="22"/>
        </w:rPr>
        <w:t xml:space="preserve">paquetes sin tipo de envío se procesan automáticamente como CER.</w:t>
      </w:r>
    </w:p>
    <w:p>
      <w:pPr>
        <w:pBdr>
          <w:top w:val="single" w:color="E5E7EB" w:sz="2" w:space="6"/>
        </w:pBdr>
        <w:spacing w:after="0" w:before="400"/>
        <w:jc w:val="center"/>
      </w:pPr>
      <w:r>
        <w:rPr>
          <w:rFonts w:ascii="Arial" w:cs="Arial" w:eastAsia="Arial" w:hAnsi="Arial"/>
          <w:color w:val="9CA3AF"/>
          <w:sz w:val="16"/>
          <w:szCs w:val="16"/>
        </w:rPr>
        <w:t xml:space="preserve">Compras Express  ·  compras@comprasexpresshn.com  ·  www.comprasexpresshn.com</w:t>
      </w:r>
    </w:p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B4F9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022e1a0bb4828aca0c8173d42eaaceb75562d4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2026-04-04T20:06:01.120Z</dcterms:created>
  <dcterms:modified xsi:type="dcterms:W3CDTF">2026-04-04T20:06:01.122Z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