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drawing>
          <wp:inline distB="114300" distT="114300" distL="114300" distR="114300">
            <wp:extent cx="3739200" cy="1041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39200" cy="104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3">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4">
      <w:pPr>
        <w:spacing w:befor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INSTITUTO TECNOLÓGICO Y DE ESTUDIOS       SUPERIORES DE MONTERREY</w:t>
      </w:r>
    </w:p>
    <w:p w:rsidR="00000000" w:rsidDel="00000000" w:rsidP="00000000" w:rsidRDefault="00000000" w:rsidRPr="00000000" w14:paraId="00000005">
      <w:pPr>
        <w:spacing w:befor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0006">
      <w:pPr>
        <w:spacing w:befor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0007">
      <w:pPr>
        <w:spacing w:before="240" w:lineRule="auto"/>
        <w:jc w:val="center"/>
        <w:rPr>
          <w:rFonts w:ascii="Georgia" w:cs="Georgia" w:eastAsia="Georgia" w:hAnsi="Georgia"/>
          <w:b w:val="1"/>
          <w:bCs w:val="1"/>
          <w:i w:val="1"/>
          <w:iCs w:val="1"/>
          <w:sz w:val="32"/>
          <w:szCs w:val="32"/>
        </w:rPr>
      </w:pPr>
      <w:r w:rsidDel="00000000" w:rsidR="00000000" w:rsidRPr="00000000">
        <w:rPr>
          <w:rFonts w:ascii="Georgia" w:cs="Georgia" w:eastAsia="Georgia" w:hAnsi="Georgia"/>
          <w:b w:val="1"/>
          <w:bCs w:val="1"/>
          <w:i w:val="1"/>
          <w:iCs w:val="1"/>
          <w:sz w:val="32"/>
          <w:szCs w:val="32"/>
          <w:rtl w:val="0"/>
        </w:rPr>
        <w:t xml:space="preserve">Avance 1. Análisis exploratorio de datos</w:t>
      </w:r>
    </w:p>
    <w:p w:rsidR="00000000" w:rsidDel="00000000" w:rsidP="00000000" w:rsidRDefault="00000000" w:rsidRPr="00000000" w14:paraId="00000008">
      <w:pPr>
        <w:spacing w:before="240" w:lineRule="auto"/>
        <w:jc w:val="center"/>
        <w:rPr>
          <w:rFonts w:ascii="Georgia" w:cs="Georgia" w:eastAsia="Georgia" w:hAnsi="Georgia"/>
          <w:i w:val="1"/>
          <w:iCs w:val="1"/>
          <w:sz w:val="34"/>
          <w:szCs w:val="34"/>
        </w:rPr>
      </w:pPr>
      <w:r w:rsidDel="00000000" w:rsidR="00000000" w:rsidRPr="00000000">
        <w:rPr>
          <w:rFonts w:ascii="Georgia" w:cs="Georgia" w:eastAsia="Georgia" w:hAnsi="Georgia"/>
          <w:i w:val="1"/>
          <w:iCs w:val="1"/>
          <w:sz w:val="34"/>
          <w:szCs w:val="34"/>
          <w:rtl w:val="0"/>
        </w:rPr>
        <w:t xml:space="preserve"> </w:t>
      </w:r>
    </w:p>
    <w:p w:rsidR="00000000" w:rsidDel="00000000" w:rsidP="00000000" w:rsidRDefault="00000000" w:rsidRPr="00000000" w14:paraId="00000009">
      <w:pPr>
        <w:spacing w:before="240" w:lineRule="auto"/>
        <w:jc w:val="center"/>
        <w:rPr>
          <w:rFonts w:ascii="Georgia" w:cs="Georgia" w:eastAsia="Georgia" w:hAnsi="Georgia"/>
          <w:i w:val="1"/>
          <w:iCs w:val="1"/>
          <w:sz w:val="34"/>
          <w:szCs w:val="34"/>
        </w:rPr>
      </w:pPr>
      <w:r w:rsidDel="00000000" w:rsidR="00000000" w:rsidRPr="00000000">
        <w:rPr>
          <w:rFonts w:ascii="Georgia" w:cs="Georgia" w:eastAsia="Georgia" w:hAnsi="Georgia"/>
          <w:i w:val="1"/>
          <w:iCs w:val="1"/>
          <w:sz w:val="34"/>
          <w:szCs w:val="34"/>
          <w:rtl w:val="0"/>
        </w:rPr>
        <w:t xml:space="preserve"> </w:t>
      </w:r>
    </w:p>
    <w:p w:rsidR="00000000" w:rsidDel="00000000" w:rsidP="00000000" w:rsidRDefault="00000000" w:rsidRPr="00000000" w14:paraId="0000000A">
      <w:pPr>
        <w:spacing w:before="240" w:lineRule="auto"/>
        <w:jc w:val="center"/>
        <w:rPr>
          <w:rFonts w:ascii="Times New Roman" w:cs="Times New Roman" w:eastAsia="Times New Roman" w:hAnsi="Times New Roman"/>
          <w:i w:val="1"/>
          <w:iCs w:val="1"/>
          <w:sz w:val="34"/>
          <w:szCs w:val="34"/>
        </w:rPr>
      </w:pPr>
      <w:r w:rsidDel="00000000" w:rsidR="00000000" w:rsidRPr="00000000">
        <w:rPr>
          <w:rFonts w:ascii="Times New Roman" w:cs="Times New Roman" w:eastAsia="Times New Roman" w:hAnsi="Times New Roman"/>
          <w:sz w:val="34"/>
          <w:szCs w:val="34"/>
          <w:rtl w:val="0"/>
        </w:rPr>
        <w:t xml:space="preserve"> Integrantes:</w:t>
      </w:r>
      <w:r w:rsidDel="00000000" w:rsidR="00000000" w:rsidRPr="00000000">
        <w:rPr>
          <w:rFonts w:ascii="Times New Roman" w:cs="Times New Roman" w:eastAsia="Times New Roman" w:hAnsi="Times New Roman"/>
          <w:i w:val="1"/>
          <w:iCs w:val="1"/>
          <w:sz w:val="34"/>
          <w:szCs w:val="34"/>
          <w:rtl w:val="0"/>
        </w:rPr>
        <w:t xml:space="preserve"> </w:t>
      </w:r>
    </w:p>
    <w:p w:rsidR="00000000" w:rsidDel="00000000" w:rsidP="00000000" w:rsidRDefault="00000000" w:rsidRPr="00000000" w14:paraId="0000000B">
      <w:pPr>
        <w:spacing w:befor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34"/>
          <w:szCs w:val="34"/>
          <w:rtl w:val="0"/>
        </w:rPr>
        <w:t xml:space="preserve">Ana Cristina Torres Cordero | </w:t>
      </w:r>
      <w:r w:rsidDel="00000000" w:rsidR="00000000" w:rsidRPr="00000000">
        <w:rPr>
          <w:rFonts w:ascii="Times New Roman" w:cs="Times New Roman" w:eastAsia="Times New Roman" w:hAnsi="Times New Roman"/>
          <w:b w:val="1"/>
          <w:bCs w:val="1"/>
          <w:sz w:val="34"/>
          <w:szCs w:val="34"/>
          <w:rtl w:val="0"/>
        </w:rPr>
        <w:t xml:space="preserve">A00831285</w:t>
      </w:r>
    </w:p>
    <w:p w:rsidR="00000000" w:rsidDel="00000000" w:rsidP="00000000" w:rsidRDefault="00000000" w:rsidRPr="00000000" w14:paraId="0000000C">
      <w:pPr>
        <w:spacing w:befor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34"/>
          <w:szCs w:val="34"/>
          <w:rtl w:val="0"/>
        </w:rPr>
        <w:t xml:space="preserve">Irene Plascencia Villalobos | </w:t>
      </w:r>
      <w:r w:rsidDel="00000000" w:rsidR="00000000" w:rsidRPr="00000000">
        <w:rPr>
          <w:rFonts w:ascii="Times New Roman" w:cs="Times New Roman" w:eastAsia="Times New Roman" w:hAnsi="Times New Roman"/>
          <w:b w:val="1"/>
          <w:bCs w:val="1"/>
          <w:sz w:val="34"/>
          <w:szCs w:val="34"/>
          <w:rtl w:val="0"/>
        </w:rPr>
        <w:t xml:space="preserve">A01625258</w:t>
      </w:r>
    </w:p>
    <w:p w:rsidR="00000000" w:rsidDel="00000000" w:rsidP="00000000" w:rsidRDefault="00000000" w:rsidRPr="00000000" w14:paraId="0000000D">
      <w:pPr>
        <w:spacing w:befor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34"/>
          <w:szCs w:val="34"/>
          <w:rtl w:val="0"/>
        </w:rPr>
        <w:t xml:space="preserve">Jorge Santana Mendoza | </w:t>
      </w:r>
      <w:r w:rsidDel="00000000" w:rsidR="00000000" w:rsidRPr="00000000">
        <w:rPr>
          <w:rFonts w:ascii="Times New Roman" w:cs="Times New Roman" w:eastAsia="Times New Roman" w:hAnsi="Times New Roman"/>
          <w:b w:val="1"/>
          <w:bCs w:val="1"/>
          <w:sz w:val="34"/>
          <w:szCs w:val="34"/>
          <w:rtl w:val="0"/>
        </w:rPr>
        <w:t xml:space="preserve">A01376306</w:t>
      </w:r>
    </w:p>
    <w:p w:rsidR="00000000" w:rsidDel="00000000" w:rsidP="00000000" w:rsidRDefault="00000000" w:rsidRPr="00000000" w14:paraId="0000000E">
      <w:pPr>
        <w:spacing w:befor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tl w:val="0"/>
        </w:rPr>
      </w:r>
    </w:p>
    <w:p w:rsidR="00000000" w:rsidDel="00000000" w:rsidP="00000000" w:rsidRDefault="00000000" w:rsidRPr="00000000" w14:paraId="0000000F">
      <w:pPr>
        <w:spacing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  </w:t>
      </w:r>
    </w:p>
    <w:p w:rsidR="00000000" w:rsidDel="00000000" w:rsidP="00000000" w:rsidRDefault="00000000" w:rsidRPr="00000000" w14:paraId="00000010">
      <w:pPr>
        <w:spacing w:befor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PROYECTO INTEGRADOR</w:t>
      </w:r>
    </w:p>
    <w:p w:rsidR="00000000" w:rsidDel="00000000" w:rsidP="00000000" w:rsidRDefault="00000000" w:rsidRPr="00000000" w14:paraId="00000011">
      <w:pPr>
        <w:spacing w:befor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 de entrega: 10/05/2026</w:t>
      </w:r>
    </w:p>
    <w:p w:rsidR="00000000" w:rsidDel="00000000" w:rsidP="00000000" w:rsidRDefault="00000000" w:rsidRPr="00000000" w14:paraId="00000012">
      <w:pPr>
        <w:spacing w:before="240" w:lineRule="auto"/>
        <w:jc w:val="right"/>
        <w:rPr>
          <w:rFonts w:ascii="Times New Roman" w:cs="Times New Roman" w:eastAsia="Times New Roman" w:hAnsi="Times New Roman"/>
          <w:b w:val="1"/>
          <w:bCs w:val="1"/>
          <w:sz w:val="24"/>
          <w:szCs w:val="24"/>
        </w:rPr>
      </w:pPr>
      <w:r w:rsidDel="00000000" w:rsidR="00000000" w:rsidRPr="00000000">
        <w:rPr>
          <w:rtl w:val="0"/>
        </w:rPr>
      </w:r>
    </w:p>
    <w:sdt>
      <w:sdtPr>
        <w:id w:val="1916793393"/>
        <w:docPartObj>
          <w:docPartGallery w:val="Table of Contents"/>
          <w:docPartUnique w:val="1"/>
        </w:docPartObj>
      </w:sdtPr>
      <w:sdtContent>
        <w:p w:rsidR="00000000" w:rsidDel="00000000" w:rsidP="00000000" w:rsidRDefault="00000000" w:rsidRPr="00000000" w14:paraId="00000013">
          <w:pPr>
            <w:widowControl w:val="0"/>
            <w:numPr>
              <w:ilvl w:val="0"/>
              <w:numId w:val="3"/>
            </w:numPr>
            <w:tabs>
              <w:tab w:val="right" w:leader="dot" w:pos="12000"/>
            </w:tabs>
            <w:spacing w:after="0" w:afterAutospacing="0" w:before="60" w:line="240" w:lineRule="auto"/>
            <w:ind w:left="720" w:hanging="360"/>
            <w:rPr>
              <w:rFonts w:ascii="Times New Roman" w:cs="Times New Roman" w:eastAsia="Times New Roman" w:hAnsi="Times New Roman"/>
              <w:b w:val="1"/>
              <w:bCs w:val="1"/>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qhnxfk80c0m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w:t>
              <w:tab/>
            </w:r>
          </w:hyperlink>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p w:rsidR="00000000" w:rsidDel="00000000" w:rsidP="00000000" w:rsidRDefault="00000000" w:rsidRPr="00000000" w14:paraId="00000014">
          <w:pPr>
            <w:widowControl w:val="0"/>
            <w:numPr>
              <w:ilvl w:val="0"/>
              <w:numId w:val="3"/>
            </w:numPr>
            <w:tabs>
              <w:tab w:val="right" w:leader="dot" w:pos="12000"/>
            </w:tabs>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color w:val="000000"/>
              <w:sz w:val="24"/>
              <w:szCs w:val="24"/>
              <w:u w:val="none"/>
              <w:rtl w:val="0"/>
            </w:rPr>
            <w:t xml:space="preserve">Problematic</w:t>
          </w:r>
          <w:r w:rsidDel="00000000" w:rsidR="00000000" w:rsidRPr="00000000">
            <w:rPr>
              <w:rFonts w:ascii="Times New Roman" w:cs="Times New Roman" w:eastAsia="Times New Roman" w:hAnsi="Times New Roman"/>
              <w:b w:val="1"/>
              <w:bCs w:val="1"/>
              <w:sz w:val="24"/>
              <w:szCs w:val="24"/>
              <w:rtl w:val="0"/>
            </w:rPr>
            <w:t xml:space="preserve">a cental</w:t>
          </w:r>
          <w:hyperlink w:anchor="_ylif5olwh9u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5">
          <w:pPr>
            <w:widowControl w:val="0"/>
            <w:numPr>
              <w:ilvl w:val="0"/>
              <w:numId w:val="3"/>
            </w:numPr>
            <w:tabs>
              <w:tab w:val="right" w:leader="dot" w:pos="12000"/>
            </w:tabs>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color w:val="000000"/>
              <w:sz w:val="24"/>
              <w:szCs w:val="24"/>
              <w:u w:val="none"/>
              <w:rtl w:val="0"/>
            </w:rPr>
            <w:t xml:space="preserve">Contexto té</w:t>
          </w:r>
          <w:r w:rsidDel="00000000" w:rsidR="00000000" w:rsidRPr="00000000">
            <w:rPr>
              <w:rFonts w:ascii="Times New Roman" w:cs="Times New Roman" w:eastAsia="Times New Roman" w:hAnsi="Times New Roman"/>
              <w:b w:val="1"/>
              <w:bCs w:val="1"/>
              <w:sz w:val="24"/>
              <w:szCs w:val="24"/>
              <w:rtl w:val="0"/>
            </w:rPr>
            <w:t xml:space="preserve">cnico</w:t>
          </w:r>
          <w:hyperlink w:anchor="_k3pp1gguc8q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p w:rsidR="00000000" w:rsidDel="00000000" w:rsidP="00000000" w:rsidRDefault="00000000" w:rsidRPr="00000000" w14:paraId="00000016">
          <w:pPr>
            <w:widowControl w:val="0"/>
            <w:numPr>
              <w:ilvl w:val="0"/>
              <w:numId w:val="3"/>
            </w:numPr>
            <w:tabs>
              <w:tab w:val="right" w:leader="dot" w:pos="12000"/>
            </w:tabs>
            <w:spacing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color w:val="000000"/>
              <w:sz w:val="24"/>
              <w:szCs w:val="24"/>
              <w:u w:val="none"/>
              <w:rtl w:val="0"/>
            </w:rPr>
            <w:t xml:space="preserve">Estructura de l</w:t>
          </w:r>
          <w:r w:rsidDel="00000000" w:rsidR="00000000" w:rsidRPr="00000000">
            <w:rPr>
              <w:rFonts w:ascii="Times New Roman" w:cs="Times New Roman" w:eastAsia="Times New Roman" w:hAnsi="Times New Roman"/>
              <w:b w:val="1"/>
              <w:bCs w:val="1"/>
              <w:sz w:val="24"/>
              <w:szCs w:val="24"/>
              <w:rtl w:val="0"/>
            </w:rPr>
            <w:t xml:space="preserve">os datos</w:t>
          </w:r>
          <w:hyperlink w:anchor="_uj5psdh6ag5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b w:val="1"/>
              <w:bCs w:val="1"/>
              <w:sz w:val="24"/>
              <w:szCs w:val="24"/>
              <w:rtl w:val="0"/>
            </w:rPr>
            <w:t xml:space="preserve">5</w:t>
          </w:r>
        </w:p>
        <w:p w:rsidR="00000000" w:rsidDel="00000000" w:rsidP="00000000" w:rsidRDefault="00000000" w:rsidRPr="00000000" w14:paraId="00000017">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4.1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000000"/>
              <w:sz w:val="24"/>
              <w:szCs w:val="24"/>
              <w:u w:val="none"/>
              <w:rtl w:val="0"/>
            </w:rPr>
            <w:t xml:space="preserve">Datasets y recursos candi</w:t>
          </w:r>
          <w:r w:rsidDel="00000000" w:rsidR="00000000" w:rsidRPr="00000000">
            <w:rPr>
              <w:rFonts w:ascii="Times New Roman" w:cs="Times New Roman" w:eastAsia="Times New Roman" w:hAnsi="Times New Roman"/>
              <w:sz w:val="24"/>
              <w:szCs w:val="24"/>
              <w:rtl w:val="0"/>
            </w:rPr>
            <w:t xml:space="preserve">datos</w:t>
          </w:r>
          <w:hyperlink w:anchor="_xn9xkjh0uec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18">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sz w:val="24"/>
              <w:szCs w:val="24"/>
              <w:rtl w:val="0"/>
            </w:rPr>
            <w:t xml:space="preserve">4.1.1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SKU110K</w:t>
          </w:r>
          <w:hyperlink r:id="rId7">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19">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sz w:val="24"/>
              <w:szCs w:val="24"/>
              <w:rtl w:val="0"/>
            </w:rPr>
            <w:t xml:space="preserve">4.1.2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rtl w:val="0"/>
            </w:rPr>
            <w:t xml:space="preserve">FSC-147</w:t>
          </w:r>
          <w:hyperlink r:id="rId8">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1A">
          <w:pPr>
            <w:widowControl w:val="0"/>
            <w:tabs>
              <w:tab w:val="right" w:leader="dot" w:pos="1200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sz w:val="24"/>
              <w:szCs w:val="24"/>
              <w:rtl w:val="0"/>
            </w:rPr>
            <w:t xml:space="preserve">4.1.3 </w:t>
          </w:r>
          <w:r w:rsidDel="00000000" w:rsidR="00000000" w:rsidRPr="00000000">
            <w:rPr>
              <w:rFonts w:ascii="Times New Roman" w:cs="Times New Roman" w:eastAsia="Times New Roman" w:hAnsi="Times New Roman"/>
              <w:i w:val="1"/>
              <w:iCs w:val="1"/>
              <w:rtl w:val="0"/>
            </w:rPr>
            <w:t xml:space="preserve">FSC-147-OCC / CARPK-OCC</w:t>
          </w:r>
          <w:hyperlink r:id="rId9">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1B">
          <w:pPr>
            <w:widowControl w:val="0"/>
            <w:tabs>
              <w:tab w:val="right" w:leader="dot" w:pos="12000"/>
            </w:tabs>
            <w:spacing w:before="60" w:line="24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sz w:val="24"/>
              <w:szCs w:val="24"/>
              <w:rtl w:val="0"/>
            </w:rPr>
            <w:t xml:space="preserve">4.1.4 </w:t>
          </w:r>
          <w:r w:rsidDel="00000000" w:rsidR="00000000" w:rsidRPr="00000000">
            <w:rPr>
              <w:rFonts w:ascii="Times New Roman" w:cs="Times New Roman" w:eastAsia="Times New Roman" w:hAnsi="Times New Roman"/>
              <w:i w:val="1"/>
              <w:iCs w:val="1"/>
              <w:rtl w:val="0"/>
            </w:rPr>
            <w:t xml:space="preserve">CAPTURE-real</w:t>
          </w:r>
          <w:hyperlink r:id="rId10">
            <w:r w:rsidDel="00000000" w:rsidR="00000000" w:rsidRPr="00000000">
              <w:rPr>
                <w:rFonts w:ascii="Times New Roman" w:cs="Times New Roman" w:eastAsia="Times New Roman" w:hAnsi="Times New Roman"/>
                <w:rtl w:val="0"/>
              </w:rPr>
              <w:tab/>
            </w:r>
          </w:hyperlink>
          <w:r w:rsidDel="00000000" w:rsidR="00000000" w:rsidRPr="00000000">
            <w:rPr>
              <w:sz w:val="24"/>
              <w:szCs w:val="24"/>
              <w:rtl w:val="0"/>
            </w:rPr>
            <w:t xml:space="preserve">8</w:t>
          </w: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4.2 Propuesta de benchmark experimental</w:t>
          </w:r>
          <w:hyperlink w:anchor="_ryglub6m3tu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1D">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4.3 Identificación de variables</w:t>
          </w:r>
          <w:hyperlink w:anchor="_ryglub6m3tu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1E">
          <w:pPr>
            <w:widowControl w:val="0"/>
            <w:numPr>
              <w:ilvl w:val="0"/>
              <w:numId w:val="3"/>
            </w:numPr>
            <w:tabs>
              <w:tab w:val="right" w:leader="dot" w:pos="12000"/>
            </w:tabs>
            <w:spacing w:after="0" w:afterAutospacing="0" w:before="6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Conclusiones</w:t>
          </w:r>
          <w:hyperlink w:anchor="_yoki0jhcjh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b w:val="1"/>
              <w:bCs w:val="1"/>
              <w:sz w:val="24"/>
              <w:szCs w:val="24"/>
              <w:rtl w:val="0"/>
            </w:rPr>
            <w:t xml:space="preserve">9</w:t>
          </w:r>
        </w:p>
        <w:p w:rsidR="00000000" w:rsidDel="00000000" w:rsidP="00000000" w:rsidRDefault="00000000" w:rsidRPr="00000000" w14:paraId="0000001F">
          <w:pPr>
            <w:widowControl w:val="0"/>
            <w:numPr>
              <w:ilvl w:val="0"/>
              <w:numId w:val="3"/>
            </w:numPr>
            <w:tabs>
              <w:tab w:val="right" w:leader="dot" w:pos="12000"/>
            </w:tabs>
            <w:spacing w:before="0" w:beforeAutospacing="0" w:line="240" w:lineRule="auto"/>
            <w:ind w:left="720" w:hanging="360"/>
            <w:rPr>
              <w:rFonts w:ascii="Times New Roman" w:cs="Times New Roman" w:eastAsia="Times New Roman" w:hAnsi="Times New Roman"/>
              <w:b w:val="1"/>
              <w:bCs w:val="1"/>
              <w:u w:val="none"/>
            </w:rPr>
          </w:pPr>
          <w:hyperlink w:anchor="_yoki0jhcjhd4">
            <w:r w:rsidDel="00000000" w:rsidR="00000000" w:rsidRPr="00000000">
              <w:rPr>
                <w:rFonts w:ascii="Times New Roman" w:cs="Times New Roman" w:eastAsia="Times New Roman" w:hAnsi="Times New Roman"/>
                <w:b w:val="1"/>
                <w:bCs w:val="1"/>
                <w:sz w:val="24"/>
                <w:szCs w:val="24"/>
                <w:rtl w:val="0"/>
              </w:rPr>
              <w:t xml:space="preserve">Bibliografía</w:t>
              <w:tab/>
              <w:t xml:space="preserve">1</w:t>
            </w:r>
          </w:hyperlink>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Style w:val="Heading1"/>
        <w:spacing w:before="240" w:lineRule="auto"/>
        <w:rPr/>
      </w:pPr>
      <w:bookmarkStart w:colFirst="0" w:colLast="0" w:name="_y6e4a0l8jjqg" w:id="0"/>
      <w:bookmarkEnd w:id="0"/>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b w:val="1"/>
          <w:bCs w:val="1"/>
          <w:sz w:val="28"/>
          <w:szCs w:val="28"/>
          <w:rtl w:val="0"/>
        </w:rPr>
        <w:t xml:space="preserve">“Avance 1. Análisis exploratorio de datos”</w:t>
      </w:r>
      <w:r w:rsidDel="00000000" w:rsidR="00000000" w:rsidRPr="00000000">
        <w:rPr>
          <w:rtl w:val="0"/>
        </w:rPr>
      </w:r>
    </w:p>
    <w:p w:rsidR="00000000" w:rsidDel="00000000" w:rsidP="00000000" w:rsidRDefault="00000000" w:rsidRPr="00000000" w14:paraId="00000039">
      <w:pPr>
        <w:pStyle w:val="Heading1"/>
        <w:numPr>
          <w:ilvl w:val="0"/>
          <w:numId w:val="2"/>
        </w:numPr>
        <w:spacing w:after="200" w:lineRule="auto"/>
        <w:ind w:left="720" w:hanging="360"/>
        <w:jc w:val="both"/>
        <w:rPr>
          <w:u w:val="none"/>
        </w:rPr>
      </w:pPr>
      <w:bookmarkStart w:colFirst="0" w:colLast="0" w:name="_qhnxfk80c0m5" w:id="1"/>
      <w:bookmarkEnd w:id="1"/>
      <w:r w:rsidDel="00000000" w:rsidR="00000000" w:rsidRPr="00000000">
        <w:rPr>
          <w:rtl w:val="0"/>
        </w:rPr>
        <w:t xml:space="preserve">Antecedentes</w:t>
      </w:r>
    </w:p>
    <w:p w:rsidR="00000000" w:rsidDel="00000000" w:rsidP="00000000" w:rsidRDefault="00000000" w:rsidRPr="00000000" w14:paraId="0000003A">
      <w:pPr>
        <w:pStyle w:val="Heading1"/>
        <w:spacing w:after="200" w:lineRule="auto"/>
        <w:ind w:left="720" w:firstLine="0"/>
        <w:jc w:val="both"/>
        <w:rPr>
          <w:b w:val="0"/>
          <w:bCs w:val="0"/>
          <w:sz w:val="24"/>
          <w:szCs w:val="24"/>
          <w:highlight w:val="white"/>
        </w:rPr>
      </w:pPr>
      <w:bookmarkStart w:colFirst="0" w:colLast="0" w:name="_s5tbo1xc2xtv" w:id="2"/>
      <w:bookmarkEnd w:id="2"/>
      <w:r w:rsidDel="00000000" w:rsidR="00000000" w:rsidRPr="00000000">
        <w:rPr>
          <w:b w:val="0"/>
          <w:bCs w:val="0"/>
          <w:sz w:val="24"/>
          <w:szCs w:val="24"/>
          <w:highlight w:val="white"/>
          <w:rtl w:val="0"/>
        </w:rPr>
        <w:t xml:space="preserve">El Instituto Tecnológico y de Estudios Superiores de Monterrey (ITESM), a través de sus programas de formación en computación, inteligencia artificial y ciencia de datos, promueve el desarrollo de soluciones tecnológicas aplicadas a problemáticas reales de la industria. En el sector retail, una de las tareas operativas más relevantes es la correcta estimación de inventario en anaqueles, ya que impacta directamente la reposición, el cumplimiento de planogramas, la disponibilidad de productos y la experiencia del cliente.</w:t>
      </w:r>
    </w:p>
    <w:p w:rsidR="00000000" w:rsidDel="00000000" w:rsidP="00000000" w:rsidRDefault="00000000" w:rsidRPr="00000000" w14:paraId="0000003B">
      <w:pPr>
        <w:pStyle w:val="Heading1"/>
        <w:spacing w:after="200" w:lineRule="auto"/>
        <w:ind w:left="720" w:firstLine="0"/>
        <w:jc w:val="both"/>
        <w:rPr>
          <w:b w:val="0"/>
          <w:bCs w:val="0"/>
          <w:sz w:val="24"/>
          <w:szCs w:val="24"/>
          <w:highlight w:val="white"/>
        </w:rPr>
      </w:pPr>
      <w:bookmarkStart w:colFirst="0" w:colLast="0" w:name="_mq7ne6jj3fe2" w:id="3"/>
      <w:bookmarkEnd w:id="3"/>
      <w:r w:rsidDel="00000000" w:rsidR="00000000" w:rsidRPr="00000000">
        <w:rPr>
          <w:b w:val="0"/>
          <w:bCs w:val="0"/>
          <w:sz w:val="24"/>
          <w:szCs w:val="24"/>
          <w:highlight w:val="white"/>
          <w:rtl w:val="0"/>
        </w:rPr>
        <w:t xml:space="preserve">La visión computacional ha permitido automatizar tareas como detección, clasificación y conteo de productos visibles. Sin embargo, los anaqueles reales presentan condiciones complejas: productos densamente acomodados, empaques similares, objetos parcialmente cubiertos, perspectiva de cámara, profundidad del anaquel y apilamiento de objetos. Estas condiciones provocan que un modelo tradicional detecte únicamente las instancias visibles y subestime el conteo real.</w:t>
      </w:r>
    </w:p>
    <w:p w:rsidR="00000000" w:rsidDel="00000000" w:rsidP="00000000" w:rsidRDefault="00000000" w:rsidRPr="00000000" w14:paraId="0000003C">
      <w:pPr>
        <w:pStyle w:val="Heading1"/>
        <w:spacing w:after="200" w:lineRule="auto"/>
        <w:ind w:left="720" w:firstLine="0"/>
        <w:jc w:val="both"/>
        <w:rPr>
          <w:b w:val="0"/>
          <w:bCs w:val="0"/>
          <w:sz w:val="24"/>
          <w:szCs w:val="24"/>
          <w:highlight w:val="white"/>
        </w:rPr>
      </w:pPr>
      <w:bookmarkStart w:colFirst="0" w:colLast="0" w:name="_o6ycsk78mvmy" w:id="4"/>
      <w:bookmarkEnd w:id="4"/>
      <w:r w:rsidDel="00000000" w:rsidR="00000000" w:rsidRPr="00000000">
        <w:rPr>
          <w:b w:val="0"/>
          <w:bCs w:val="0"/>
          <w:sz w:val="24"/>
          <w:szCs w:val="24"/>
          <w:highlight w:val="white"/>
          <w:rtl w:val="0"/>
        </w:rPr>
        <w:t xml:space="preserve">El presente proyecto se enfocará exclusivamente en el estado del arte y la propuesta metodológica para el conteo amodal de productos en anaqueles bajo oclusión estructural derivada de la profundidad y el apilamiento de objetos. Es decir, el interés principal no será únicamente contar lo que la cámara observa, sino estimar el número real de productos presentes cuando algunos de ellos se encuentran ocultos o son inferibles por la estructura espacial del acomodo.</w:t>
      </w:r>
    </w:p>
    <w:p w:rsidR="00000000" w:rsidDel="00000000" w:rsidP="00000000" w:rsidRDefault="00000000" w:rsidRPr="00000000" w14:paraId="0000003D">
      <w:pPr>
        <w:pStyle w:val="Heading1"/>
        <w:spacing w:after="200" w:lineRule="auto"/>
        <w:ind w:left="720" w:firstLine="0"/>
        <w:jc w:val="both"/>
        <w:rPr>
          <w:b w:val="0"/>
          <w:bCs w:val="0"/>
          <w:sz w:val="24"/>
          <w:szCs w:val="24"/>
          <w:highlight w:val="white"/>
        </w:rPr>
      </w:pPr>
      <w:bookmarkStart w:colFirst="0" w:colLast="0" w:name="_wzkazmimeisb" w:id="5"/>
      <w:bookmarkEnd w:id="5"/>
      <w:r w:rsidDel="00000000" w:rsidR="00000000" w:rsidRPr="00000000">
        <w:rPr>
          <w:b w:val="0"/>
          <w:bCs w:val="0"/>
          <w:sz w:val="24"/>
          <w:szCs w:val="24"/>
          <w:highlight w:val="white"/>
          <w:rtl w:val="0"/>
        </w:rPr>
        <w:t xml:space="preserve">El concepto de conteo amodal se relaciona con la capacidad de razonar sobre objetos que no son completamente visibles. En este contexto, la imagen puede mostrar dos productos visibles, pero la organización física del anaquel puede sugerir la presencia de un tercer producto oculto debajo, detrás o dentro de una estructura apilada. Este tipo de problema no se resuelve únicamente con detectores visibles como YOLO, Faster R-CNN, RetinaNet o RT-DETR, ya que dichos modelos suelen depender de evidencia visual directa.</w:t>
      </w:r>
    </w:p>
    <w:p w:rsidR="00000000" w:rsidDel="00000000" w:rsidP="00000000" w:rsidRDefault="00000000" w:rsidRPr="00000000" w14:paraId="0000003E">
      <w:pPr>
        <w:pStyle w:val="Heading1"/>
        <w:spacing w:after="200" w:lineRule="auto"/>
        <w:ind w:left="720" w:firstLine="0"/>
        <w:jc w:val="both"/>
        <w:rPr>
          <w:b w:val="0"/>
          <w:bCs w:val="0"/>
          <w:sz w:val="24"/>
          <w:szCs w:val="24"/>
          <w:highlight w:val="white"/>
        </w:rPr>
      </w:pPr>
      <w:bookmarkStart w:colFirst="0" w:colLast="0" w:name="_n49k1n6keh9v" w:id="6"/>
      <w:bookmarkEnd w:id="6"/>
      <w:r w:rsidDel="00000000" w:rsidR="00000000" w:rsidRPr="00000000">
        <w:rPr>
          <w:b w:val="0"/>
          <w:bCs w:val="0"/>
          <w:sz w:val="24"/>
          <w:szCs w:val="24"/>
          <w:highlight w:val="white"/>
          <w:rtl w:val="0"/>
        </w:rPr>
        <w:t xml:space="preserve">El estado del arte reciente ofrece líneas de trabajo útiles para construir la propuesta: detección en escenas retail densas, conteo open-world multimodal, segmentación amodal, modelado explícito de relaciones oclusor-ocluido, estimación monocular de profundidad y conteo 3D de objetos ocluidos. La contribución esperada del proyecto será articular estas líneas en una metodología específica para anaqueles con productos apilados o acomodados en profundidad.</w:t>
      </w:r>
    </w:p>
    <w:p w:rsidR="00000000" w:rsidDel="00000000" w:rsidP="00000000" w:rsidRDefault="00000000" w:rsidRPr="00000000" w14:paraId="0000003F">
      <w:pPr>
        <w:spacing w:after="20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pStyle w:val="Heading1"/>
        <w:numPr>
          <w:ilvl w:val="0"/>
          <w:numId w:val="2"/>
        </w:numPr>
        <w:spacing w:after="200" w:lineRule="auto"/>
        <w:ind w:left="720" w:hanging="360"/>
        <w:jc w:val="both"/>
        <w:rPr>
          <w:u w:val="none"/>
        </w:rPr>
      </w:pPr>
      <w:bookmarkStart w:colFirst="0" w:colLast="0" w:name="_v6t1mz43svjm" w:id="7"/>
      <w:bookmarkEnd w:id="7"/>
      <w:r w:rsidDel="00000000" w:rsidR="00000000" w:rsidRPr="00000000">
        <w:rPr>
          <w:rtl w:val="0"/>
        </w:rPr>
        <w:t xml:space="preserve">Problemática central</w:t>
      </w:r>
      <w:r w:rsidDel="00000000" w:rsidR="00000000" w:rsidRPr="00000000">
        <w:rPr>
          <w:rtl w:val="0"/>
        </w:rPr>
      </w:r>
    </w:p>
    <w:p w:rsidR="00000000" w:rsidDel="00000000" w:rsidP="00000000" w:rsidRDefault="00000000" w:rsidRPr="00000000" w14:paraId="00000041">
      <w:pPr>
        <w:pStyle w:val="Heading1"/>
        <w:spacing w:after="200" w:lineRule="auto"/>
        <w:ind w:left="720" w:firstLine="0"/>
        <w:jc w:val="both"/>
        <w:rPr>
          <w:b w:val="0"/>
          <w:bCs w:val="0"/>
          <w:sz w:val="24"/>
          <w:szCs w:val="24"/>
          <w:highlight w:val="white"/>
        </w:rPr>
      </w:pPr>
      <w:bookmarkStart w:colFirst="0" w:colLast="0" w:name="_f1x02u37ah2k" w:id="8"/>
      <w:bookmarkEnd w:id="8"/>
      <w:r w:rsidDel="00000000" w:rsidR="00000000" w:rsidRPr="00000000">
        <w:rPr>
          <w:b w:val="0"/>
          <w:bCs w:val="0"/>
          <w:sz w:val="24"/>
          <w:szCs w:val="24"/>
          <w:highlight w:val="white"/>
          <w:rtl w:val="0"/>
        </w:rPr>
        <w:t xml:space="preserve">Los sistemas actuales de visión computacional para conteo de productos suelen estar diseñados para detectar objetos visibles. En escenarios de anaqueles con profundidad y apilamiento, esta formulación resulta insuficiente, ya que algunos productos pueden estar total o parcialmente ocultos por otros objetos, pero su existencia puede inferirse por continuidad estructural, repetición del patrón de acomodo, estimación de profundidad o geometría del stack.</w:t>
      </w:r>
    </w:p>
    <w:p w:rsidR="00000000" w:rsidDel="00000000" w:rsidP="00000000" w:rsidRDefault="00000000" w:rsidRPr="00000000" w14:paraId="00000042">
      <w:pPr>
        <w:pStyle w:val="Heading1"/>
        <w:spacing w:after="200" w:lineRule="auto"/>
        <w:ind w:left="720" w:firstLine="0"/>
        <w:jc w:val="both"/>
        <w:rPr>
          <w:b w:val="0"/>
          <w:bCs w:val="0"/>
          <w:sz w:val="24"/>
          <w:szCs w:val="24"/>
        </w:rPr>
      </w:pPr>
      <w:bookmarkStart w:colFirst="0" w:colLast="0" w:name="_jl4e8ayipy8l" w:id="9"/>
      <w:bookmarkEnd w:id="9"/>
      <w:r w:rsidDel="00000000" w:rsidR="00000000" w:rsidRPr="00000000">
        <w:rPr>
          <w:b w:val="0"/>
          <w:bCs w:val="0"/>
          <w:sz w:val="24"/>
          <w:szCs w:val="24"/>
          <w:highlight w:val="white"/>
          <w:rtl w:val="0"/>
        </w:rPr>
        <w:t xml:space="preserve">El problema central consiste en estimar el conteo amodal de productos en anaqueles cuando el conteo visible no coincide con el conteo real. El proyecto se enfoca en oclusiones estructurales derivadas de dos fenómenos principales: profundidad del anaquel y stacking de producto</w:t>
      </w:r>
      <w:r w:rsidDel="00000000" w:rsidR="00000000" w:rsidRPr="00000000">
        <w:rPr>
          <w:b w:val="0"/>
          <w:bCs w:val="0"/>
          <w:sz w:val="24"/>
          <w:szCs w:val="24"/>
          <w:rtl w:val="0"/>
        </w:rPr>
        <w:t xml:space="preserve">s.</w:t>
      </w:r>
    </w:p>
    <w:p w:rsidR="00000000" w:rsidDel="00000000" w:rsidP="00000000" w:rsidRDefault="00000000" w:rsidRPr="00000000" w14:paraId="00000043">
      <w:pPr>
        <w:pStyle w:val="Heading1"/>
        <w:spacing w:after="200" w:lineRule="auto"/>
        <w:ind w:left="720" w:firstLine="0"/>
        <w:jc w:val="both"/>
        <w:rPr/>
      </w:pPr>
      <w:bookmarkStart w:colFirst="0" w:colLast="0" w:name="_m8xhits5v4hv" w:id="10"/>
      <w:bookmarkEnd w:id="10"/>
      <w:r w:rsidDel="00000000" w:rsidR="00000000" w:rsidRPr="00000000">
        <w:rPr>
          <w:b w:val="0"/>
          <w:bCs w:val="0"/>
          <w:sz w:val="24"/>
          <w:szCs w:val="24"/>
          <w:rtl w:val="0"/>
        </w:rPr>
        <w:t xml:space="preserve">Se busca desarrollar y evaluar una propuesta metodológica de visión computacional capaz de estimar el número total de productos en escenas de anaquel con oclusión estructural por profundidad y apilamiento. La propuesta deberá integrar detección visible, estimación de profundidad y razonamiento espacial para inferir productos ocultos o parcialmente visibles dentro de estructuras repetitivas de acomodo.</w:t>
      </w:r>
      <w:r w:rsidDel="00000000" w:rsidR="00000000" w:rsidRPr="00000000">
        <w:rPr>
          <w:rtl w:val="0"/>
        </w:rPr>
      </w:r>
    </w:p>
    <w:p w:rsidR="00000000" w:rsidDel="00000000" w:rsidP="00000000" w:rsidRDefault="00000000" w:rsidRPr="00000000" w14:paraId="00000044">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40" w:line="276" w:lineRule="auto"/>
        <w:ind w:left="720" w:right="0" w:hanging="360"/>
        <w:jc w:val="both"/>
      </w:pPr>
      <w:bookmarkStart w:colFirst="0" w:colLast="0" w:name="_4yb7lnke8tp6" w:id="11"/>
      <w:bookmarkEnd w:id="11"/>
      <w:r w:rsidDel="00000000" w:rsidR="00000000" w:rsidRPr="00000000">
        <w:rPr>
          <w:rtl w:val="0"/>
        </w:rPr>
        <w:t xml:space="preserve">Contexto técnico</w:t>
      </w:r>
    </w:p>
    <w:p w:rsidR="00000000" w:rsidDel="00000000" w:rsidP="00000000" w:rsidRDefault="00000000" w:rsidRPr="00000000" w14:paraId="00000045">
      <w:pPr>
        <w:ind w:left="720" w:firstLine="0"/>
        <w:jc w:val="both"/>
        <w:rPr/>
      </w:pPr>
      <w:r w:rsidDel="00000000" w:rsidR="00000000" w:rsidRPr="00000000">
        <w:rPr>
          <w:rFonts w:ascii="Times New Roman" w:cs="Times New Roman" w:eastAsia="Times New Roman" w:hAnsi="Times New Roman"/>
          <w:sz w:val="24"/>
          <w:szCs w:val="24"/>
          <w:rtl w:val="0"/>
        </w:rPr>
        <w:t xml:space="preserve">Para este proyecto, la oclusión estructural se define como una condición en la que la existencia de uno o más productos no se deduce únicamente por píxeles visibles, sino por la estructura física del acomodo. Esta estructura puede estar determinada por filas, columnas, niveles de apilamiento, profundidad del anaquel, patrones repetitivos o perspectiva de cámara.</w:t>
      </w: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tbl>
      <w:tblPr>
        <w:tblStyle w:val="Table1"/>
        <w:tblW w:w="868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970"/>
        <w:gridCol w:w="3240"/>
        <w:tblGridChange w:id="0">
          <w:tblGrid>
            <w:gridCol w:w="2475"/>
            <w:gridCol w:w="2970"/>
            <w:gridCol w:w="3240"/>
          </w:tblGrid>
        </w:tblGridChange>
      </w:tblGrid>
      <w:tr>
        <w:trPr>
          <w:cantSplit w:val="0"/>
          <w:trHeight w:val="210" w:hRule="atLeast"/>
          <w:tblHeader w:val="0"/>
        </w:trPr>
        <w:tc>
          <w:tcPr>
            <w:tcBorders>
              <w:top w:color="000000" w:space="0" w:sz="7" w:val="single"/>
              <w:left w:color="000000" w:space="0" w:sz="7" w:val="single"/>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47">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Concepto</w:t>
            </w:r>
          </w:p>
        </w:tc>
        <w:tc>
          <w:tcPr>
            <w:tcBorders>
              <w:top w:color="000000" w:space="0" w:sz="7" w:val="single"/>
              <w:left w:color="000000" w:space="0" w:sz="0" w:val="nil"/>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48">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w:t>
            </w:r>
          </w:p>
        </w:tc>
        <w:tc>
          <w:tcPr>
            <w:tcBorders>
              <w:top w:color="000000" w:space="0" w:sz="7" w:val="single"/>
              <w:left w:color="000000" w:space="0" w:sz="0" w:val="nil"/>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49">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Relevancia para el proyecto</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Conteo</w:t>
            </w:r>
            <w:r w:rsidDel="00000000" w:rsidR="00000000" w:rsidRPr="00000000">
              <w:rPr>
                <w:rFonts w:ascii="Times New Roman" w:cs="Times New Roman" w:eastAsia="Times New Roman" w:hAnsi="Times New Roman"/>
                <w:rtl w:val="0"/>
              </w:rPr>
              <w:t xml:space="preserve"> visible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productos detectables directamente en la imagen.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Sirve como línea base, pero puede subestimar el inventario real.</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Conteo</w:t>
            </w:r>
            <w:r w:rsidDel="00000000" w:rsidR="00000000" w:rsidRPr="00000000">
              <w:rPr>
                <w:rFonts w:ascii="Times New Roman" w:cs="Times New Roman" w:eastAsia="Times New Roman" w:hAnsi="Times New Roman"/>
                <w:rtl w:val="0"/>
              </w:rPr>
              <w:t xml:space="preserve"> amodal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del número total de objetos, incluyendo regiones no visibles o parcialmente visibles.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objetivo central de la propuesta.</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Oclusión por profundidad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producto en primer plano bloquea productos ubicados detrás o en otro plano del anaquel.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Requiere estimar relaciones espaciales entre planos.</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Stacking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Productos colocados uno sobre otro, donde algunos niveles pueden quedar ocultos o parcialmente visibles.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caso estructural principal que se desea modelar.</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Razonamiento estructural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Inferencia basada en regularidad geométrica, repetición, filas, columnas y continuidad del acomodo.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 la contribución metodológica del proyecto.</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Profundidad estimada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Mapa de distancia relativa obtenido desde RGB o mediante sensores RGB-D/LiDAR.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Ayuda a distinguir objetos en primer plano, segundo plano y niveles apilados.</w:t>
            </w:r>
          </w:p>
        </w:tc>
      </w:tr>
    </w:tbl>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spacing w:after="12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Ejemplo de caso objetivo:</w:t>
      </w:r>
      <w:r w:rsidDel="00000000" w:rsidR="00000000" w:rsidRPr="00000000">
        <w:rPr>
          <w:rFonts w:ascii="Times New Roman" w:cs="Times New Roman" w:eastAsia="Times New Roman" w:hAnsi="Times New Roman"/>
          <w:sz w:val="24"/>
          <w:szCs w:val="24"/>
          <w:rtl w:val="0"/>
        </w:rPr>
        <w:t xml:space="preserve"> En una imagen isométrica de un anaquel se observa un producto en primer plano y otro producto en una posición superior del segundo plano. Aunque visualmente solo aparecen dos productos, la estructura del apilamiento puede sugerir que debajo del producto superior existe otro producto no visible. En ese caso, el conteo visible sería dos, pero el conteo amodal esperado sería tres.</w:t>
      </w:r>
    </w:p>
    <w:p w:rsidR="00000000" w:rsidDel="00000000" w:rsidP="00000000" w:rsidRDefault="00000000" w:rsidRPr="00000000" w14:paraId="0000005E">
      <w:pPr>
        <w:spacing w:after="120" w:lineRule="auto"/>
        <w:ind w:left="708.6614173228347" w:firstLine="0"/>
        <w:jc w:val="both"/>
        <w:rPr/>
      </w:pPr>
      <w:r w:rsidDel="00000000" w:rsidR="00000000" w:rsidRPr="00000000">
        <w:rPr>
          <w:rFonts w:ascii="Times New Roman" w:cs="Times New Roman" w:eastAsia="Times New Roman" w:hAnsi="Times New Roman"/>
          <w:sz w:val="24"/>
          <w:szCs w:val="24"/>
          <w:rtl w:val="0"/>
        </w:rPr>
        <w:t xml:space="preserve">Este problema es técnicamente desafiante porque, en imágenes RGB aisladas, la evidencia de objetos completamente ocultos puede ser ambigua. Por ello, el proyecto debe evitar prometer una solución universal y, en su lugar, proponer una estrategia evaluable en escenarios controlados donde el conteo real sea conocido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F">
      <w:pPr>
        <w:pStyle w:val="Heading1"/>
        <w:numPr>
          <w:ilvl w:val="0"/>
          <w:numId w:val="2"/>
        </w:numPr>
        <w:spacing w:after="200" w:before="240" w:lineRule="auto"/>
        <w:ind w:left="720" w:hanging="360"/>
        <w:jc w:val="both"/>
        <w:rPr>
          <w:sz w:val="28"/>
          <w:szCs w:val="28"/>
          <w:u w:val="none"/>
        </w:rPr>
      </w:pPr>
      <w:bookmarkStart w:colFirst="0" w:colLast="0" w:name="_ylif5olwh9u3" w:id="12"/>
      <w:bookmarkEnd w:id="12"/>
      <w:r w:rsidDel="00000000" w:rsidR="00000000" w:rsidRPr="00000000">
        <w:rPr>
          <w:rtl w:val="0"/>
        </w:rPr>
        <w:t xml:space="preserve">Estructura de los datos</w:t>
      </w:r>
    </w:p>
    <w:p w:rsidR="00000000" w:rsidDel="00000000" w:rsidP="00000000" w:rsidRDefault="00000000" w:rsidRPr="00000000" w14:paraId="00000060">
      <w:pPr>
        <w:pStyle w:val="Heading1"/>
        <w:spacing w:after="200" w:before="0" w:lineRule="auto"/>
        <w:ind w:left="708.6614173228347" w:firstLine="0"/>
        <w:jc w:val="both"/>
        <w:rPr/>
      </w:pPr>
      <w:bookmarkStart w:colFirst="0" w:colLast="0" w:name="_1f1r4insuhfs" w:id="13"/>
      <w:bookmarkEnd w:id="13"/>
      <w:r w:rsidDel="00000000" w:rsidR="00000000" w:rsidRPr="00000000">
        <w:rPr>
          <w:b w:val="0"/>
          <w:bCs w:val="0"/>
          <w:sz w:val="24"/>
          <w:szCs w:val="24"/>
          <w:rtl w:val="0"/>
        </w:rPr>
        <w:t xml:space="preserve">El proyecto requiere datos que permitan distinguir entre productos visibles y productos realmente presentes. Este requisito es más exigente que en detección tradicional, porque no basta con anotar bounding boxes visibles. Se necesita conocer el conteo real de productos en la escena, incluyendo unidades ocultas por profundidad o apilamiento.</w:t>
      </w:r>
      <w:r w:rsidDel="00000000" w:rsidR="00000000" w:rsidRPr="00000000">
        <w:rPr>
          <w:rtl w:val="0"/>
        </w:rPr>
      </w:r>
    </w:p>
    <w:tbl>
      <w:tblPr>
        <w:tblStyle w:val="Table2"/>
        <w:tblW w:w="8700.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910"/>
        <w:gridCol w:w="3240"/>
        <w:tblGridChange w:id="0">
          <w:tblGrid>
            <w:gridCol w:w="2550"/>
            <w:gridCol w:w="2910"/>
            <w:gridCol w:w="3240"/>
          </w:tblGrid>
        </w:tblGridChange>
      </w:tblGrid>
      <w:tr>
        <w:trPr>
          <w:cantSplit w:val="0"/>
          <w:trHeight w:val="210" w:hRule="atLeast"/>
          <w:tblHeader w:val="0"/>
        </w:trPr>
        <w:tc>
          <w:tcPr>
            <w:tcBorders>
              <w:top w:color="000000" w:space="0" w:sz="7" w:val="single"/>
              <w:left w:color="000000" w:space="0" w:sz="7" w:val="single"/>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61">
            <w:pPr>
              <w:pStyle w:val="Heading1"/>
              <w:spacing w:before="0" w:lineRule="auto"/>
              <w:jc w:val="both"/>
              <w:rPr>
                <w:color w:val="ffffff"/>
                <w:sz w:val="22"/>
                <w:szCs w:val="22"/>
              </w:rPr>
            </w:pPr>
            <w:bookmarkStart w:colFirst="0" w:colLast="0" w:name="_1f1r4insuhfs" w:id="13"/>
            <w:bookmarkEnd w:id="13"/>
            <w:r w:rsidDel="00000000" w:rsidR="00000000" w:rsidRPr="00000000">
              <w:rPr>
                <w:color w:val="ffffff"/>
                <w:sz w:val="22"/>
                <w:szCs w:val="22"/>
                <w:rtl w:val="0"/>
              </w:rPr>
              <w:t xml:space="preserve">Tipo de dato</w:t>
            </w:r>
          </w:p>
        </w:tc>
        <w:tc>
          <w:tcPr>
            <w:tcBorders>
              <w:top w:color="000000" w:space="0" w:sz="7" w:val="single"/>
              <w:left w:color="000000" w:space="0" w:sz="0" w:val="nil"/>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62">
            <w:pPr>
              <w:pStyle w:val="Heading1"/>
              <w:spacing w:before="0" w:lineRule="auto"/>
              <w:jc w:val="both"/>
              <w:rPr>
                <w:color w:val="ffffff"/>
                <w:sz w:val="22"/>
                <w:szCs w:val="22"/>
              </w:rPr>
            </w:pPr>
            <w:bookmarkStart w:colFirst="0" w:colLast="0" w:name="_1f1r4insuhfs" w:id="13"/>
            <w:bookmarkEnd w:id="13"/>
            <w:r w:rsidDel="00000000" w:rsidR="00000000" w:rsidRPr="00000000">
              <w:rPr>
                <w:color w:val="ffffff"/>
                <w:sz w:val="22"/>
                <w:szCs w:val="22"/>
                <w:rtl w:val="0"/>
              </w:rPr>
              <w:t xml:space="preserve">Uso</w:t>
            </w:r>
          </w:p>
        </w:tc>
        <w:tc>
          <w:tcPr>
            <w:tcBorders>
              <w:top w:color="000000" w:space="0" w:sz="7" w:val="single"/>
              <w:left w:color="000000" w:space="0" w:sz="0" w:val="nil"/>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63">
            <w:pPr>
              <w:pStyle w:val="Heading1"/>
              <w:spacing w:before="0" w:lineRule="auto"/>
              <w:jc w:val="both"/>
              <w:rPr>
                <w:color w:val="ffffff"/>
                <w:sz w:val="22"/>
                <w:szCs w:val="22"/>
              </w:rPr>
            </w:pPr>
            <w:bookmarkStart w:colFirst="0" w:colLast="0" w:name="_1f1r4insuhfs" w:id="13"/>
            <w:bookmarkEnd w:id="13"/>
            <w:r w:rsidDel="00000000" w:rsidR="00000000" w:rsidRPr="00000000">
              <w:rPr>
                <w:color w:val="ffffff"/>
                <w:sz w:val="22"/>
                <w:szCs w:val="22"/>
                <w:rtl w:val="0"/>
              </w:rPr>
              <w:t xml:space="preserve">Observaciones</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4">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Imágenes RGB de anaqueles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5">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Entrada visual principal.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6">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Pueden provenir de datasets públicos o capturas controladas.</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7">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Anotaciones de productos visibles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8">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Entrenar o evaluar detectores visibles.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9">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Bounding boxes o máscaras.</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A">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Conteo</w:t>
            </w:r>
            <w:r w:rsidDel="00000000" w:rsidR="00000000" w:rsidRPr="00000000">
              <w:rPr>
                <w:b w:val="0"/>
                <w:bCs w:val="0"/>
                <w:sz w:val="22"/>
                <w:szCs w:val="22"/>
                <w:rtl w:val="0"/>
              </w:rPr>
              <w:t xml:space="preserve"> total real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B">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Evaluar conteo amodal.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C">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Debe incluir objetos ocultos por stacking/profundidad.</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D">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Mapa de profundidad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E">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Identificar planos y niveles.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F">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Puede ser estimado con modelos monoculares o generado sintéticamente.</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0">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Máscaras de oclusión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1">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Separar regiones visibles, oclusores y objetos </w:t>
            </w:r>
            <w:r w:rsidDel="00000000" w:rsidR="00000000" w:rsidRPr="00000000">
              <w:rPr>
                <w:b w:val="0"/>
                <w:bCs w:val="0"/>
                <w:sz w:val="22"/>
                <w:szCs w:val="22"/>
                <w:rtl w:val="0"/>
              </w:rPr>
              <w:t xml:space="preserve">ocluidos</w:t>
            </w:r>
            <w:r w:rsidDel="00000000" w:rsidR="00000000" w:rsidRPr="00000000">
              <w:rPr>
                <w:b w:val="0"/>
                <w:bCs w:val="0"/>
                <w:sz w:val="22"/>
                <w:szCs w:val="22"/>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2">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Útiles para análisis amodal.</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3">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Metadatos de stacking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4">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Describir niveles, columnas, filas y orden de profundidad.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5">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Clave para evaluar el módulo estructural.</w:t>
            </w:r>
          </w:p>
        </w:tc>
      </w:tr>
    </w:tbl>
    <w:p w:rsidR="00000000" w:rsidDel="00000000" w:rsidP="00000000" w:rsidRDefault="00000000" w:rsidRPr="00000000" w14:paraId="00000076">
      <w:pPr>
        <w:pStyle w:val="Heading1"/>
        <w:numPr>
          <w:ilvl w:val="1"/>
          <w:numId w:val="2"/>
        </w:numPr>
        <w:spacing w:after="120" w:before="0" w:lineRule="auto"/>
        <w:ind w:left="1440" w:hanging="360"/>
        <w:jc w:val="both"/>
        <w:rPr>
          <w:u w:val="none"/>
        </w:rPr>
      </w:pPr>
      <w:bookmarkStart w:colFirst="0" w:colLast="0" w:name="_1f1r4insuhfs" w:id="13"/>
      <w:bookmarkEnd w:id="13"/>
      <w:r w:rsidDel="00000000" w:rsidR="00000000" w:rsidRPr="00000000">
        <w:rPr>
          <w:rtl w:val="0"/>
        </w:rPr>
        <w:t xml:space="preserve">Datasets y recursos candidatos</w:t>
      </w:r>
    </w:p>
    <w:p w:rsidR="00000000" w:rsidDel="00000000" w:rsidP="00000000" w:rsidRDefault="00000000" w:rsidRPr="00000000" w14:paraId="00000077">
      <w:pPr>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que existen conjuntos de datos con imágenes de anaqueles útiles para el análisis, la estructura de los datos no es la óptima para responder a la problemática. A continuación, se detalla un resumen de las distintas opciones de recursos y sus respectivas limitaciones, seguido de una descripción más detallada de cada conjunto.</w:t>
      </w:r>
    </w:p>
    <w:p w:rsidR="00000000" w:rsidDel="00000000" w:rsidP="00000000" w:rsidRDefault="00000000" w:rsidRPr="00000000" w14:paraId="00000078">
      <w:pPr>
        <w:ind w:left="1440" w:firstLine="0"/>
        <w:rPr/>
      </w:pPr>
      <w:r w:rsidDel="00000000" w:rsidR="00000000" w:rsidRPr="00000000">
        <w:rPr>
          <w:rtl w:val="0"/>
        </w:rPr>
      </w:r>
    </w:p>
    <w:tbl>
      <w:tblPr>
        <w:tblStyle w:val="Table3"/>
        <w:tblW w:w="8760.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940"/>
        <w:gridCol w:w="3210"/>
        <w:tblGridChange w:id="0">
          <w:tblGrid>
            <w:gridCol w:w="2610"/>
            <w:gridCol w:w="2940"/>
            <w:gridCol w:w="3210"/>
          </w:tblGrid>
        </w:tblGridChange>
      </w:tblGrid>
      <w:tr>
        <w:trPr>
          <w:cantSplit w:val="0"/>
          <w:trHeight w:val="210" w:hRule="atLeast"/>
          <w:tblHeader w:val="0"/>
        </w:trPr>
        <w:tc>
          <w:tcPr>
            <w:tcBorders>
              <w:top w:color="000000" w:space="0" w:sz="7" w:val="single"/>
              <w:left w:color="000000" w:space="0" w:sz="7" w:val="single"/>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79">
            <w:pPr>
              <w:pStyle w:val="Heading1"/>
              <w:spacing w:before="0" w:lineRule="auto"/>
              <w:jc w:val="both"/>
              <w:rPr>
                <w:color w:val="ffffff"/>
                <w:sz w:val="22"/>
                <w:szCs w:val="22"/>
              </w:rPr>
            </w:pPr>
            <w:bookmarkStart w:colFirst="0" w:colLast="0" w:name="_1f1r4insuhfs" w:id="13"/>
            <w:bookmarkEnd w:id="13"/>
            <w:r w:rsidDel="00000000" w:rsidR="00000000" w:rsidRPr="00000000">
              <w:rPr>
                <w:color w:val="ffffff"/>
                <w:sz w:val="22"/>
                <w:szCs w:val="22"/>
                <w:rtl w:val="0"/>
              </w:rPr>
              <w:t xml:space="preserve">Dataset / recurso</w:t>
            </w:r>
          </w:p>
        </w:tc>
        <w:tc>
          <w:tcPr>
            <w:tcBorders>
              <w:top w:color="000000" w:space="0" w:sz="7" w:val="single"/>
              <w:left w:color="000000" w:space="0" w:sz="0" w:val="nil"/>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7A">
            <w:pPr>
              <w:pStyle w:val="Heading1"/>
              <w:spacing w:before="0" w:lineRule="auto"/>
              <w:jc w:val="both"/>
              <w:rPr>
                <w:color w:val="ffffff"/>
                <w:sz w:val="22"/>
                <w:szCs w:val="22"/>
              </w:rPr>
            </w:pPr>
            <w:bookmarkStart w:colFirst="0" w:colLast="0" w:name="_1f1r4insuhfs" w:id="13"/>
            <w:bookmarkEnd w:id="13"/>
            <w:r w:rsidDel="00000000" w:rsidR="00000000" w:rsidRPr="00000000">
              <w:rPr>
                <w:color w:val="ffffff"/>
                <w:sz w:val="22"/>
                <w:szCs w:val="22"/>
                <w:rtl w:val="0"/>
              </w:rPr>
              <w:t xml:space="preserve">Uso recomendado</w:t>
            </w:r>
          </w:p>
        </w:tc>
        <w:tc>
          <w:tcPr>
            <w:tcBorders>
              <w:top w:color="000000" w:space="0" w:sz="7" w:val="single"/>
              <w:left w:color="000000" w:space="0" w:sz="0" w:val="nil"/>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7B">
            <w:pPr>
              <w:pStyle w:val="Heading1"/>
              <w:spacing w:before="0" w:lineRule="auto"/>
              <w:jc w:val="both"/>
              <w:rPr>
                <w:color w:val="ffffff"/>
                <w:sz w:val="22"/>
                <w:szCs w:val="22"/>
              </w:rPr>
            </w:pPr>
            <w:bookmarkStart w:colFirst="0" w:colLast="0" w:name="_1f1r4insuhfs" w:id="13"/>
            <w:bookmarkEnd w:id="13"/>
            <w:r w:rsidDel="00000000" w:rsidR="00000000" w:rsidRPr="00000000">
              <w:rPr>
                <w:color w:val="ffffff"/>
                <w:sz w:val="22"/>
                <w:szCs w:val="22"/>
                <w:rtl w:val="0"/>
              </w:rPr>
              <w:t xml:space="preserve">Limitación</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C">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SKU110K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D">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Línea base de detección visible en anaqueles densos de retail.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E">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No contiene etiquetas amodales ni objetos completamente ocultos. Así como tampoco datos de profundidad.</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F">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FSC-147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0">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Conteo</w:t>
            </w:r>
            <w:r w:rsidDel="00000000" w:rsidR="00000000" w:rsidRPr="00000000">
              <w:rPr>
                <w:b w:val="0"/>
                <w:bCs w:val="0"/>
                <w:sz w:val="22"/>
                <w:szCs w:val="22"/>
                <w:rtl w:val="0"/>
              </w:rPr>
              <w:t xml:space="preserve"> general few-shot/open-world.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1">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No está especializado en anaqueles ni stacking. No contiene anotaciones amodales ni de profundidad.</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2">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FSC-147-OCC / CARPK-OCC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3">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Referencias metodológicas para evaluar conteo bajo oclusión sintética.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4">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Dominio distinto al retail de anaquel.</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5">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CAPTURE-real / synthetic</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6">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Evaluar razonamiento espacial sobre conteo de objetos </w:t>
            </w:r>
            <w:r w:rsidDel="00000000" w:rsidR="00000000" w:rsidRPr="00000000">
              <w:rPr>
                <w:b w:val="0"/>
                <w:bCs w:val="0"/>
                <w:sz w:val="22"/>
                <w:szCs w:val="22"/>
                <w:rtl w:val="0"/>
              </w:rPr>
              <w:t xml:space="preserve">ocluidos</w:t>
            </w:r>
            <w:r w:rsidDel="00000000" w:rsidR="00000000" w:rsidRPr="00000000">
              <w:rPr>
                <w:b w:val="0"/>
                <w:bCs w:val="0"/>
                <w:sz w:val="22"/>
                <w:szCs w:val="22"/>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7">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Benchmark conceptual, no necesariamente retail.</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8">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Dataset sintético </w:t>
            </w:r>
            <w:r w:rsidDel="00000000" w:rsidR="00000000" w:rsidRPr="00000000">
              <w:rPr>
                <w:b w:val="0"/>
                <w:bCs w:val="0"/>
                <w:sz w:val="22"/>
                <w:szCs w:val="22"/>
                <w:rtl w:val="0"/>
              </w:rPr>
              <w:t xml:space="preserve">propio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9">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Generar escenas con profundidad, stacking y conteo total conocido.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A">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Requiere diseño de escenas y validación visual.</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B">
            <w:pPr>
              <w:pStyle w:val="Heading1"/>
              <w:spacing w:before="0" w:lineRule="auto"/>
              <w:rPr>
                <w:b w:val="0"/>
                <w:bCs w:val="0"/>
                <w:sz w:val="22"/>
                <w:szCs w:val="22"/>
              </w:rPr>
            </w:pPr>
            <w:bookmarkStart w:colFirst="0" w:colLast="0" w:name="_1f1r4insuhfs" w:id="13"/>
            <w:bookmarkEnd w:id="13"/>
            <w:r w:rsidDel="00000000" w:rsidR="00000000" w:rsidRPr="00000000">
              <w:rPr>
                <w:b w:val="0"/>
                <w:bCs w:val="0"/>
                <w:sz w:val="22"/>
                <w:szCs w:val="22"/>
                <w:rtl w:val="0"/>
              </w:rPr>
              <w:t xml:space="preserve">Capturas controladas reales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C">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Validación en anaqueles o arreglos de productos reales.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D">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Requiere anotación manual y control del conteo real.</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E">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Datos RGB-D o LiDAR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F">
            <w:pPr>
              <w:pStyle w:val="Heading1"/>
              <w:spacing w:before="0" w:lineRule="auto"/>
              <w:jc w:val="both"/>
              <w:rPr>
                <w:b w:val="0"/>
                <w:bCs w:val="0"/>
                <w:sz w:val="22"/>
                <w:szCs w:val="22"/>
              </w:rPr>
            </w:pPr>
            <w:bookmarkStart w:colFirst="0" w:colLast="0" w:name="_1f1r4insuhfs" w:id="13"/>
            <w:bookmarkEnd w:id="13"/>
            <w:r w:rsidDel="00000000" w:rsidR="00000000" w:rsidRPr="00000000">
              <w:rPr>
                <w:b w:val="0"/>
                <w:bCs w:val="0"/>
                <w:sz w:val="22"/>
                <w:szCs w:val="22"/>
                <w:rtl w:val="0"/>
              </w:rPr>
              <w:t xml:space="preserve">Evaluar extensión 3D para oclusión por profundidad.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0">
            <w:pPr>
              <w:pStyle w:val="Heading1"/>
              <w:spacing w:before="0" w:lineRule="auto"/>
              <w:jc w:val="both"/>
              <w:rPr>
                <w:b w:val="0"/>
                <w:bCs w:val="0"/>
                <w:sz w:val="22"/>
                <w:szCs w:val="22"/>
              </w:rPr>
            </w:pPr>
            <w:bookmarkStart w:colFirst="0" w:colLast="0" w:name="_cznwtllktlxy" w:id="14"/>
            <w:bookmarkEnd w:id="14"/>
            <w:r w:rsidDel="00000000" w:rsidR="00000000" w:rsidRPr="00000000">
              <w:rPr>
                <w:b w:val="0"/>
                <w:bCs w:val="0"/>
                <w:sz w:val="22"/>
                <w:szCs w:val="22"/>
                <w:rtl w:val="0"/>
              </w:rPr>
              <w:t xml:space="preserve">Puede ser difícil conseguir sensores o datos públicos adecuados.</w:t>
            </w:r>
          </w:p>
        </w:tc>
      </w:tr>
    </w:tbl>
    <w:p w:rsidR="00000000" w:rsidDel="00000000" w:rsidP="00000000" w:rsidRDefault="00000000" w:rsidRPr="00000000" w14:paraId="00000091">
      <w:pPr>
        <w:pStyle w:val="Heading1"/>
        <w:numPr>
          <w:ilvl w:val="2"/>
          <w:numId w:val="2"/>
        </w:numPr>
        <w:spacing w:after="120" w:before="200" w:lineRule="auto"/>
        <w:ind w:left="2160" w:hanging="360"/>
        <w:jc w:val="both"/>
        <w:rPr>
          <w:rFonts w:ascii="Times New Roman" w:cs="Times New Roman" w:eastAsia="Times New Roman" w:hAnsi="Times New Roman"/>
          <w:b w:val="1"/>
          <w:bCs w:val="1"/>
          <w:sz w:val="28"/>
          <w:szCs w:val="28"/>
        </w:rPr>
      </w:pPr>
      <w:bookmarkStart w:colFirst="0" w:colLast="0" w:name="_y9d0jwh6a9z7" w:id="15"/>
      <w:bookmarkEnd w:id="15"/>
      <w:r w:rsidDel="00000000" w:rsidR="00000000" w:rsidRPr="00000000">
        <w:rPr>
          <w:rtl w:val="0"/>
        </w:rPr>
        <w:t xml:space="preserve">SKU110K</w:t>
      </w:r>
    </w:p>
    <w:p w:rsidR="00000000" w:rsidDel="00000000" w:rsidP="00000000" w:rsidRDefault="00000000" w:rsidRPr="00000000" w14:paraId="00000092">
      <w:pPr>
        <w:pStyle w:val="Heading1"/>
        <w:spacing w:after="120" w:before="200" w:lineRule="auto"/>
        <w:ind w:left="2160" w:firstLine="0"/>
        <w:jc w:val="both"/>
        <w:rPr>
          <w:b w:val="0"/>
          <w:bCs w:val="0"/>
          <w:sz w:val="24"/>
          <w:szCs w:val="24"/>
        </w:rPr>
      </w:pPr>
      <w:bookmarkStart w:colFirst="0" w:colLast="0" w:name="_bvkjmacg2oo" w:id="16"/>
      <w:bookmarkEnd w:id="16"/>
      <w:r w:rsidDel="00000000" w:rsidR="00000000" w:rsidRPr="00000000">
        <w:rPr>
          <w:b w:val="0"/>
          <w:bCs w:val="0"/>
          <w:sz w:val="24"/>
          <w:szCs w:val="24"/>
          <w:rtl w:val="0"/>
        </w:rPr>
        <w:t xml:space="preserve">Es un benchmark a gran escala diseñado para detección de objetos en escenas de retail que están densamente pobladas. Este dataset contiene 11,762 imágenes de anaqueles en distintos escenarios y partes del mundo. En total, se incluyen 1.73 millones de bounding boxes anotados, con un promedio de alrededor de 147 objetos en cada imagen. Es importante mencionar que todas las imágenes fueron redimensionadas a una resolución cercana a un millón de píxeles.</w:t>
      </w:r>
    </w:p>
    <w:p w:rsidR="00000000" w:rsidDel="00000000" w:rsidP="00000000" w:rsidRDefault="00000000" w:rsidRPr="00000000" w14:paraId="00000093">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dataset fue creado específicamente para abordar la situación problema de nuestro proyecto pero sin el enfoque particular a la oclusión, es decir, escenarios donde los productos se encuentran muy juntos, parcialmente superpuestos y organizados con variaciones de orientación (en un rango de </w:t>
      </w:r>
      <w:r w:rsidDel="00000000" w:rsidR="00000000" w:rsidRPr="00000000">
        <w:rPr>
          <w:rFonts w:ascii="Times New Roman" w:cs="Times New Roman" w:eastAsia="Times New Roman" w:hAnsi="Times New Roman"/>
          <w:sz w:val="24"/>
          <w:szCs w:val="24"/>
          <w:rtl w:val="0"/>
        </w:rPr>
        <w:t xml:space="preserve">-15°, 15°).</w:t>
      </w:r>
    </w:p>
    <w:p w:rsidR="00000000" w:rsidDel="00000000" w:rsidP="00000000" w:rsidRDefault="00000000" w:rsidRPr="00000000" w14:paraId="0000009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1"/>
        <w:numPr>
          <w:ilvl w:val="2"/>
          <w:numId w:val="2"/>
        </w:numPr>
        <w:spacing w:after="120" w:before="200" w:lineRule="auto"/>
        <w:ind w:left="2160" w:hanging="360"/>
        <w:jc w:val="both"/>
        <w:rPr>
          <w:rFonts w:ascii="Times New Roman" w:cs="Times New Roman" w:eastAsia="Times New Roman" w:hAnsi="Times New Roman"/>
          <w:b w:val="1"/>
          <w:bCs w:val="1"/>
          <w:sz w:val="28"/>
          <w:szCs w:val="28"/>
        </w:rPr>
      </w:pPr>
      <w:bookmarkStart w:colFirst="0" w:colLast="0" w:name="_o2ubx0uo98ix" w:id="17"/>
      <w:bookmarkEnd w:id="17"/>
      <w:r w:rsidDel="00000000" w:rsidR="00000000" w:rsidRPr="00000000">
        <w:rPr>
          <w:rtl w:val="0"/>
        </w:rPr>
        <w:t xml:space="preserve">FSC-147</w:t>
      </w:r>
    </w:p>
    <w:p w:rsidR="00000000" w:rsidDel="00000000" w:rsidP="00000000" w:rsidRDefault="00000000" w:rsidRPr="00000000" w14:paraId="00000097">
      <w:pPr>
        <w:pStyle w:val="Heading1"/>
        <w:spacing w:after="120" w:before="200" w:lineRule="auto"/>
        <w:ind w:left="2160" w:firstLine="0"/>
        <w:jc w:val="both"/>
        <w:rPr/>
      </w:pPr>
      <w:bookmarkStart w:colFirst="0" w:colLast="0" w:name="_6vh4c4r9y78b" w:id="18"/>
      <w:bookmarkEnd w:id="18"/>
      <w:r w:rsidDel="00000000" w:rsidR="00000000" w:rsidRPr="00000000">
        <w:rPr>
          <w:b w:val="0"/>
          <w:bCs w:val="0"/>
          <w:sz w:val="24"/>
          <w:szCs w:val="24"/>
          <w:rtl w:val="0"/>
        </w:rPr>
        <w:t xml:space="preserve">Está orientado a la problemática de conteo general de objetos bajo un enfoque few-shot y open-world. Contiene un dataset con 6,135 imágenes con más de 147 categorías diferentes  y anotaciones de puntos para el conteo.</w:t>
      </w:r>
      <w:r w:rsidDel="00000000" w:rsidR="00000000" w:rsidRPr="00000000">
        <w:rPr>
          <w:rtl w:val="0"/>
        </w:rPr>
      </w:r>
    </w:p>
    <w:p w:rsidR="00000000" w:rsidDel="00000000" w:rsidP="00000000" w:rsidRDefault="00000000" w:rsidRPr="00000000" w14:paraId="00000098">
      <w:pPr>
        <w:pStyle w:val="Heading1"/>
        <w:spacing w:after="120" w:before="200" w:lineRule="auto"/>
        <w:ind w:left="2160" w:firstLine="0"/>
        <w:jc w:val="both"/>
        <w:rPr>
          <w:b w:val="0"/>
          <w:bCs w:val="0"/>
          <w:i w:val="1"/>
          <w:iCs w:val="1"/>
          <w:sz w:val="24"/>
          <w:szCs w:val="24"/>
        </w:rPr>
      </w:pPr>
      <w:bookmarkStart w:colFirst="0" w:colLast="0" w:name="_qr8wb6qc8k5p" w:id="19"/>
      <w:bookmarkEnd w:id="19"/>
      <w:r w:rsidDel="00000000" w:rsidR="00000000" w:rsidRPr="00000000">
        <w:rPr>
          <w:b w:val="0"/>
          <w:bCs w:val="0"/>
          <w:i w:val="1"/>
          <w:iCs w:val="1"/>
          <w:sz w:val="24"/>
          <w:szCs w:val="24"/>
          <w:rtl w:val="0"/>
        </w:rPr>
        <w:t xml:space="preserve">El enfoque few-shot consiste en que el modelo recibe como entrada pocos ejemplos visuales del objeto que debe de contar y posteriormente, encuentra y hace el conteo de todos los otros objetos similares en la imagen. En cuanto al enfoque open-world, el modelo puede generalizar a categorías no vistas previamente durante el entrenamiento. </w:t>
      </w:r>
    </w:p>
    <w:p w:rsidR="00000000" w:rsidDel="00000000" w:rsidP="00000000" w:rsidRDefault="00000000" w:rsidRPr="00000000" w14:paraId="00000099">
      <w:pPr>
        <w:pStyle w:val="Heading1"/>
        <w:spacing w:after="120" w:before="200" w:lineRule="auto"/>
        <w:ind w:left="2160" w:firstLine="0"/>
        <w:jc w:val="both"/>
        <w:rPr>
          <w:b w:val="0"/>
          <w:bCs w:val="0"/>
          <w:sz w:val="24"/>
          <w:szCs w:val="24"/>
        </w:rPr>
      </w:pPr>
      <w:bookmarkStart w:colFirst="0" w:colLast="0" w:name="_zhw1zvrljv29" w:id="20"/>
      <w:bookmarkEnd w:id="20"/>
      <w:r w:rsidDel="00000000" w:rsidR="00000000" w:rsidRPr="00000000">
        <w:rPr>
          <w:b w:val="0"/>
          <w:bCs w:val="0"/>
          <w:sz w:val="24"/>
          <w:szCs w:val="24"/>
          <w:rtl w:val="0"/>
        </w:rPr>
        <w:t xml:space="preserve">Las imágenes tienen dimensiones promedio de 774 píxeles de altura y 938  de ancho, con un  rango de 7 a 3701 objetos por imágen. En cuanto a la segmentación del dataset, se utilizaron 3659 imágenes para el entrenamiento, 1286 para la validación y 1190 para las pruebas.</w:t>
      </w:r>
    </w:p>
    <w:p w:rsidR="00000000" w:rsidDel="00000000" w:rsidP="00000000" w:rsidRDefault="00000000" w:rsidRPr="00000000" w14:paraId="0000009A">
      <w:pPr>
        <w:pStyle w:val="Heading1"/>
        <w:spacing w:after="120" w:before="200" w:lineRule="auto"/>
        <w:ind w:left="2160" w:firstLine="0"/>
        <w:jc w:val="both"/>
        <w:rPr>
          <w:b w:val="0"/>
          <w:bCs w:val="0"/>
        </w:rPr>
      </w:pPr>
      <w:bookmarkStart w:colFirst="0" w:colLast="0" w:name="_dyd5duhbsnf2" w:id="21"/>
      <w:bookmarkEnd w:id="21"/>
      <w:r w:rsidDel="00000000" w:rsidR="00000000" w:rsidRPr="00000000">
        <w:rPr>
          <w:b w:val="0"/>
          <w:bCs w:val="0"/>
          <w:sz w:val="24"/>
          <w:szCs w:val="24"/>
          <w:rtl w:val="0"/>
        </w:rPr>
        <w:t xml:space="preserve">En referencia a las anotaciones de las imágenes, tiene dos tipos: rectángulos delimitadores y puntos. Los puntos se establecen para cada objeto y en caso de que presenten oclusión, solo se cuentan y anotan, siempre y cuando el porcentaje de oclusión sea menor al 90%.</w:t>
      </w:r>
      <w:r w:rsidDel="00000000" w:rsidR="00000000" w:rsidRPr="00000000">
        <w:rPr>
          <w:rtl w:val="0"/>
        </w:rPr>
      </w:r>
    </w:p>
    <w:p w:rsidR="00000000" w:rsidDel="00000000" w:rsidP="00000000" w:rsidRDefault="00000000" w:rsidRPr="00000000" w14:paraId="0000009B">
      <w:pPr>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9C">
      <w:pPr>
        <w:pStyle w:val="Heading1"/>
        <w:numPr>
          <w:ilvl w:val="2"/>
          <w:numId w:val="2"/>
        </w:numPr>
        <w:spacing w:after="120" w:before="200" w:lineRule="auto"/>
        <w:ind w:left="2160" w:hanging="360"/>
        <w:jc w:val="both"/>
        <w:rPr>
          <w:rFonts w:ascii="Times New Roman" w:cs="Times New Roman" w:eastAsia="Times New Roman" w:hAnsi="Times New Roman"/>
          <w:b w:val="1"/>
          <w:bCs w:val="1"/>
          <w:sz w:val="28"/>
          <w:szCs w:val="28"/>
        </w:rPr>
      </w:pPr>
      <w:bookmarkStart w:colFirst="0" w:colLast="0" w:name="_ymeau3s6rz4z" w:id="22"/>
      <w:bookmarkEnd w:id="22"/>
      <w:r w:rsidDel="00000000" w:rsidR="00000000" w:rsidRPr="00000000">
        <w:rPr>
          <w:rtl w:val="0"/>
        </w:rPr>
        <w:t xml:space="preserve">FSC-147-OCC / CARPK-OCC</w:t>
      </w:r>
    </w:p>
    <w:p w:rsidR="00000000" w:rsidDel="00000000" w:rsidP="00000000" w:rsidRDefault="00000000" w:rsidRPr="00000000" w14:paraId="0000009D">
      <w:pPr>
        <w:pStyle w:val="Heading1"/>
        <w:spacing w:after="120" w:before="200" w:lineRule="auto"/>
        <w:ind w:left="2160" w:firstLine="0"/>
        <w:jc w:val="both"/>
        <w:rPr>
          <w:b w:val="0"/>
          <w:bCs w:val="0"/>
          <w:sz w:val="24"/>
          <w:szCs w:val="24"/>
        </w:rPr>
      </w:pPr>
      <w:bookmarkStart w:colFirst="0" w:colLast="0" w:name="_x5h1elux12qn" w:id="23"/>
      <w:bookmarkEnd w:id="23"/>
      <w:r w:rsidDel="00000000" w:rsidR="00000000" w:rsidRPr="00000000">
        <w:rPr>
          <w:b w:val="0"/>
          <w:bCs w:val="0"/>
          <w:sz w:val="24"/>
          <w:szCs w:val="24"/>
          <w:rtl w:val="0"/>
        </w:rPr>
        <w:t xml:space="preserve">Es una extensión experimental del FSC-147 (objetos variados) y CARPK (principalmente vehículos en estacionamientos), enfocada en evaluar el conteo bajo condiciones de oclusión parcial o artificialmente generada. Dichos datasets se generan a partir de  los originales ya mencionados, aplicando máscaras u objetos que simulan oclusión durante el entrenamiento o evaluación.</w:t>
      </w:r>
    </w:p>
    <w:p w:rsidR="00000000" w:rsidDel="00000000" w:rsidP="00000000" w:rsidRDefault="00000000" w:rsidRPr="00000000" w14:paraId="0000009E">
      <w:pPr>
        <w:pStyle w:val="Heading1"/>
        <w:numPr>
          <w:ilvl w:val="2"/>
          <w:numId w:val="2"/>
        </w:numPr>
        <w:spacing w:after="120" w:before="200" w:lineRule="auto"/>
        <w:ind w:left="2160" w:hanging="360"/>
        <w:jc w:val="both"/>
        <w:rPr>
          <w:rFonts w:ascii="Times New Roman" w:cs="Times New Roman" w:eastAsia="Times New Roman" w:hAnsi="Times New Roman"/>
          <w:b w:val="1"/>
          <w:bCs w:val="1"/>
          <w:sz w:val="28"/>
          <w:szCs w:val="28"/>
        </w:rPr>
      </w:pPr>
      <w:bookmarkStart w:colFirst="0" w:colLast="0" w:name="_j1n9d3275c8v" w:id="24"/>
      <w:bookmarkEnd w:id="24"/>
      <w:r w:rsidDel="00000000" w:rsidR="00000000" w:rsidRPr="00000000">
        <w:rPr>
          <w:rtl w:val="0"/>
        </w:rPr>
        <w:t xml:space="preserve">CAPTURE-real</w:t>
      </w:r>
    </w:p>
    <w:p w:rsidR="00000000" w:rsidDel="00000000" w:rsidP="00000000" w:rsidRDefault="00000000" w:rsidRPr="00000000" w14:paraId="0000009F">
      <w:pPr>
        <w:pStyle w:val="Heading1"/>
        <w:spacing w:after="120" w:before="200" w:lineRule="auto"/>
        <w:ind w:left="2160" w:firstLine="0"/>
        <w:jc w:val="both"/>
        <w:rPr/>
      </w:pPr>
      <w:bookmarkStart w:colFirst="0" w:colLast="0" w:name="_hxhekkgxfgdd" w:id="25"/>
      <w:bookmarkEnd w:id="25"/>
      <w:r w:rsidDel="00000000" w:rsidR="00000000" w:rsidRPr="00000000">
        <w:rPr>
          <w:b w:val="0"/>
          <w:bCs w:val="0"/>
          <w:sz w:val="24"/>
          <w:szCs w:val="24"/>
          <w:rtl w:val="0"/>
        </w:rPr>
        <w:t xml:space="preserve">Es un benchmark diseñado para evaluar el desempeño de modelos de visión computacional en tareas de conteo bajo condiciones de oclusión en escenarios reales o sintéticos. Tiene como objetivo medir la capacidad de los modelos  para realizar un conteo amodal. Este tipo de benchmark se enfoca en situaciones donde la información visual presenta problemas de oclusión o la información visual es incompleta debido a complejidad estructural de la escena como tal, lo que obliga a los modelos a apoyarse en el contexto y el razonamiento espacial para inferir el conteo total. </w:t>
      </w:r>
      <w:r w:rsidDel="00000000" w:rsidR="00000000" w:rsidRPr="00000000">
        <w:rPr>
          <w:rtl w:val="0"/>
        </w:rPr>
      </w:r>
    </w:p>
    <w:p w:rsidR="00000000" w:rsidDel="00000000" w:rsidP="00000000" w:rsidRDefault="00000000" w:rsidRPr="00000000" w14:paraId="000000A0">
      <w:pPr>
        <w:pStyle w:val="Heading1"/>
        <w:numPr>
          <w:ilvl w:val="1"/>
          <w:numId w:val="2"/>
        </w:numPr>
        <w:spacing w:after="120" w:before="200" w:lineRule="auto"/>
        <w:ind w:left="1440" w:hanging="360"/>
        <w:jc w:val="both"/>
        <w:rPr>
          <w:rFonts w:ascii="Times New Roman" w:cs="Times New Roman" w:eastAsia="Times New Roman" w:hAnsi="Times New Roman"/>
          <w:b w:val="1"/>
          <w:bCs w:val="1"/>
          <w:sz w:val="28"/>
          <w:szCs w:val="28"/>
        </w:rPr>
      </w:pPr>
      <w:bookmarkStart w:colFirst="0" w:colLast="0" w:name="_n7y6j1sy94dj" w:id="26"/>
      <w:bookmarkEnd w:id="26"/>
      <w:r w:rsidDel="00000000" w:rsidR="00000000" w:rsidRPr="00000000">
        <w:rPr>
          <w:rtl w:val="0"/>
        </w:rPr>
        <w:t xml:space="preserve">Propuesta de benchmark experimental</w:t>
      </w:r>
    </w:p>
    <w:p w:rsidR="00000000" w:rsidDel="00000000" w:rsidP="00000000" w:rsidRDefault="00000000" w:rsidRPr="00000000" w14:paraId="000000A1">
      <w:pPr>
        <w:spacing w:after="20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propone construir un benchmark experimental denominado StackShelf-Amodal o SKU-Stack-OCC. Este benchmark no necesariamente tendría que publicarse como dataset formal, pero sí debe funcionar como protocolo de evaluación del proyecto.</w:t>
      </w:r>
    </w:p>
    <w:p w:rsidR="00000000" w:rsidDel="00000000" w:rsidP="00000000" w:rsidRDefault="00000000" w:rsidRPr="00000000" w14:paraId="000000A2">
      <w:pPr>
        <w:numPr>
          <w:ilvl w:val="0"/>
          <w:numId w:val="1"/>
        </w:numPr>
        <w:spacing w:after="20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sintéticas o controladas con productos tipo caja, lata o botella.</w:t>
      </w:r>
    </w:p>
    <w:p w:rsidR="00000000" w:rsidDel="00000000" w:rsidP="00000000" w:rsidRDefault="00000000" w:rsidRPr="00000000" w14:paraId="000000A3">
      <w:pPr>
        <w:numPr>
          <w:ilvl w:val="0"/>
          <w:numId w:val="1"/>
        </w:numPr>
        <w:spacing w:after="20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Variación del número de niveles de apilamiento: 1, 2, 3 o más niveles.</w:t>
      </w:r>
    </w:p>
    <w:p w:rsidR="00000000" w:rsidDel="00000000" w:rsidP="00000000" w:rsidRDefault="00000000" w:rsidRPr="00000000" w14:paraId="000000A4">
      <w:pPr>
        <w:numPr>
          <w:ilvl w:val="0"/>
          <w:numId w:val="1"/>
        </w:numPr>
        <w:spacing w:after="20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Variación de la profundidad: objetos en primer plano, segundo plano y fondo.</w:t>
      </w:r>
    </w:p>
    <w:p w:rsidR="00000000" w:rsidDel="00000000" w:rsidP="00000000" w:rsidRDefault="00000000" w:rsidRPr="00000000" w14:paraId="000000A5">
      <w:pPr>
        <w:numPr>
          <w:ilvl w:val="0"/>
          <w:numId w:val="1"/>
        </w:numPr>
        <w:spacing w:after="20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Ángulos de cámara frontales e isométricos.</w:t>
      </w:r>
    </w:p>
    <w:p w:rsidR="00000000" w:rsidDel="00000000" w:rsidP="00000000" w:rsidRDefault="00000000" w:rsidRPr="00000000" w14:paraId="000000A6">
      <w:pPr>
        <w:numPr>
          <w:ilvl w:val="0"/>
          <w:numId w:val="1"/>
        </w:numPr>
        <w:spacing w:after="20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Conteo visible, conteo oculto y conteo total registrados para cada escena.</w:t>
      </w:r>
    </w:p>
    <w:p w:rsidR="00000000" w:rsidDel="00000000" w:rsidP="00000000" w:rsidRDefault="00000000" w:rsidRPr="00000000" w14:paraId="000000A7">
      <w:pPr>
        <w:numPr>
          <w:ilvl w:val="0"/>
          <w:numId w:val="1"/>
        </w:numPr>
        <w:spacing w:after="20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Mapas de profundidad o profundidad relativa estimada.</w:t>
      </w:r>
    </w:p>
    <w:p w:rsidR="00000000" w:rsidDel="00000000" w:rsidP="00000000" w:rsidRDefault="00000000" w:rsidRPr="00000000" w14:paraId="000000A8">
      <w:pPr>
        <w:numPr>
          <w:ilvl w:val="0"/>
          <w:numId w:val="1"/>
        </w:numPr>
        <w:spacing w:after="20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Etiquetas de tipo de oclusión estructural: detrás, debajo, parcialmente visible o inferible por patrón.</w:t>
      </w:r>
    </w:p>
    <w:p w:rsidR="00000000" w:rsidDel="00000000" w:rsidP="00000000" w:rsidRDefault="00000000" w:rsidRPr="00000000" w14:paraId="000000A9">
      <w:pPr>
        <w:pStyle w:val="Heading1"/>
        <w:numPr>
          <w:ilvl w:val="1"/>
          <w:numId w:val="2"/>
        </w:numPr>
        <w:spacing w:after="200" w:before="200" w:lineRule="auto"/>
        <w:ind w:left="1440" w:hanging="360"/>
        <w:jc w:val="both"/>
        <w:rPr>
          <w:rFonts w:ascii="Times New Roman" w:cs="Times New Roman" w:eastAsia="Times New Roman" w:hAnsi="Times New Roman"/>
          <w:b w:val="1"/>
          <w:bCs w:val="1"/>
          <w:sz w:val="28"/>
          <w:szCs w:val="28"/>
        </w:rPr>
      </w:pPr>
      <w:bookmarkStart w:colFirst="0" w:colLast="0" w:name="_ti0eyazgx298" w:id="27"/>
      <w:bookmarkEnd w:id="27"/>
      <w:r w:rsidDel="00000000" w:rsidR="00000000" w:rsidRPr="00000000">
        <w:rPr>
          <w:rtl w:val="0"/>
        </w:rPr>
        <w:t xml:space="preserve">Identificación de variables</w:t>
      </w:r>
    </w:p>
    <w:p w:rsidR="00000000" w:rsidDel="00000000" w:rsidP="00000000" w:rsidRDefault="00000000" w:rsidRPr="00000000" w14:paraId="000000AA">
      <w:pPr>
        <w:spacing w:after="20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variable principal del análisis son imágenes de anaqueles o escenas controladas con productos apilados, en las cuales se deben apreciar escenas de oclusión y productos en distintas profundidades. Además de esta, a continuación se describen las variables de entrada derivadas del modelo, las variables de salida y las métricas de evaluación que se usarán:</w:t>
      </w:r>
    </w:p>
    <w:p w:rsidR="00000000" w:rsidDel="00000000" w:rsidP="00000000" w:rsidRDefault="00000000" w:rsidRPr="00000000" w14:paraId="000000AB">
      <w:pPr>
        <w:ind w:left="1440" w:firstLine="0"/>
        <w:rPr>
          <w:rFonts w:ascii="Times New Roman" w:cs="Times New Roman" w:eastAsia="Times New Roman" w:hAnsi="Times New Roman"/>
          <w:sz w:val="24"/>
          <w:szCs w:val="24"/>
        </w:rPr>
      </w:pPr>
      <w:r w:rsidDel="00000000" w:rsidR="00000000" w:rsidRPr="00000000">
        <w:rPr>
          <w:rtl w:val="0"/>
        </w:rPr>
      </w:r>
    </w:p>
    <w:tbl>
      <w:tblPr>
        <w:tblStyle w:val="Table4"/>
        <w:tblW w:w="859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760"/>
        <w:gridCol w:w="3405"/>
        <w:tblGridChange w:id="0">
          <w:tblGrid>
            <w:gridCol w:w="2430"/>
            <w:gridCol w:w="2760"/>
            <w:gridCol w:w="3405"/>
          </w:tblGrid>
        </w:tblGridChange>
      </w:tblGrid>
      <w:tr>
        <w:trPr>
          <w:cantSplit w:val="0"/>
          <w:trHeight w:val="210" w:hRule="atLeast"/>
          <w:tblHeader w:val="0"/>
        </w:trPr>
        <w:tc>
          <w:tcPr>
            <w:tcBorders>
              <w:top w:color="000000" w:space="0" w:sz="7" w:val="single"/>
              <w:left w:color="000000" w:space="0" w:sz="7" w:val="single"/>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AC">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Tipo</w:t>
            </w:r>
          </w:p>
        </w:tc>
        <w:tc>
          <w:tcPr>
            <w:tcBorders>
              <w:top w:color="000000" w:space="0" w:sz="7" w:val="single"/>
              <w:left w:color="000000" w:space="0" w:sz="0" w:val="nil"/>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AD">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Variable</w:t>
            </w:r>
          </w:p>
        </w:tc>
        <w:tc>
          <w:tcPr>
            <w:tcBorders>
              <w:top w:color="000000" w:space="0" w:sz="7" w:val="single"/>
              <w:left w:color="000000" w:space="0" w:sz="0" w:val="nil"/>
              <w:bottom w:color="000000" w:space="0" w:sz="7" w:val="single"/>
              <w:right w:color="000000" w:space="0" w:sz="7" w:val="single"/>
            </w:tcBorders>
            <w:shd w:fill="1f4e79" w:val="clear"/>
            <w:tcMar>
              <w:top w:w="0.0" w:type="dxa"/>
              <w:left w:w="100.0" w:type="dxa"/>
              <w:bottom w:w="0.0" w:type="dxa"/>
              <w:right w:w="100.0" w:type="dxa"/>
            </w:tcMar>
            <w:vAlign w:val="top"/>
          </w:tcPr>
          <w:p w:rsidR="00000000" w:rsidDel="00000000" w:rsidP="00000000" w:rsidRDefault="00000000" w:rsidRPr="00000000" w14:paraId="000000AE">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Descripción</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RGB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de anaquel o escena controlada con productos apilados.</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 opcional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textual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producto objetivo, por ejemplo: cajas, latas o botellas.</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 opcional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Ejemplares visuales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Regiones de referencia para modelos open-world como CountGD.</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 derivada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Bounding boxes visibles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Regiones detectadas directamente en la imagen.</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 derivada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Máscaras visibles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Segmentación de productos observables.</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 derivada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Mapa de profundidad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de planos de profundidad y distancia relativa.</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 derivada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 espacial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Filas, columnas, niveles, alineación y continuidad del acomodo.</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Conteo</w:t>
            </w:r>
            <w:r w:rsidDel="00000000" w:rsidR="00000000" w:rsidRPr="00000000">
              <w:rPr>
                <w:rFonts w:ascii="Times New Roman" w:cs="Times New Roman" w:eastAsia="Times New Roman" w:hAnsi="Times New Roman"/>
                <w:rtl w:val="0"/>
              </w:rPr>
              <w:t xml:space="preserve"> visible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productos detectables directamente.</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Conteo oculto inferido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estimado de productos no visibles por stacking o profundidad.</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Conteo</w:t>
            </w:r>
            <w:r w:rsidDel="00000000" w:rsidR="00000000" w:rsidRPr="00000000">
              <w:rPr>
                <w:rFonts w:ascii="Times New Roman" w:cs="Times New Roman" w:eastAsia="Times New Roman" w:hAnsi="Times New Roman"/>
                <w:rtl w:val="0"/>
              </w:rPr>
              <w:t xml:space="preserve"> total amodal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Suma del conteo visible y oculto inferido.</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Métrica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 / RMSE / MAPE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de conteo global y por nivel de stacking.</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Métrica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oculto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Diferencia entre objetos ocultos reales y objetos ocultos estimados.</w:t>
            </w:r>
          </w:p>
        </w:tc>
      </w:tr>
    </w:tbl>
    <w:p w:rsidR="00000000" w:rsidDel="00000000" w:rsidP="00000000" w:rsidRDefault="00000000" w:rsidRPr="00000000" w14:paraId="000000D3">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1"/>
        <w:numPr>
          <w:ilvl w:val="0"/>
          <w:numId w:val="2"/>
        </w:numPr>
        <w:spacing w:after="200" w:lineRule="auto"/>
        <w:ind w:left="720" w:hanging="360"/>
        <w:jc w:val="both"/>
        <w:rPr>
          <w:rFonts w:ascii="Times New Roman" w:cs="Times New Roman" w:eastAsia="Times New Roman" w:hAnsi="Times New Roman"/>
          <w:b w:val="1"/>
          <w:bCs w:val="1"/>
          <w:sz w:val="28"/>
          <w:szCs w:val="28"/>
        </w:rPr>
      </w:pPr>
      <w:bookmarkStart w:colFirst="0" w:colLast="0" w:name="_gpw77hk7cwq" w:id="28"/>
      <w:bookmarkEnd w:id="28"/>
      <w:r w:rsidDel="00000000" w:rsidR="00000000" w:rsidRPr="00000000">
        <w:rPr>
          <w:rtl w:val="0"/>
        </w:rPr>
        <w:t xml:space="preserve">Conclusiones</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exploratorio de datos nos permitió identificar con mayor precisión el problema central del proyecto y su alcance dentro del contexto de visión computacional aplicada a retail bajo la problemática de oclusión. A partir de la búsqueda y revisión de datasets, benchmarks y papers relacionados, identificamos que el conteo de productos en anaqueles bajo oclusión estructural no se puede realizar de forma correcta con un enfoque tradicional de detección, ya que estos están limitados a la evidencia visual que tengan, sin considerar la existencia de objetos ocluidos u ocultos en la estructura.</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el estado del arte y las limitaciones que presenta, el análisis de datasets como SKU110K y FSC-147 mostró que, aunque proporcionan escenarios más complejos para el conteo visible, no incluyen anotaciones amodales ni información explícita relacionada con la oclusión. Así como también FSC-147-OCC o CARPK-OCC funcionan como extensiones experimentales y no como soluciones completas a la problemática, lo que hace evidente la falta de información en los datasets que faciliten el conteo amodal en retail.</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relación con qué variables son relevantes para el problema, determinamos que no basta con utilizar imágenes RGB y datos obtenidos de la detección visual, sino que también es necesario añadir variables como el conteo total real, la estructura espacial del anaquel y estimaciones de profundidad, ya que esto permitirá inferir la presencia de los productos que no se visualizan en las imágenes.</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análisis realizado permitió identificar que la principal aportación del proyecto se enfoca en el conteo amodal capaz de inferir productos ocultos en anaqueles con profundidad y stacking, así como la capacidad de analizar patrones de acomodo, alineación, niveles y relaciones espaciales entre productos visibles y potencialmente ocluidos. Concluimos que la solución más viable consiste en integrar distintos modelos base encontrados en el estado del arte, para establecer una metodología enfocada completamente en escenarios de retail.</w:t>
      </w:r>
    </w:p>
    <w:p w:rsidR="00000000" w:rsidDel="00000000" w:rsidP="00000000" w:rsidRDefault="00000000" w:rsidRPr="00000000" w14:paraId="000000DC">
      <w:pPr>
        <w:pStyle w:val="Heading1"/>
        <w:numPr>
          <w:ilvl w:val="0"/>
          <w:numId w:val="2"/>
        </w:numPr>
        <w:spacing w:after="200" w:lineRule="auto"/>
        <w:ind w:left="720" w:hanging="360"/>
        <w:jc w:val="both"/>
        <w:rPr>
          <w:rFonts w:ascii="Times New Roman" w:cs="Times New Roman" w:eastAsia="Times New Roman" w:hAnsi="Times New Roman"/>
          <w:b w:val="1"/>
          <w:bCs w:val="1"/>
          <w:sz w:val="28"/>
          <w:szCs w:val="28"/>
        </w:rPr>
      </w:pPr>
      <w:bookmarkStart w:colFirst="0" w:colLast="0" w:name="_20eba3rkdt14" w:id="29"/>
      <w:bookmarkEnd w:id="29"/>
      <w:r w:rsidDel="00000000" w:rsidR="00000000" w:rsidRPr="00000000">
        <w:rPr>
          <w:rFonts w:ascii="Times New Roman" w:cs="Times New Roman" w:eastAsia="Times New Roman" w:hAnsi="Times New Roman"/>
          <w:b w:val="1"/>
          <w:bCs w:val="1"/>
          <w:sz w:val="28"/>
          <w:szCs w:val="28"/>
          <w:rtl w:val="0"/>
        </w:rPr>
        <w:t xml:space="preserve">Bibliografía</w:t>
      </w:r>
      <w:r w:rsidDel="00000000" w:rsidR="00000000" w:rsidRPr="00000000">
        <w:rPr>
          <w:rtl w:val="0"/>
        </w:rPr>
      </w:r>
    </w:p>
    <w:p w:rsidR="00000000" w:rsidDel="00000000" w:rsidP="00000000" w:rsidRDefault="00000000" w:rsidRPr="00000000" w14:paraId="000000DD">
      <w:pPr>
        <w:numPr>
          <w:ilvl w:val="0"/>
          <w:numId w:val="4"/>
        </w:numPr>
        <w:ind w:left="720" w:hanging="360"/>
        <w:rPr>
          <w:u w:val="none"/>
        </w:rPr>
      </w:pPr>
      <w:r w:rsidDel="00000000" w:rsidR="00000000" w:rsidRPr="00000000">
        <w:rPr>
          <w:rFonts w:ascii="Times New Roman" w:cs="Times New Roman" w:eastAsia="Times New Roman" w:hAnsi="Times New Roman"/>
          <w:sz w:val="24"/>
          <w:szCs w:val="24"/>
          <w:rtl w:val="0"/>
        </w:rPr>
        <w:t xml:space="preserve"> Amini-Naieni, N., Han, T., &amp; Zisserman, A. (2024). CountGD: Multi-modal open-world counting. arXiv:2407.04619.</w:t>
      </w:r>
    </w:p>
    <w:p w:rsidR="00000000" w:rsidDel="00000000" w:rsidP="00000000" w:rsidRDefault="00000000" w:rsidRPr="00000000" w14:paraId="000000DE">
      <w:pPr>
        <w:numPr>
          <w:ilvl w:val="0"/>
          <w:numId w:val="4"/>
        </w:numPr>
        <w:ind w:left="720" w:hanging="360"/>
        <w:rPr>
          <w:u w:val="none"/>
        </w:rPr>
      </w:pPr>
      <w:r w:rsidDel="00000000" w:rsidR="00000000" w:rsidRPr="00000000">
        <w:rPr>
          <w:rFonts w:ascii="Times New Roman" w:cs="Times New Roman" w:eastAsia="Times New Roman" w:hAnsi="Times New Roman"/>
          <w:sz w:val="24"/>
          <w:szCs w:val="24"/>
          <w:rtl w:val="0"/>
        </w:rPr>
        <w:t xml:space="preserve">Arib, S. H., Akter, R., Chowdhury, A. M., Sourov, M. J. A., &amp; Hasan, M. M. (2025). Counting Through Occlusion: Framework for Open World Amodal Counting. arXiv:2511.12702.</w:t>
      </w:r>
    </w:p>
    <w:p w:rsidR="00000000" w:rsidDel="00000000" w:rsidP="00000000" w:rsidRDefault="00000000" w:rsidRPr="00000000" w14:paraId="000000DF">
      <w:pPr>
        <w:numPr>
          <w:ilvl w:val="0"/>
          <w:numId w:val="4"/>
        </w:numPr>
        <w:ind w:left="720" w:hanging="360"/>
        <w:rPr>
          <w:u w:val="none"/>
        </w:rPr>
      </w:pPr>
      <w:r w:rsidDel="00000000" w:rsidR="00000000" w:rsidRPr="00000000">
        <w:rPr>
          <w:rFonts w:ascii="Times New Roman" w:cs="Times New Roman" w:eastAsia="Times New Roman" w:hAnsi="Times New Roman"/>
          <w:sz w:val="24"/>
          <w:szCs w:val="24"/>
          <w:rtl w:val="0"/>
        </w:rPr>
        <w:t xml:space="preserve">Dumery, C., et al. (2025). Counting Stacked Objects. Proceedings of the IEEE/CVF International Conference on Computer Vision (ICCV).</w:t>
      </w:r>
    </w:p>
    <w:p w:rsidR="00000000" w:rsidDel="00000000" w:rsidP="00000000" w:rsidRDefault="00000000" w:rsidRPr="00000000" w14:paraId="000000E0">
      <w:pPr>
        <w:numPr>
          <w:ilvl w:val="0"/>
          <w:numId w:val="4"/>
        </w:numPr>
        <w:ind w:left="720" w:hanging="360"/>
        <w:rPr>
          <w:u w:val="none"/>
        </w:rPr>
      </w:pPr>
      <w:r w:rsidDel="00000000" w:rsidR="00000000" w:rsidRPr="00000000">
        <w:rPr>
          <w:rFonts w:ascii="Times New Roman" w:cs="Times New Roman" w:eastAsia="Times New Roman" w:hAnsi="Times New Roman"/>
          <w:sz w:val="24"/>
          <w:szCs w:val="24"/>
          <w:rtl w:val="0"/>
        </w:rPr>
        <w:t xml:space="preserve">Goldman, E., Herzig, R., Eisenschtat, A., Ratzon, O., Levi, I., Goldberger, J., &amp; Hassner, T. (2019). Precise detection in densely packed scenes. Proceedings of the IEEE/CVF Conference on Computer Vision and Pattern Recognition (CVPR).</w:t>
      </w:r>
    </w:p>
    <w:p w:rsidR="00000000" w:rsidDel="00000000" w:rsidP="00000000" w:rsidRDefault="00000000" w:rsidRPr="00000000" w14:paraId="000000E1">
      <w:pPr>
        <w:numPr>
          <w:ilvl w:val="0"/>
          <w:numId w:val="4"/>
        </w:numPr>
        <w:ind w:left="720" w:hanging="360"/>
        <w:rPr>
          <w:u w:val="none"/>
        </w:rPr>
      </w:pPr>
      <w:r w:rsidDel="00000000" w:rsidR="00000000" w:rsidRPr="00000000">
        <w:rPr>
          <w:rFonts w:ascii="Times New Roman" w:cs="Times New Roman" w:eastAsia="Times New Roman" w:hAnsi="Times New Roman"/>
          <w:sz w:val="24"/>
          <w:szCs w:val="24"/>
          <w:rtl w:val="0"/>
        </w:rPr>
        <w:t xml:space="preserve">Jenkins, P., Armstrong, K., Nelson, S., Gotad, S., Jenkins, J. S., Wilkey, W., &amp; Watts, T. (2023). CountNet3D: A 3D computer vision approach to infer counts of occluded objects. Proceedings of the IEEE/CVF Winter Conference on Applications of Computer Vision (WACV).</w:t>
      </w:r>
    </w:p>
    <w:p w:rsidR="00000000" w:rsidDel="00000000" w:rsidP="00000000" w:rsidRDefault="00000000" w:rsidRPr="00000000" w14:paraId="000000E2">
      <w:pPr>
        <w:numPr>
          <w:ilvl w:val="0"/>
          <w:numId w:val="4"/>
        </w:numPr>
        <w:ind w:left="720" w:hanging="360"/>
        <w:rPr>
          <w:u w:val="none"/>
        </w:rPr>
      </w:pPr>
      <w:r w:rsidDel="00000000" w:rsidR="00000000" w:rsidRPr="00000000">
        <w:rPr>
          <w:rFonts w:ascii="Times New Roman" w:cs="Times New Roman" w:eastAsia="Times New Roman" w:hAnsi="Times New Roman"/>
          <w:sz w:val="24"/>
          <w:szCs w:val="24"/>
          <w:rtl w:val="0"/>
        </w:rPr>
        <w:t xml:space="preserve">Ke, L., Tai, Y.-W., &amp; Tang, C.-K. (2021). Deep occlusion-aware instance segmentation with overlapping bilayers. Proceedings of the IEEE/CVF Conference on Computer Vision and Pattern Recognition (CVPR).</w:t>
      </w:r>
    </w:p>
    <w:p w:rsidR="00000000" w:rsidDel="00000000" w:rsidP="00000000" w:rsidRDefault="00000000" w:rsidRPr="00000000" w14:paraId="000000E3">
      <w:pPr>
        <w:numPr>
          <w:ilvl w:val="0"/>
          <w:numId w:val="4"/>
        </w:numPr>
        <w:ind w:left="720" w:hanging="360"/>
        <w:rPr>
          <w:u w:val="none"/>
        </w:rPr>
      </w:pPr>
      <w:r w:rsidDel="00000000" w:rsidR="00000000" w:rsidRPr="00000000">
        <w:rPr>
          <w:rFonts w:ascii="Times New Roman" w:cs="Times New Roman" w:eastAsia="Times New Roman" w:hAnsi="Times New Roman"/>
          <w:sz w:val="24"/>
          <w:szCs w:val="24"/>
          <w:rtl w:val="0"/>
        </w:rPr>
        <w:t xml:space="preserve">Kirillov, A., et al. (2023). Segment Anything. Proceedings of the IEEE/CVF International Conference on Computer Vision (ICCV).</w:t>
      </w:r>
    </w:p>
    <w:p w:rsidR="00000000" w:rsidDel="00000000" w:rsidP="00000000" w:rsidRDefault="00000000" w:rsidRPr="00000000" w14:paraId="000000E4">
      <w:pPr>
        <w:numPr>
          <w:ilvl w:val="0"/>
          <w:numId w:val="4"/>
        </w:numPr>
        <w:ind w:left="720" w:hanging="360"/>
        <w:rPr>
          <w:u w:val="none"/>
        </w:rPr>
      </w:pPr>
      <w:r w:rsidDel="00000000" w:rsidR="00000000" w:rsidRPr="00000000">
        <w:rPr>
          <w:rFonts w:ascii="Times New Roman" w:cs="Times New Roman" w:eastAsia="Times New Roman" w:hAnsi="Times New Roman"/>
          <w:sz w:val="24"/>
          <w:szCs w:val="24"/>
          <w:rtl w:val="0"/>
        </w:rPr>
        <w:t xml:space="preserve">Li, K., &amp; Malik, J. (2016). Amodal instance segmentation. European Conference on Computer Vision (ECCV).</w:t>
      </w:r>
    </w:p>
    <w:p w:rsidR="00000000" w:rsidDel="00000000" w:rsidP="00000000" w:rsidRDefault="00000000" w:rsidRPr="00000000" w14:paraId="000000E5">
      <w:pPr>
        <w:numPr>
          <w:ilvl w:val="0"/>
          <w:numId w:val="4"/>
        </w:numPr>
        <w:ind w:left="720" w:hanging="360"/>
        <w:rPr>
          <w:u w:val="none"/>
        </w:rPr>
      </w:pPr>
      <w:r w:rsidDel="00000000" w:rsidR="00000000" w:rsidRPr="00000000">
        <w:rPr>
          <w:rFonts w:ascii="Times New Roman" w:cs="Times New Roman" w:eastAsia="Times New Roman" w:hAnsi="Times New Roman"/>
          <w:sz w:val="24"/>
          <w:szCs w:val="24"/>
          <w:rtl w:val="0"/>
        </w:rPr>
        <w:t xml:space="preserve">Liu, S., Zeng, Z., Ren, T., et al. (2023). Grounding DINO: Marrying DINO with grounded pre-training for open-set object detection. arXiv:2303.05499.</w:t>
      </w:r>
    </w:p>
    <w:p w:rsidR="00000000" w:rsidDel="00000000" w:rsidP="00000000" w:rsidRDefault="00000000" w:rsidRPr="00000000" w14:paraId="000000E6">
      <w:pPr>
        <w:numPr>
          <w:ilvl w:val="0"/>
          <w:numId w:val="4"/>
        </w:numPr>
        <w:ind w:left="720" w:hanging="360"/>
        <w:rPr>
          <w:u w:val="none"/>
        </w:rPr>
      </w:pPr>
      <w:r w:rsidDel="00000000" w:rsidR="00000000" w:rsidRPr="00000000">
        <w:rPr>
          <w:rFonts w:ascii="Times New Roman" w:cs="Times New Roman" w:eastAsia="Times New Roman" w:hAnsi="Times New Roman"/>
          <w:sz w:val="24"/>
          <w:szCs w:val="24"/>
          <w:rtl w:val="0"/>
        </w:rPr>
        <w:t xml:space="preserve">Pothiraj, A., Stengel-Eskin, E., Cho, J., &amp; Bansal, M. (2025). CAPTURE: Evaluating spatial reasoning in vision language models via occluded object counting. arXiv:2504.15485.</w:t>
      </w:r>
    </w:p>
    <w:p w:rsidR="00000000" w:rsidDel="00000000" w:rsidP="00000000" w:rsidRDefault="00000000" w:rsidRPr="00000000" w14:paraId="000000E7">
      <w:pPr>
        <w:numPr>
          <w:ilvl w:val="0"/>
          <w:numId w:val="4"/>
        </w:numPr>
        <w:ind w:left="720" w:hanging="360"/>
        <w:rPr>
          <w:u w:val="none"/>
        </w:rPr>
      </w:pPr>
      <w:r w:rsidDel="00000000" w:rsidR="00000000" w:rsidRPr="00000000">
        <w:rPr>
          <w:rFonts w:ascii="Times New Roman" w:cs="Times New Roman" w:eastAsia="Times New Roman" w:hAnsi="Times New Roman"/>
          <w:sz w:val="24"/>
          <w:szCs w:val="24"/>
          <w:rtl w:val="0"/>
        </w:rPr>
        <w:t xml:space="preserve">Yang, L., Kang, B., Huang, Z., et al. (2024). Depth Anything V2. arXiv:2406.09414.</w:t>
      </w:r>
    </w:p>
    <w:p w:rsidR="00000000" w:rsidDel="00000000" w:rsidP="00000000" w:rsidRDefault="00000000" w:rsidRPr="00000000" w14:paraId="000000E8">
      <w:pPr>
        <w:numPr>
          <w:ilvl w:val="0"/>
          <w:numId w:val="4"/>
        </w:numPr>
        <w:ind w:left="720" w:hanging="360"/>
        <w:rPr>
          <w:u w:val="none"/>
        </w:rPr>
      </w:pPr>
      <w:r w:rsidDel="00000000" w:rsidR="00000000" w:rsidRPr="00000000">
        <w:rPr>
          <w:rFonts w:ascii="Times New Roman" w:cs="Times New Roman" w:eastAsia="Times New Roman" w:hAnsi="Times New Roman"/>
          <w:sz w:val="24"/>
          <w:szCs w:val="24"/>
          <w:rtl w:val="0"/>
        </w:rPr>
        <w:t xml:space="preserve">Zhan, X., Pan, X., Dai, B., Liu, Z., Lin, D., &amp; Loy, C. C. (2020). Self-supervised scene de-occlusion. Proceedings of the IEEE/CVF Conference on Computer Vision and Pattern Recognition (CVPR).</w:t>
      </w:r>
      <w:r w:rsidDel="00000000" w:rsidR="00000000" w:rsidRPr="00000000">
        <w:rPr>
          <w:rtl w:val="0"/>
        </w:rPr>
      </w:r>
    </w:p>
    <w:p w:rsidR="00000000" w:rsidDel="00000000" w:rsidP="00000000" w:rsidRDefault="00000000" w:rsidRPr="00000000" w14:paraId="000000E9">
      <w:pPr>
        <w:numPr>
          <w:ilvl w:val="0"/>
          <w:numId w:val="4"/>
        </w:numPr>
        <w:ind w:left="720" w:hanging="360"/>
        <w:rPr>
          <w:u w:val="none"/>
        </w:rPr>
      </w:pPr>
      <w:r w:rsidDel="00000000" w:rsidR="00000000" w:rsidRPr="00000000">
        <w:rPr>
          <w:rFonts w:ascii="Times New Roman" w:cs="Times New Roman" w:eastAsia="Times New Roman" w:hAnsi="Times New Roman"/>
          <w:sz w:val="24"/>
          <w:szCs w:val="24"/>
          <w:rtl w:val="0"/>
        </w:rPr>
        <w:t xml:space="preserve">Ranjan, V., Sharma, U., Nguyen, T., &amp; Hoai, M. (2021). Learning To Count Everything. Proceedings of the IEEE/CVF Conference on Computer Vision and Pattern Recognition (CVPR).</w:t>
      </w:r>
      <w:r w:rsidDel="00000000" w:rsidR="00000000" w:rsidRPr="00000000">
        <w:rPr>
          <w:rtl w:val="0"/>
        </w:rPr>
      </w:r>
    </w:p>
    <w:p w:rsidR="00000000" w:rsidDel="00000000" w:rsidP="00000000" w:rsidRDefault="00000000" w:rsidRPr="00000000" w14:paraId="000000EA">
      <w:pPr>
        <w:spacing w:after="100" w:lineRule="auto"/>
        <w:ind w:left="0" w:firstLine="0"/>
        <w:jc w:val="both"/>
        <w:rPr>
          <w:rFonts w:ascii="Times New Roman" w:cs="Times New Roman" w:eastAsia="Times New Roman" w:hAnsi="Times New Roman"/>
          <w:sz w:val="24"/>
          <w:szCs w:val="24"/>
        </w:rPr>
      </w:pPr>
      <w:r w:rsidDel="00000000" w:rsidR="00000000" w:rsidRPr="00000000">
        <w:rPr>
          <w:rtl w:val="0"/>
        </w:rPr>
      </w:r>
    </w:p>
    <w:sectPr>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before="24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yperlink" Target="https://docs.google.com/document/d/1JLKWVxDgn-iGApI6QIdYoZwqF7uDaxthLIqEULLd4cs/edit?tab=t.0#heading=h.boos8rk13nkb" TargetMode="External"/><Relationship Id="rId12" Type="http://schemas.openxmlformats.org/officeDocument/2006/relationships/footer" Target="footer1.xml"/><Relationship Id="rId9" Type="http://schemas.openxmlformats.org/officeDocument/2006/relationships/hyperlink" Target="https://docs.google.com/document/d/1JLKWVxDgn-iGApI6QIdYoZwqF7uDaxthLIqEULLd4cs/edit?tab=t.0#heading=h.boos8rk13nkb"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JLKWVxDgn-iGApI6QIdYoZwqF7uDaxthLIqEULLd4cs/edit?tab=t.0#heading=h.wmr06rtn4ap8" TargetMode="External"/><Relationship Id="rId8" Type="http://schemas.openxmlformats.org/officeDocument/2006/relationships/hyperlink" Target="https://docs.google.com/document/d/1JLKWVxDgn-iGApI6QIdYoZwqF7uDaxthLIqEULLd4cs/edit?tab=t.0#heading=h.cz5ygp30s40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