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10658" w:rsidRPr="00F522CD" w:rsidRDefault="0031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b/>
          <w:color w:val="1C1E21"/>
          <w:sz w:val="24"/>
          <w:szCs w:val="24"/>
          <w:highlight w:val="white"/>
        </w:rPr>
        <w:t>ACERCA DE LA ARTISTA/ BIOGRAFÍA:</w:t>
      </w:r>
    </w:p>
    <w:p w14:paraId="00000002" w14:textId="77777777" w:rsidR="00B10658" w:rsidRPr="00F522CD" w:rsidRDefault="0031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 </w:t>
      </w:r>
    </w:p>
    <w:p w14:paraId="00000003" w14:textId="240152CE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Guada Gárriz nació en la ciudad de La Plata </w:t>
      </w:r>
      <w:bookmarkStart w:id="0" w:name="_GoBack"/>
      <w:bookmarkEnd w:id="0"/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en el año 1977. Su familia estaba constituida por un hermano dos años mayor y sus padres,  Guillermo Gárriz, arquitecto y muy afecto a las artes,  y Catalina Chediac, psicóloga y psicodramatista. </w:t>
      </w:r>
    </w:p>
    <w:p w14:paraId="3A47F4FB" w14:textId="77777777" w:rsidR="002409AB" w:rsidRPr="00F522CD" w:rsidRDefault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</w:p>
    <w:p w14:paraId="04D336D1" w14:textId="77777777" w:rsidR="008D4B32" w:rsidRPr="00F522CD" w:rsidRDefault="0031689A" w:rsidP="008D4B3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Cuando Guada tenía cerca de 2 años, la familia se mudó a Tandil. Allí transcurrió su infancia y su adolescencia. Al finalizar los estudios secundarios en una escuela de Arte, Guada decidió concurrir a la Universidad Nacional de La Plata, en la que residiría desde 1996 hasta el año 2012. </w:t>
      </w:r>
      <w:r w:rsidR="00AC1B77"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>C</w:t>
      </w: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>ursó estudios en dos facultades de forma simultánea, graduándose así, como Licenciada en Psicología (FHCE, UNL</w:t>
      </w:r>
      <w:r w:rsidRPr="00F522CD">
        <w:rPr>
          <w:rFonts w:ascii="Arial" w:eastAsia="Arial" w:hAnsi="Arial" w:cs="Arial"/>
          <w:color w:val="1C1E21"/>
          <w:sz w:val="24"/>
          <w:szCs w:val="24"/>
        </w:rPr>
        <w:t xml:space="preserve">P, 2003) y Profesora y Licenciada en Artes Plásticas con orientación Grabado y Arte Impreso (FBA,UNLP, 2002 y 2003). </w:t>
      </w: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Al finalizar sus estudios de grado, Guada había obtenido el Premio Joaquín V González a la excelencia académica en dos años consecutivos: 2002 y 2003. </w:t>
      </w:r>
    </w:p>
    <w:p w14:paraId="082C19D5" w14:textId="77777777" w:rsidR="008D4B32" w:rsidRPr="00F522CD" w:rsidRDefault="008D4B32" w:rsidP="008D4B3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</w:p>
    <w:p w14:paraId="00000004" w14:textId="1EE7AE2A" w:rsidR="00B10658" w:rsidRPr="00F522CD" w:rsidRDefault="0031689A" w:rsidP="008D4B3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También fue becaria de investigación de la Secretaría de Ciencia y Técnica de la Facultad de Bellas Artes durante cuatro años. En ese tiempo llevó a cabo un Proyecto de Extensión Universitaria que cruzaba saberes de Arte y Psicología. </w:t>
      </w:r>
    </w:p>
    <w:p w14:paraId="00000005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</w:p>
    <w:p w14:paraId="00000007" w14:textId="7D706DEF" w:rsidR="00B10658" w:rsidRPr="00F522CD" w:rsidRDefault="0031689A" w:rsidP="008D4B3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Formó parte de grupos de estudio e investigación, participó en exposiciones artísticas y tomó contacto con docentes de las cátedras </w:t>
      </w:r>
      <w:r w:rsidRPr="00F522CD">
        <w:rPr>
          <w:rFonts w:ascii="Arial" w:eastAsia="Arial" w:hAnsi="Arial" w:cs="Arial"/>
          <w:color w:val="1C1E21"/>
          <w:sz w:val="24"/>
          <w:szCs w:val="24"/>
        </w:rPr>
        <w:t>Psicología I y II de la Facultad de Humanidades y Ciencias de la Educación (UNLP) y Grabado y Arte Impreso en la Facultad de Bellas Artes (UNLP).</w:t>
      </w:r>
    </w:p>
    <w:p w14:paraId="62063772" w14:textId="77777777" w:rsidR="008D4B32" w:rsidRPr="00F522CD" w:rsidRDefault="008D4B32" w:rsidP="008D4B3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</w:rPr>
      </w:pPr>
    </w:p>
    <w:p w14:paraId="00000008" w14:textId="09919742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>Así, Guada se convertiría en breve, en una artista interesada tanto en transformar la realidad con su arte, como en aportar soluciones a las problemáticas sociales de los barrios más carenciados de la ciudad. Las prácticas pedagógicas de ambas carreras, dejarían sentado su posicionamiento profesional, basado en la sensibilidad y empatía, que la llevarían a comprometerse con los sectores más necesitados.</w:t>
      </w:r>
    </w:p>
    <w:p w14:paraId="00000009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</w:p>
    <w:p w14:paraId="0000000A" w14:textId="5BD43DAB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strike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Como estudiante de psicología conoció a Joaquín Areta, compañero de estudio y de cátedra con quien formaría años después una familia. Joaquín y Guada tienen tres hijos: Fermín, Lola y Camilo. Joaquín es oriundo de Neuquén, es psicólogo y escritor. </w:t>
      </w:r>
    </w:p>
    <w:p w14:paraId="0000000B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C1E21"/>
          <w:sz w:val="24"/>
          <w:szCs w:val="24"/>
          <w:highlight w:val="white"/>
        </w:rPr>
      </w:pPr>
    </w:p>
    <w:p w14:paraId="0000000C" w14:textId="44C750EA" w:rsidR="00B10658" w:rsidRPr="00F522CD" w:rsidRDefault="00F522CD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Participó en el </w:t>
      </w:r>
      <w:r w:rsidR="0031689A"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>diseño de un proyecto de Extensión universitaria sobre la ”</w:t>
      </w:r>
      <w:r w:rsidR="0031689A" w:rsidRPr="00F522CD">
        <w:rPr>
          <w:rFonts w:ascii="Arial" w:eastAsia="Arial" w:hAnsi="Arial" w:cs="Arial"/>
          <w:i/>
          <w:color w:val="1C1E21"/>
          <w:sz w:val="24"/>
          <w:szCs w:val="24"/>
          <w:highlight w:val="white"/>
        </w:rPr>
        <w:t>Creación y formación artística para un desarrollo integral en la niñez”</w:t>
      </w:r>
      <w:r w:rsidR="0031689A"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, que implicó coordinar espacios de producción y educación artística, a la vez que la </w:t>
      </w:r>
      <w:r w:rsidR="0031689A"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lastRenderedPageBreak/>
        <w:t xml:space="preserve">construcción de estrategias de intervención y aportes desde la psicología destinadas a bebés y niños en el comedor Madre Teresa del barrio San Carlos. En la misma </w:t>
      </w:r>
      <w:r w:rsidR="008D4B32"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línea </w:t>
      </w:r>
      <w:r w:rsidR="0031689A"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>de trabajo participa como investigadora sobre la temática “El arte en espacios no artísticos” (dispositivos de encierro u hospitales). Mientras tanto, como becaria de investigación de la Facultad de Bellas Artes, indagaba acerca del cuerpo atravesado por la  discursividad en la moda.</w:t>
      </w:r>
    </w:p>
    <w:p w14:paraId="718589FB" w14:textId="77777777" w:rsidR="00F522CD" w:rsidRPr="00F522CD" w:rsidRDefault="0031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 </w:t>
      </w: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ab/>
        <w:t xml:space="preserve"> </w:t>
      </w:r>
    </w:p>
    <w:p w14:paraId="0000000D" w14:textId="411ED3D0" w:rsidR="00B10658" w:rsidRPr="00F522CD" w:rsidRDefault="0031689A" w:rsidP="00F522C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ascii="Arial" w:eastAsia="Arial" w:hAnsi="Arial" w:cs="Arial"/>
          <w:color w:val="1C1E21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Guada conoció de cerca y desde el inicio de su vida profesional, las necesidades infantiles que conllevan el nacer y crecer en situación de vulnerabilidad. Esta realidad, se incorporaría a su obra plástica de modo concluyente. Puede advertirse lo dicho en el abordaje temático llevado a cabo para la muestra individual </w:t>
      </w:r>
      <w:r w:rsidRPr="00F522CD">
        <w:rPr>
          <w:rFonts w:ascii="Arial" w:eastAsia="Arial" w:hAnsi="Arial" w:cs="Arial"/>
          <w:i/>
          <w:color w:val="1C1E21"/>
          <w:sz w:val="24"/>
          <w:szCs w:val="24"/>
          <w:highlight w:val="white"/>
        </w:rPr>
        <w:t xml:space="preserve">Había una vez un niño, </w:t>
      </w: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2013, realizada en el Centro Cultural Islas Malvinas de La Plata y en el MUMBAT de Tandil. El horizonte de la niñez es explorado y se amplía en obras vinculadas a experiencias escolares. </w:t>
      </w:r>
    </w:p>
    <w:p w14:paraId="0000000E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C1E21"/>
          <w:sz w:val="24"/>
          <w:szCs w:val="24"/>
          <w:highlight w:val="white"/>
        </w:rPr>
      </w:pPr>
    </w:p>
    <w:p w14:paraId="0000000F" w14:textId="56B0A3B5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</w:rPr>
      </w:pP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Como artista adquirió algunas de sus formas expresivas más características durante su formación y en la participación de eventos de intercambio de experiencias tales como, </w:t>
      </w:r>
      <w:r w:rsidRPr="00F522CD">
        <w:rPr>
          <w:rFonts w:ascii="Arial" w:eastAsia="Arial" w:hAnsi="Arial" w:cs="Arial"/>
          <w:i/>
          <w:color w:val="000000"/>
          <w:sz w:val="24"/>
          <w:szCs w:val="24"/>
        </w:rPr>
        <w:t>Paralelas y meridianos,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F522CD">
        <w:rPr>
          <w:rFonts w:ascii="Arial" w:eastAsia="Arial" w:hAnsi="Arial" w:cs="Arial"/>
          <w:i/>
          <w:color w:val="000000"/>
          <w:sz w:val="24"/>
          <w:szCs w:val="24"/>
        </w:rPr>
        <w:t>el Intercambio de Artistas Contemporáneos de geografías extremas, Programa de video Romper el Hielo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 xml:space="preserve">, con curaduría de Graciela Taquini y Anna Nilsen, que contó a su vez con el patrocinio del Fondo Nacional de Las Artes y MUMBAT. </w:t>
      </w:r>
    </w:p>
    <w:p w14:paraId="00000010" w14:textId="77777777" w:rsidR="00B10658" w:rsidRPr="00F522CD" w:rsidRDefault="0031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</w:p>
    <w:p w14:paraId="00000011" w14:textId="41B5D15F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Guada es autora de una obra prolífica, tanto en pintura como en ilustración. </w:t>
      </w:r>
    </w:p>
    <w:p w14:paraId="00000012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00000013" w14:textId="12B5F4B0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</w:rPr>
      </w:pPr>
      <w:r w:rsidRPr="00F522CD">
        <w:rPr>
          <w:rFonts w:ascii="Arial" w:eastAsia="Arial" w:hAnsi="Arial" w:cs="Arial"/>
          <w:color w:val="000000"/>
          <w:sz w:val="24"/>
          <w:szCs w:val="24"/>
        </w:rPr>
        <w:t xml:space="preserve">Su </w:t>
      </w:r>
      <w:r w:rsidRPr="00F522CD">
        <w:rPr>
          <w:rFonts w:ascii="Arial" w:eastAsia="Arial" w:hAnsi="Arial" w:cs="Arial"/>
          <w:color w:val="1C1E21"/>
          <w:sz w:val="24"/>
          <w:szCs w:val="24"/>
        </w:rPr>
        <w:t xml:space="preserve">obra pictórica participó en 2007 y 2008 de algunas significativas exposiciones locales tales como </w:t>
      </w:r>
      <w:r w:rsidRPr="00F522CD">
        <w:rPr>
          <w:rFonts w:ascii="Arial" w:eastAsia="Arial" w:hAnsi="Arial" w:cs="Arial"/>
          <w:i/>
          <w:color w:val="1C1E21"/>
          <w:sz w:val="24"/>
          <w:szCs w:val="24"/>
        </w:rPr>
        <w:t xml:space="preserve">0221 La Plata se muestra, itinerancia de artistas platenses, </w:t>
      </w:r>
      <w:r w:rsidRPr="00F522CD">
        <w:rPr>
          <w:rFonts w:ascii="Arial" w:eastAsia="Arial" w:hAnsi="Arial" w:cs="Arial"/>
          <w:color w:val="1C1E21"/>
          <w:sz w:val="24"/>
          <w:szCs w:val="24"/>
        </w:rPr>
        <w:t>organizada por la Galería PisoUno Artediseño que fue mencionada con la Declaración de Interés Cultural por parte de la Municipalidad</w:t>
      </w:r>
      <w:r w:rsidR="00F522CD" w:rsidRPr="00F522CD">
        <w:rPr>
          <w:rFonts w:ascii="Arial" w:eastAsia="Arial" w:hAnsi="Arial" w:cs="Arial"/>
          <w:color w:val="1C1E21"/>
          <w:sz w:val="24"/>
          <w:szCs w:val="24"/>
        </w:rPr>
        <w:t xml:space="preserve">. </w:t>
      </w:r>
      <w:r w:rsidRPr="00F522CD">
        <w:rPr>
          <w:rFonts w:ascii="Arial" w:eastAsia="Arial" w:hAnsi="Arial" w:cs="Arial"/>
          <w:color w:val="1C1E21"/>
          <w:sz w:val="24"/>
          <w:szCs w:val="24"/>
        </w:rPr>
        <w:t xml:space="preserve">Por otro lado, </w:t>
      </w:r>
      <w:r w:rsidR="008D4B32" w:rsidRPr="00F522CD">
        <w:rPr>
          <w:rFonts w:ascii="Arial" w:eastAsia="Arial" w:hAnsi="Arial" w:cs="Arial"/>
          <w:color w:val="1C1E21"/>
          <w:sz w:val="24"/>
          <w:szCs w:val="24"/>
        </w:rPr>
        <w:t xml:space="preserve">en la búsqueda por 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>profundizar el tratamiento plástico de temas de infancia la motivó a formarse en ilustración infantil con Mónica Weiss</w:t>
      </w:r>
      <w:r w:rsidR="00F522CD" w:rsidRPr="00F522C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 xml:space="preserve">a partir del año 2011. </w:t>
      </w:r>
    </w:p>
    <w:p w14:paraId="00000014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00000015" w14:textId="2B1F93B5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>En el año 2012 Joaquín y Guada y dos de sus hijos, decidieron mudarse a Tandil.</w:t>
      </w:r>
      <w:r w:rsidR="002409AB"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>Desarrollarían su actividad profesional como psicólogos y artistas. Ese año realizaron de manera conjunta un libro:” La</w:t>
      </w:r>
      <w:r w:rsidRPr="00F522CD"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 tarea imposible de Víctor</w:t>
      </w: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“, editado por Editorial Abrancancha . En él, se desarrollaron Joaquín como escritor, y Guada como ilustradora. </w:t>
      </w:r>
    </w:p>
    <w:p w14:paraId="00000016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17" w14:textId="75724C36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Guada ha realizado incontables ilustraciones que vinculan la palabra escrita al sentido de sus obras, y viceversa. </w:t>
      </w: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En su obra pictórica, aparecen textos plásticos de sentido urgente, </w:t>
      </w:r>
      <w:r w:rsidRPr="00F522CD">
        <w:rPr>
          <w:rFonts w:ascii="Arial" w:eastAsia="Arial" w:hAnsi="Arial" w:cs="Arial"/>
          <w:i/>
          <w:color w:val="1C1E21"/>
          <w:sz w:val="24"/>
          <w:szCs w:val="24"/>
        </w:rPr>
        <w:t>Dar Batalla,</w:t>
      </w:r>
      <w:r w:rsidRPr="00F522CD">
        <w:rPr>
          <w:rFonts w:ascii="Arial" w:eastAsia="Arial" w:hAnsi="Arial" w:cs="Arial"/>
          <w:color w:val="1C1E21"/>
          <w:sz w:val="24"/>
          <w:szCs w:val="24"/>
        </w:rPr>
        <w:t xml:space="preserve"> 2016; </w:t>
      </w: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t xml:space="preserve">palabras que acuden dentro de las </w:t>
      </w:r>
      <w:r w:rsidRPr="00F522CD">
        <w:rPr>
          <w:rFonts w:ascii="Arial" w:eastAsia="Arial" w:hAnsi="Arial" w:cs="Arial"/>
          <w:color w:val="1C1E21"/>
          <w:sz w:val="24"/>
          <w:szCs w:val="24"/>
          <w:highlight w:val="white"/>
        </w:rPr>
        <w:lastRenderedPageBreak/>
        <w:t>múltiples posibilidades del plano, a la vez aportando significado y significante plástico.</w:t>
      </w:r>
    </w:p>
    <w:p w14:paraId="00000018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19" w14:textId="5C8A1A1B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Como ilustradora, realizó la tapa de la antología de relatos para la Editorial Independencia Gráfica y Editora, </w:t>
      </w:r>
      <w:r w:rsidRPr="00F522CD"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El balcón de cristal,</w:t>
      </w: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en el año 2014 y </w:t>
      </w:r>
      <w:r w:rsidRPr="00F522CD"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Naranjas amargas, ficciones de Tandil </w:t>
      </w: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de Editorial Azul, en 2016. Además, participó con trabajos en </w:t>
      </w:r>
      <w:r w:rsidRPr="00F522CD"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Sin Palabras, Memoria Ilustrada 2013,</w:t>
      </w: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editado por Comisión Memoria ilustrada 2012, Foro de Ilustradores y Espacio de Arte AMIA, 2013, </w:t>
      </w:r>
      <w:r w:rsidRPr="00F522CD"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Aguafuertes Porteñas de Roberto Arlt, </w:t>
      </w: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10 textos ilustrados por 280 artistas, editado por el Foro de Ilustradores y con el apoyo del Fondo Metropolitano de Cultura, las Artes y las Ciencias del GCBA, 2012; </w:t>
      </w:r>
      <w:r w:rsidRPr="00F522CD"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Una mañana de Julio, Memoria ilustrada 2012, Cuentos para no olvidar, e</w:t>
      </w: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ditado por Comisión Memoria ilustrada 2012, Foro de Ilustradores y Espacio de Arte AMIA, 2012. </w:t>
      </w:r>
    </w:p>
    <w:p w14:paraId="0000001A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1B" w14:textId="783A5234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333333"/>
          <w:sz w:val="24"/>
          <w:szCs w:val="24"/>
        </w:rPr>
      </w:pP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En su regreso a Tandil, desde el año 2012, aparece un nuevo interés: el trabajo en el campo de la política. Pero antes, se incorpora como docente de un Taller de arte e integración social, dependiente del Organismo de Niñez y Adolescencia de la Provincia de Buenos Aires, en el Centro de Contención Tandil. Por entonces, su actividad alterna entre el trabajo pictórico en su “laboratorio de arte” --como llama a su taller--, 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 xml:space="preserve">y su actividad clínica como supervisora en proyectos de intervención territorial, mediados por el arte, como </w:t>
      </w:r>
      <w:r w:rsidRPr="00F522CD">
        <w:rPr>
          <w:rFonts w:ascii="Arial" w:eastAsia="Arial" w:hAnsi="Arial" w:cs="Arial"/>
          <w:i/>
          <w:color w:val="000000"/>
          <w:sz w:val="24"/>
          <w:szCs w:val="24"/>
        </w:rPr>
        <w:t>Pampares</w:t>
      </w:r>
      <w:r w:rsidRPr="00F522CD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1C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33333"/>
          <w:sz w:val="24"/>
          <w:szCs w:val="24"/>
        </w:rPr>
      </w:pPr>
    </w:p>
    <w:p w14:paraId="0000001D" w14:textId="70708B93" w:rsidR="00B10658" w:rsidRPr="00F522CD" w:rsidRDefault="0031689A" w:rsidP="002409A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F522CD">
        <w:rPr>
          <w:rFonts w:ascii="Arial" w:eastAsia="Arial" w:hAnsi="Arial" w:cs="Arial"/>
          <w:color w:val="333333"/>
          <w:sz w:val="24"/>
          <w:szCs w:val="24"/>
        </w:rPr>
        <w:t xml:space="preserve">Su primera Muestra Individual 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>en un Museo Provincial, se llam</w:t>
      </w:r>
      <w:r w:rsidRPr="00F522CD">
        <w:rPr>
          <w:rFonts w:ascii="Arial" w:eastAsia="Arial" w:hAnsi="Arial" w:cs="Arial"/>
          <w:sz w:val="24"/>
          <w:szCs w:val="24"/>
        </w:rPr>
        <w:t>ó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F522CD">
        <w:rPr>
          <w:rFonts w:ascii="Arial" w:eastAsia="Arial" w:hAnsi="Arial" w:cs="Arial"/>
          <w:i/>
          <w:color w:val="000000"/>
          <w:sz w:val="24"/>
          <w:szCs w:val="24"/>
        </w:rPr>
        <w:t>Guada Gárriz y Puntos</w:t>
      </w:r>
      <w:r w:rsidRPr="00F522CD">
        <w:rPr>
          <w:rFonts w:ascii="Arial" w:eastAsia="Arial" w:hAnsi="Arial" w:cs="Arial"/>
          <w:i/>
          <w:sz w:val="24"/>
          <w:szCs w:val="24"/>
        </w:rPr>
        <w:t xml:space="preserve"> y se llevó a cabo en el </w:t>
      </w:r>
      <w:r w:rsidRPr="00F522CD">
        <w:rPr>
          <w:rFonts w:ascii="Arial" w:eastAsia="Arial" w:hAnsi="Arial" w:cs="Arial"/>
          <w:color w:val="333333"/>
          <w:sz w:val="24"/>
          <w:szCs w:val="24"/>
        </w:rPr>
        <w:t>Museo Gregorio Álvarez, dependiente de la Secretaría de Cultura de la ciudad de Neuquén, en diciembre de 2012. Más tarde, en</w:t>
      </w: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2016 expuso la serie </w:t>
      </w:r>
      <w:r w:rsidRPr="00F522CD"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Vidas de Papel, </w:t>
      </w:r>
      <w:r w:rsidRPr="00F522CD">
        <w:rPr>
          <w:rFonts w:ascii="Arial" w:eastAsia="Arial" w:hAnsi="Arial" w:cs="Arial"/>
          <w:color w:val="000000"/>
          <w:sz w:val="24"/>
          <w:szCs w:val="24"/>
          <w:highlight w:val="white"/>
        </w:rPr>
        <w:t>en el Museo Municipal de Tandil (MUMBAT).</w:t>
      </w:r>
    </w:p>
    <w:p w14:paraId="0000001E" w14:textId="77777777" w:rsidR="00B10658" w:rsidRPr="00F522CD" w:rsidRDefault="00B106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00000021" w14:textId="666F37C3" w:rsidR="00B10658" w:rsidRPr="00F522CD" w:rsidRDefault="0031689A" w:rsidP="00F522C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</w:rPr>
      </w:pPr>
      <w:r w:rsidRPr="00F522CD">
        <w:rPr>
          <w:rFonts w:ascii="Arial" w:eastAsia="Arial" w:hAnsi="Arial" w:cs="Arial"/>
          <w:color w:val="000000"/>
          <w:sz w:val="24"/>
          <w:szCs w:val="24"/>
        </w:rPr>
        <w:t>Interpelada por la vulneración de los Derechos, se interesó por la situación de niños y jóvenes</w:t>
      </w:r>
      <w:r w:rsidR="00F522CD" w:rsidRPr="00F522CD">
        <w:rPr>
          <w:rFonts w:ascii="Arial" w:eastAsia="Arial" w:hAnsi="Arial" w:cs="Arial"/>
          <w:color w:val="000000"/>
          <w:sz w:val="24"/>
          <w:szCs w:val="24"/>
        </w:rPr>
        <w:t xml:space="preserve"> y 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>comenzó su trabajo en el plano político</w:t>
      </w:r>
      <w:r w:rsidR="00F522CD" w:rsidRPr="00F522C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 xml:space="preserve">Este plano de trabajo se incorpora en su participación en muestras como </w:t>
      </w:r>
      <w:r w:rsidRPr="00F522CD">
        <w:rPr>
          <w:rFonts w:ascii="Arial" w:eastAsia="Arial" w:hAnsi="Arial" w:cs="Arial"/>
          <w:i/>
          <w:color w:val="000000"/>
          <w:sz w:val="24"/>
          <w:szCs w:val="24"/>
        </w:rPr>
        <w:t>Blanca Bonita esclavitud, colonialismo, género, niñez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 xml:space="preserve">, Ilustración argentino-uruguaya, organizada por el Ministerio de Educación Cultura, Ciencia y Tecnología de la Nación en setiembre de 2019. Ese mismo año, participa como artista invitada en la muestra </w:t>
      </w:r>
      <w:r w:rsidRPr="00F522CD">
        <w:rPr>
          <w:rFonts w:ascii="Arial" w:eastAsia="Arial" w:hAnsi="Arial" w:cs="Arial"/>
          <w:i/>
          <w:color w:val="000000"/>
          <w:sz w:val="24"/>
          <w:szCs w:val="24"/>
        </w:rPr>
        <w:t xml:space="preserve">Voces y sentidos, Relatos, Arte, Saberes, </w:t>
      </w:r>
      <w:r w:rsidRPr="00F522CD">
        <w:rPr>
          <w:rFonts w:ascii="Arial" w:eastAsia="Arial" w:hAnsi="Arial" w:cs="Arial"/>
          <w:color w:val="000000"/>
          <w:sz w:val="24"/>
          <w:szCs w:val="24"/>
        </w:rPr>
        <w:t xml:space="preserve">donde aborda el tema de la salvaguarda de lenguajes de pueblos originarios, como el Mapungundun, con la obra </w:t>
      </w:r>
      <w:r w:rsidRPr="00F522CD">
        <w:rPr>
          <w:rFonts w:ascii="Arial" w:eastAsia="Arial" w:hAnsi="Arial" w:cs="Arial"/>
          <w:i/>
          <w:color w:val="000000"/>
          <w:sz w:val="24"/>
          <w:szCs w:val="24"/>
        </w:rPr>
        <w:t xml:space="preserve">“Cuidar la Tierra”. </w:t>
      </w:r>
    </w:p>
    <w:p w14:paraId="00000025" w14:textId="205C125E" w:rsidR="00B10658" w:rsidRPr="00F522CD" w:rsidRDefault="002409AB" w:rsidP="00F522C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</w:rPr>
      </w:pPr>
      <w:r w:rsidRPr="00F522CD">
        <w:rPr>
          <w:rFonts w:ascii="Arial" w:eastAsia="Arial" w:hAnsi="Arial" w:cs="Arial"/>
          <w:sz w:val="24"/>
          <w:szCs w:val="24"/>
        </w:rPr>
        <w:t>E</w:t>
      </w:r>
      <w:r w:rsidR="00995250" w:rsidRPr="00F522CD">
        <w:rPr>
          <w:rFonts w:ascii="Arial" w:eastAsia="Arial" w:hAnsi="Arial" w:cs="Arial"/>
          <w:sz w:val="24"/>
          <w:szCs w:val="24"/>
        </w:rPr>
        <w:t xml:space="preserve">l 22 de </w:t>
      </w:r>
      <w:r w:rsidRPr="00F522CD">
        <w:rPr>
          <w:rFonts w:ascii="Arial" w:eastAsia="Arial" w:hAnsi="Arial" w:cs="Arial"/>
          <w:sz w:val="24"/>
          <w:szCs w:val="24"/>
        </w:rPr>
        <w:t>agosto de 2019 fue elegida en las elecci</w:t>
      </w:r>
      <w:r w:rsidR="00995250" w:rsidRPr="00F522CD">
        <w:rPr>
          <w:rFonts w:ascii="Arial" w:eastAsia="Arial" w:hAnsi="Arial" w:cs="Arial"/>
          <w:sz w:val="24"/>
          <w:szCs w:val="24"/>
        </w:rPr>
        <w:t>o</w:t>
      </w:r>
      <w:r w:rsidRPr="00F522CD">
        <w:rPr>
          <w:rFonts w:ascii="Arial" w:eastAsia="Arial" w:hAnsi="Arial" w:cs="Arial"/>
          <w:sz w:val="24"/>
          <w:szCs w:val="24"/>
        </w:rPr>
        <w:t xml:space="preserve">nes </w:t>
      </w:r>
      <w:r w:rsidR="00995250" w:rsidRPr="00F522CD">
        <w:rPr>
          <w:rFonts w:ascii="Arial" w:eastAsia="Arial" w:hAnsi="Arial" w:cs="Arial"/>
          <w:sz w:val="24"/>
          <w:szCs w:val="24"/>
        </w:rPr>
        <w:t>P</w:t>
      </w:r>
      <w:r w:rsidRPr="00F522CD">
        <w:rPr>
          <w:rFonts w:ascii="Arial" w:eastAsia="Arial" w:hAnsi="Arial" w:cs="Arial"/>
          <w:sz w:val="24"/>
          <w:szCs w:val="24"/>
        </w:rPr>
        <w:t xml:space="preserve">rimarias </w:t>
      </w:r>
      <w:r w:rsidR="00995250" w:rsidRPr="00F522CD">
        <w:rPr>
          <w:rFonts w:ascii="Arial" w:eastAsia="Arial" w:hAnsi="Arial" w:cs="Arial"/>
          <w:sz w:val="24"/>
          <w:szCs w:val="24"/>
        </w:rPr>
        <w:t>A</w:t>
      </w:r>
      <w:r w:rsidRPr="00F522CD">
        <w:rPr>
          <w:rFonts w:ascii="Arial" w:eastAsia="Arial" w:hAnsi="Arial" w:cs="Arial"/>
          <w:sz w:val="24"/>
          <w:szCs w:val="24"/>
        </w:rPr>
        <w:t xml:space="preserve">biertas Simultáneas y Obligatorias (PASO) como </w:t>
      </w:r>
      <w:r w:rsidR="0031689A" w:rsidRPr="00F522CD">
        <w:rPr>
          <w:rFonts w:ascii="Arial" w:eastAsia="Arial" w:hAnsi="Arial" w:cs="Arial"/>
          <w:color w:val="000000"/>
          <w:sz w:val="24"/>
          <w:szCs w:val="24"/>
        </w:rPr>
        <w:t>candidata a Concejala por el Frente de Tod@s</w:t>
      </w:r>
      <w:r w:rsidR="00F522CD">
        <w:rPr>
          <w:rFonts w:ascii="Arial" w:eastAsia="Arial" w:hAnsi="Arial" w:cs="Arial"/>
          <w:color w:val="000000"/>
          <w:sz w:val="24"/>
          <w:szCs w:val="24"/>
        </w:rPr>
        <w:t xml:space="preserve">, cargo en el cual fue finalmente </w:t>
      </w:r>
      <w:r w:rsidR="008D4B32" w:rsidRPr="00F522CD">
        <w:rPr>
          <w:rFonts w:ascii="Arial" w:eastAsia="Arial" w:hAnsi="Arial" w:cs="Arial"/>
          <w:color w:val="000000"/>
          <w:sz w:val="24"/>
          <w:szCs w:val="24"/>
        </w:rPr>
        <w:t>electa</w:t>
      </w:r>
      <w:r w:rsidR="00F522CD">
        <w:rPr>
          <w:rFonts w:ascii="Arial" w:eastAsia="Arial" w:hAnsi="Arial" w:cs="Arial"/>
          <w:color w:val="000000"/>
          <w:sz w:val="24"/>
          <w:szCs w:val="24"/>
        </w:rPr>
        <w:t>,</w:t>
      </w:r>
      <w:r w:rsidR="008D4B32" w:rsidRPr="00F522CD">
        <w:rPr>
          <w:rFonts w:ascii="Arial" w:eastAsia="Arial" w:hAnsi="Arial" w:cs="Arial"/>
          <w:color w:val="000000"/>
          <w:sz w:val="24"/>
          <w:szCs w:val="24"/>
        </w:rPr>
        <w:t xml:space="preserve"> en </w:t>
      </w:r>
      <w:r w:rsidR="00995250" w:rsidRPr="00F522CD">
        <w:rPr>
          <w:rFonts w:ascii="Arial" w:eastAsia="Arial" w:hAnsi="Arial" w:cs="Arial"/>
          <w:color w:val="000000"/>
          <w:sz w:val="24"/>
          <w:szCs w:val="24"/>
        </w:rPr>
        <w:t>las elecciones generales</w:t>
      </w:r>
      <w:r w:rsidR="008D4B32" w:rsidRPr="00F522CD">
        <w:rPr>
          <w:rFonts w:ascii="Arial" w:eastAsia="Arial" w:hAnsi="Arial" w:cs="Arial"/>
          <w:color w:val="000000"/>
          <w:sz w:val="24"/>
          <w:szCs w:val="24"/>
        </w:rPr>
        <w:t xml:space="preserve"> que se llevaron a cabo el 27 de octubre de 2019.</w:t>
      </w:r>
    </w:p>
    <w:sectPr w:rsidR="00B10658" w:rsidRPr="00F522C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58"/>
    <w:rsid w:val="002409AB"/>
    <w:rsid w:val="0031689A"/>
    <w:rsid w:val="008D4B32"/>
    <w:rsid w:val="00995250"/>
    <w:rsid w:val="00AC1B77"/>
    <w:rsid w:val="00B10658"/>
    <w:rsid w:val="00F16AEE"/>
    <w:rsid w:val="00F5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D4AAFF"/>
  <w15:docId w15:val="{31E1BC88-F779-6A43-B230-AC0ED566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706789-54DB-3D4A-BFAA-EC5AFBDB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Victoria W</cp:lastModifiedBy>
  <cp:revision>3</cp:revision>
  <dcterms:created xsi:type="dcterms:W3CDTF">2019-10-29T07:37:00Z</dcterms:created>
  <dcterms:modified xsi:type="dcterms:W3CDTF">2019-10-29T07:55:00Z</dcterms:modified>
</cp:coreProperties>
</file>