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941B4"/>
          <w:sz w:val="64"/>
        </w:rPr>
        <w:t>NEXO</w:t>
      </w:r>
    </w:p>
    <w:p>
      <w:pPr>
        <w:jc w:val="center"/>
      </w:pPr>
      <w:r>
        <w:rPr>
          <w:b/>
          <w:color w:val="293E78"/>
          <w:sz w:val="40"/>
        </w:rPr>
        <w:t>Autenticación Nexo: registro, login y Microsoft Entra ID</w:t>
      </w:r>
    </w:p>
    <w:p>
      <w:pPr>
        <w:jc w:val="center"/>
      </w:pPr>
      <w:r>
        <w:rPr>
          <w:sz w:val="22"/>
        </w:rPr>
        <w:t>Evidencia de implementación — 1 de septiembre de 2026</w:t>
      </w:r>
    </w:p>
    <w:p>
      <w:r>
        <w:rPr>
          <w:b/>
        </w:rPr>
        <w:t xml:space="preserve">Alcance. </w:t>
      </w:r>
      <w:r>
        <w:t>Este informe documenta el login local con correo y contraseña, el registro de usuarios, la validación de Microsoft Entra ID, la persistencia en PostgreSQL y las evidencias visuales. La cuenta usada en las pruebas es del entorno local; la contraseña no se documenta.</w:t>
      </w:r>
    </w:p>
    <w:p>
      <w:pPr>
        <w:pStyle w:val="Heading1"/>
        <w:spacing w:before="240" w:after="120"/>
      </w:pPr>
      <w:r>
        <w:t>1. Resultado final</w:t>
      </w:r>
    </w:p>
    <w:p>
      <w:r>
        <w:t>Se dejaron dos registros funcionales en el tenant local de Microsoft Entra: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Application (client) ID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Frontend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SPA Angular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Web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API protegida / scope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</w:tbl>
    <w:p>
      <w:r>
        <w:t>Tenant ID: 21a4bbb2-fc48-4053-a98e-b805aa2306cc</w:t>
      </w:r>
    </w:p>
    <w:p>
      <w:r>
        <w:t>Redirect URI SPA: http://localhost:4200</w:t>
      </w:r>
    </w:p>
    <w:p>
      <w:r>
        <w:t>Scope: api://0f2d7cee-cabb-4482-900d-64fb07f5f81d/access_as_user</w:t>
      </w:r>
    </w:p>
    <w:p>
      <w:pPr>
        <w:pStyle w:val="Heading1"/>
        <w:spacing w:before="240" w:after="120"/>
      </w:pPr>
      <w:r>
        <w:t>2. Paso a paso realizado en Azure</w:t>
      </w:r>
    </w:p>
    <w:p>
      <w:pPr>
        <w:pStyle w:val="ListNumber"/>
      </w:pPr>
      <w:r>
        <w:t>Se abrió Microsoft Azure &gt; App registrations en el tenant Default Directory.</w:t>
      </w:r>
    </w:p>
    <w:p>
      <w:pPr>
        <w:pStyle w:val="ListNumber"/>
      </w:pPr>
      <w:r>
        <w:t>Se registró Nexo Web como aplicación de la API y se dejó su Application ID URI con formato api://&lt;client-id&gt;.</w:t>
      </w:r>
    </w:p>
    <w:p>
      <w:pPr>
        <w:pStyle w:val="ListNumber"/>
      </w:pPr>
      <w:r>
        <w:t>En Expose an API se creó el scope delegado access_as_user, habilitado y con textos de consentimiento.</w:t>
      </w:r>
    </w:p>
    <w:p>
      <w:pPr>
        <w:pStyle w:val="ListNumber"/>
      </w:pPr>
      <w:r>
        <w:t>Se registró Nexo Frontend como Single-page application (SPA), con redirect URI http://localhost:4200.</w:t>
      </w:r>
    </w:p>
    <w:p>
      <w:pPr>
        <w:pStyle w:val="ListNumber"/>
      </w:pPr>
      <w:r>
        <w:t>Se verificaron los identificadores públicos y el tenant en las pantallas Overview de Azure.</w:t>
      </w:r>
    </w:p>
    <w:p>
      <w:pPr>
        <w:pStyle w:val="ListNumber"/>
      </w:pPr>
      <w:r>
        <w:t>Se eliminaron las App Registrations antiguas Pedidos360-API-BFF y Pedidos360-Frontend-Angular.</w:t>
      </w:r>
    </w:p>
    <w:p>
      <w:pPr>
        <w:pStyle w:val="ListNumber"/>
      </w:pPr>
      <w:r>
        <w:t>Se actualizó environment.ts para usar los identificadores reales de Nexo, sin client secrets.</w:t>
      </w:r>
    </w:p>
    <w:p>
      <w:pPr>
        <w:pStyle w:val="Heading1"/>
        <w:spacing w:before="240" w:after="120"/>
      </w:pPr>
      <w:r>
        <w:t>3.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Frontend: SPA activa, tenant correcto y redirect URI configurado.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Web: Application ID URI y scope access_as_user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zure-clean-nexo-on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Lista final: solo permanecen Nexo Frontend y Nexo Web; Pedidos360 fue retirado.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visual de Nexo levantado en http://localhost:4200/login, con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en línea: correo con formato incorrecto y contraseña menor a 8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exitoso: redirección a /home y datos del usuario autenticado.</w:t>
      </w:r>
    </w:p>
    <w:p>
      <w:pPr>
        <w:pStyle w:val="Heading1"/>
        <w:spacing w:before="240" w:after="120"/>
      </w:pPr>
      <w:r>
        <w:t>4. Flujo de registro y login</w:t>
      </w:r>
    </w:p>
    <w:p>
      <w:pPr>
        <w:pStyle w:val="ListNumber"/>
      </w:pPr>
      <w:r>
        <w:t>En /login, el usuario puede continuar con Microsoft o alternar al formulario de correo.</w:t>
      </w:r>
    </w:p>
    <w:p>
      <w:pPr>
        <w:pStyle w:val="ListNumber"/>
      </w:pPr>
      <w:r>
        <w:t>El registro exige nombre, correo válido y contraseña de mínimo 8 caracteres. Los errores aparecen debajo del campo y el botón no envía formularios inválidos.</w:t>
      </w:r>
    </w:p>
    <w:p>
      <w:pPr>
        <w:pStyle w:val="ListNumber"/>
      </w:pPr>
      <w:r>
        <w:t>El backend vuelve a validar el payload con Bean Validation, verifica que el correo no esté registrado y genera un JWT local al crear la cuenta.</w:t>
      </w:r>
    </w:p>
    <w:p>
      <w:pPr>
        <w:pStyle w:val="ListNumber"/>
      </w:pPr>
      <w:r>
        <w:t>El login compara la contraseña recibida contra el hash BCrypt almacenado y entrega un JWT con issuer nexo-local y audience nexo-api.</w:t>
      </w:r>
    </w:p>
    <w:p>
      <w:pPr>
        <w:pStyle w:val="ListNumber"/>
      </w:pPr>
      <w:r>
        <w:t>El interceptor adjunta Authorization: Bearer &lt;JWT&gt; a /api/users/me; la guarda permite /home solo con sesión válida.</w:t>
      </w:r>
    </w:p>
    <w:p>
      <w:pPr>
        <w:pStyle w:val="ListNumber"/>
      </w:pPr>
      <w:r>
        <w:t>Microsoft Entra mantiene el flujo OAuth2/OIDC; sus tokens se validan con issuer, audience, firma y expiración mediante el Resource Server.</w:t>
      </w:r>
    </w:p>
    <w:p>
      <w:pPr>
        <w:pStyle w:val="Heading1"/>
        <w:spacing w:before="240" w:after="120"/>
      </w:pPr>
      <w:r>
        <w:t>5. Cambios en el frontend</w:t>
      </w:r>
    </w:p>
    <w:p>
      <w:r>
        <w:t>El frontend incluye formularios reactivos, validación visual accesible, interceptor para JWT local, interceptor MSAL condicionado a cuentas Microsoft, guardas compatibles con ambos métodos y las rutas /login, /home y /profile.</w:t>
      </w:r>
    </w:p>
    <w:p>
      <w:r>
        <w:t>Archivo actualizado: frontend/src/environments/environment.ts</w:t>
      </w:r>
    </w:p>
    <w:p>
      <w:r>
        <w:t>La configuración de producción permanece con placeholders hasta disponer de un dominio real. No se inventaron credenciales ni se guardaron secretos.</w:t>
      </w:r>
    </w:p>
    <w:p>
      <w:pPr>
        <w:pStyle w:val="Heading1"/>
        <w:spacing w:before="240" w:after="120"/>
      </w:pPr>
      <w:r>
        <w:t>6. Persistencia y seguridad de datos</w:t>
      </w:r>
    </w:p>
    <w:p>
      <w:r>
        <w:t>La migración V5 agrega password_hash y permite identity_provider=LOCAL. La migración V6 elimina la restricción histórica incompatible con usuarios locales. La tabla nexo.users conserva el email, username, display_name, estado y timestamps; password_hash contiene únicamente un hash BCrypt y nunca la contraseña original.</w:t>
      </w:r>
    </w:p>
    <w:p>
      <w:r>
        <w:t>Consulta de verificación ejecutada en PostgreSQL: SELECT email, identity_provider, password_hash IS NOT NULL FROM nexo.users WHERE lower(email) = 'jor.vergaras@duocuc.cl'; Resultado: usuario LOCAL y hash presente. No se registran contraseñas en logs ni en el documento.</w:t>
      </w:r>
    </w:p>
    <w:p>
      <w:pPr>
        <w:pStyle w:val="Heading1"/>
        <w:spacing w:before="240" w:after="120"/>
      </w:pPr>
      <w:r>
        <w:t>7. Verificaciones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Validación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Prettier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format:check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Compilación 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backend/mvnw.cmd -DskipTests compile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 con Java 21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warning de presupuesto inicial por MSAL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API registro/login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 /api/auth/register y POST /api/auth/login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JWT emitido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protegida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con Bearer 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200; usuario persistido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visual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Navegador local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errores y redirección /home verificados</w:t>
            </w:r>
          </w:p>
        </w:tc>
      </w:tr>
    </w:tbl>
    <w:p>
      <w:pPr>
        <w:pStyle w:val="Heading1"/>
        <w:spacing w:before="240" w:after="120"/>
      </w:pPr>
      <w:r>
        <w:t>8. Ejecución local</w:t>
      </w:r>
    </w:p>
    <w:p>
      <w:r>
        <w:t>1) Iniciar PostgreSQL: docker compose up -d. 2) Iniciar backend: backend\mvnw.cmd spring-boot:run. 3) Iniciar frontend: npm start. 4) Abrir http://127.0.0.1:4200/login. 5) Para Microsoft, completar el consentimiento de la API Nexo en el tenant si Azure lo solicita.</w:t>
      </w:r>
    </w:p>
    <w:p>
      <w:r>
        <w:br w:type="page"/>
      </w:r>
    </w:p>
    <w:p>
      <w:pPr>
        <w:pStyle w:val="Heading1"/>
      </w:pPr>
      <w:r>
        <w:rPr>
          <w:color w:val="4F46E5"/>
        </w:rPr>
        <w:t>Evidencia actualizada: login y token MSAL</w:t>
      </w:r>
    </w:p>
    <w:p>
      <w:r>
        <w:rPr>
          <w:b/>
        </w:rPr>
        <w:t xml:space="preserve">Objetivo. </w:t>
      </w:r>
      <w:r>
        <w:t>Comprobar el flujo de acceso local y dejar documentado cómo Microsoft Entra ID entrega el Access Token JWT que el frontend adjunta a la API.</w:t>
      </w:r>
    </w:p>
    <w:p>
      <w:pPr>
        <w:pStyle w:val="Heading2"/>
      </w:pPr>
      <w:r>
        <w:t>1. Pantalla de sesión expirada</w:t>
      </w:r>
    </w:p>
    <w:p>
      <w:r>
        <w:t>El parámetro reason=expired aparece cuando una sesión Microsoft anterior ya no es válida. No corresponde a un error de registro local: se debe iniciar nuevamente el flujo OAuth.</w:t>
      </w:r>
    </w:p>
    <w:p>
      <w:r>
        <w:drawing>
          <wp:inline xmlns:a="http://schemas.openxmlformats.org/drawingml/2006/main" xmlns:pic="http://schemas.openxmlformats.org/drawingml/2006/picture">
            <wp:extent cx="5577840" cy="6611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611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1. Pantalla Nexo mostrando la sesión Microsoft expirada.</w:t>
      </w:r>
    </w:p>
    <w:p>
      <w:pPr>
        <w:pStyle w:val="Heading2"/>
      </w:pPr>
      <w:r>
        <w:t>2. Login local y validaciones</w:t>
      </w:r>
    </w:p>
    <w:p>
      <w:r>
        <w:t>El formulario valida correo electrónico y contraseña antes de enviar la solicitud. La contraseña debe tener al menos 8 caracteres. Si las credenciales no coinciden, se muestra el mensaje ‘Correo o contraseña incorrectos.’ debajo del formulario.</w:t>
      </w:r>
    </w:p>
    <w:p>
      <w:r>
        <w:drawing>
          <wp:inline xmlns:a="http://schemas.openxmlformats.org/drawingml/2006/main" xmlns:pic="http://schemas.openxmlformats.org/drawingml/2006/picture">
            <wp:extent cx="5577840" cy="31367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2. Validación y mensaje de error del formulario.</w:t>
      </w:r>
    </w:p>
    <w:p>
      <w:r>
        <w:drawing>
          <wp:inline xmlns:a="http://schemas.openxmlformats.org/drawingml/2006/main" xmlns:pic="http://schemas.openxmlformats.org/drawingml/2006/picture">
            <wp:extent cx="5577840" cy="31367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3. Login local exitoso con sesión persistida en el navegador.</w:t>
      </w:r>
    </w:p>
    <w:p>
      <w:pPr>
        <w:pStyle w:val="Heading2"/>
      </w:pPr>
      <w:r>
        <w:t>3. ¿Cómo se refleja MSAL y el JWT?</w:t>
      </w:r>
    </w:p>
    <w:p>
      <w:r>
        <w:t>El usuario pulsa ‘Continuar con Microsoft’. AuthService inicializa PublicClientApplication y ejecuta loginRedirect con el scope de Nexo. Microsoft Entra ID autentica al usuario y devuelve un resultado de autenticación. MSAL conserva la cuenta en sessionStorage; el token no se muestra completo en la interfaz ni se registra en el repositorio.</w:t>
      </w:r>
    </w:p>
    <w:p>
      <w:pPr>
        <w:spacing w:after="160"/>
      </w:pPr>
      <w:r>
        <w:rPr>
          <w:b/>
        </w:rPr>
        <w:t xml:space="preserve">Flujo comprobable: </w:t>
      </w:r>
      <w:r>
        <w:t>LoginComponent → AuthService → MSAL loginRedirect → Entra ID → Access Token JWT → MsalAuthInterceptor → Authorization: Bearer &lt;JWT&gt; → GET /api/users/me.</w:t>
      </w:r>
    </w:p>
    <w:p>
      <w:r>
        <w:t>El interceptor solicita el token mediante acquireTokenSilent para la API configurada. Spring Boot valida la firma, issuer, audience y expiración; después /api/users/me sincroniza el usuario autenticado con PostgreSQL. Para evidencias o presentaciones se debe mostrar el encabezado redactado ‘Bearer eyJ...&lt;redactado&gt;’, nunca un token real completo.</w:t>
      </w:r>
    </w:p>
    <w:p>
      <w:pPr>
        <w:pStyle w:val="Heading2"/>
      </w:pPr>
      <w:r>
        <w:t>4. Resultado de las pruebas</w:t>
      </w:r>
    </w:p>
    <w:p>
      <w:pPr>
        <w:pStyle w:val="ListBullet"/>
      </w:pPr>
      <w:r>
        <w:t>Frontend: npm run build exitoso; 24/24 pruebas aprobadas.</w:t>
      </w:r>
    </w:p>
    <w:p>
      <w:pPr>
        <w:pStyle w:val="ListBullet"/>
      </w:pPr>
      <w:r>
        <w:t>Backend: 16/16 pruebas aprobadas; health, login local y /api/users/me verificados.</w:t>
      </w:r>
    </w:p>
    <w:p>
      <w:pPr>
        <w:pStyle w:val="ListBullet"/>
      </w:pPr>
      <w:r>
        <w:t>Azure: scope access_as_user habilitado y aplicación frontend autorizada.</w:t>
      </w:r>
    </w:p>
    <w:p>
      <w:pPr>
        <w:pStyle w:val="ListBullet"/>
      </w:pPr>
      <w:r>
        <w:t>Pendiente manual: completar contraseña y MFA de Microsoft para verificar el retorno real desde Entra ID.</w:t>
      </w:r>
    </w:p>
    <w:sectPr w:rsidR="00FC693F" w:rsidRPr="0006063C" w:rsidSect="00034616">
      <w:footerReference w:type="default" r:id="rId15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— Evidencia de configuración frontend y Azure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