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41B4"/>
          <w:sz w:val="64"/>
        </w:rPr>
        <w:t>NEXO</w:t>
      </w:r>
    </w:p>
    <w:p>
      <w:pPr>
        <w:jc w:val="center"/>
      </w:pPr>
      <w:r>
        <w:rPr>
          <w:b/>
          <w:color w:val="293E78"/>
          <w:sz w:val="40"/>
        </w:rPr>
        <w:t>Configuración del frontend y Microsoft Entra ID</w:t>
      </w:r>
    </w:p>
    <w:p>
      <w:pPr>
        <w:jc w:val="center"/>
      </w:pPr>
      <w:r>
        <w:rPr>
          <w:sz w:val="22"/>
        </w:rPr>
        <w:t>Evidencia de implementación — 1 de septiembre de 2026</w:t>
      </w:r>
    </w:p>
    <w:p>
      <w:r>
        <w:rPr>
          <w:b/>
        </w:rPr>
        <w:t xml:space="preserve">Alcance. </w:t>
      </w:r>
      <w:r>
        <w:t>Este informe documenta la configuración del frontend Angular de Nexo, sus registros de Microsoft Entra ID, el redirect URI local, el scope de API y la limpieza de las aplicaciones antiguas de Pedidos360. No contiene secretos ni credenciales privadas.</w:t>
      </w:r>
    </w:p>
    <w:p>
      <w:pPr>
        <w:pStyle w:val="Heading1"/>
        <w:spacing w:before="240" w:after="120"/>
      </w:pPr>
      <w:r>
        <w:t>1. Resultado final</w:t>
      </w:r>
    </w:p>
    <w:p>
      <w:r>
        <w:t>Se dejaron dos registros funcionales en el tenant local de Microsoft Entra: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Registro</w:t>
            </w:r>
          </w:p>
        </w:tc>
        <w:tc>
          <w:tcPr>
            <w:tcW w:type="dxa" w:w="252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52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Application (client) ID</w:t>
            </w:r>
          </w:p>
        </w:tc>
        <w:tc>
          <w:tcPr>
            <w:tcW w:type="dxa" w:w="252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Nexo Frontend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SPA Angular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480a8cf4-c729-4ca1-8043-6c1198dfaceb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Activo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Nexo Web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API protegida / scope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0f2d7cee-cabb-4482-900d-64fb07f5f81d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Activo</w:t>
            </w:r>
          </w:p>
        </w:tc>
      </w:tr>
    </w:tbl>
    <w:p>
      <w:r>
        <w:t>Tenant ID: 21a4bbb2-fc48-4053-a98e-b805aa2306cc</w:t>
      </w:r>
    </w:p>
    <w:p>
      <w:r>
        <w:t>Redirect URI SPA: http://localhost:4200</w:t>
      </w:r>
    </w:p>
    <w:p>
      <w:r>
        <w:t>Scope: api://0f2d7cee-cabb-4482-900d-64fb07f5f81d/access_as_user</w:t>
      </w:r>
    </w:p>
    <w:p>
      <w:pPr>
        <w:pStyle w:val="Heading1"/>
        <w:spacing w:before="240" w:after="120"/>
      </w:pPr>
      <w:r>
        <w:t>2. Paso a paso realizado en Azure</w:t>
      </w:r>
    </w:p>
    <w:p>
      <w:pPr>
        <w:pStyle w:val="ListNumber"/>
      </w:pPr>
      <w:r>
        <w:t>Se abrió Microsoft Azure &gt; App registrations en el tenant Default Directory.</w:t>
      </w:r>
    </w:p>
    <w:p>
      <w:pPr>
        <w:pStyle w:val="ListNumber"/>
      </w:pPr>
      <w:r>
        <w:t>Se registró Nexo Web como aplicación de la API y se dejó su Application ID URI con formato api://&lt;client-id&gt;.</w:t>
      </w:r>
    </w:p>
    <w:p>
      <w:pPr>
        <w:pStyle w:val="ListNumber"/>
      </w:pPr>
      <w:r>
        <w:t>En Expose an API se creó el scope delegado access_as_user, habilitado y con textos de consentimiento.</w:t>
      </w:r>
    </w:p>
    <w:p>
      <w:pPr>
        <w:pStyle w:val="ListNumber"/>
      </w:pPr>
      <w:r>
        <w:t>Se registró Nexo Frontend como Single-page application (SPA), con redirect URI http://localhost:4200.</w:t>
      </w:r>
    </w:p>
    <w:p>
      <w:pPr>
        <w:pStyle w:val="ListNumber"/>
      </w:pPr>
      <w:r>
        <w:t>Se verificaron los identificadores públicos y el tenant en las pantallas Overview de Azure.</w:t>
      </w:r>
    </w:p>
    <w:p>
      <w:pPr>
        <w:pStyle w:val="ListNumber"/>
      </w:pPr>
      <w:r>
        <w:t>Se eliminaron las App Registrations antiguas Pedidos360-API-BFF y Pedidos360-Frontend-Angular.</w:t>
      </w:r>
    </w:p>
    <w:p>
      <w:pPr>
        <w:pStyle w:val="ListNumber"/>
      </w:pPr>
      <w:r>
        <w:t>Se actualizó environment.ts para usar los identificadores reales de Nexo, sin client secrets.</w:t>
      </w:r>
    </w:p>
    <w:p>
      <w:pPr>
        <w:pStyle w:val="Heading1"/>
        <w:spacing w:before="240" w:after="120"/>
      </w:pPr>
      <w:r>
        <w:t>3. Evidencia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132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xo-fronten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3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Registro Nexo Frontend: SPA activa, tenant correcto y redirect URI configurado.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132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xo-api-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3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Registro Nexo Web: Application ID URI y scope access_as_user habilitado.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132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zure-clean-nexo-on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3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Lista final: solo permanecen Nexo Frontend y Nexo Web; Pedidos360 fue retirado.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132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xo-login-rend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3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Login visual de Nexo levantado en http://localhost:4200/login, con botón Continuar con Microsoft.</w:t>
      </w:r>
    </w:p>
    <w:p>
      <w:pPr>
        <w:pStyle w:val="Heading1"/>
        <w:spacing w:before="240" w:after="120"/>
      </w:pPr>
      <w:r>
        <w:t>4. Cambios en el frontend</w:t>
      </w:r>
    </w:p>
    <w:p>
      <w:r>
        <w:t>El frontend incluye MSAL con @azure/msal-angular y @azure/msal-browser, guardas de navegación, interceptor Authorization Bearer, login/logout con Microsoft y las rutas /login, /home y /profile.</w:t>
      </w:r>
    </w:p>
    <w:p>
      <w:r>
        <w:t>Archivo actualizado: frontend/src/environments/environment.ts</w:t>
      </w:r>
    </w:p>
    <w:p>
      <w:r>
        <w:t>La configuración de producción permanece con placeholders hasta disponer de un dominio real. No se inventaron credenciales ni se guardaron secretos.</w:t>
      </w:r>
    </w:p>
    <w:p>
      <w:pPr>
        <w:pStyle w:val="Heading1"/>
        <w:spacing w:before="240" w:after="120"/>
      </w:pPr>
      <w:r>
        <w:t>5. Verificaciones ejecutadas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Validación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3360"/>
            <w:vAlign w:val="center"/>
            <w:shd w:fill="293E78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Prettier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npm run format:check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Pruebas 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npm run test:ci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24 tests passed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Build Angular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npm run build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OK; warning budget inicial MSAL 526.25 kB / 500 kB</w:t>
            </w:r>
          </w:p>
        </w:tc>
      </w:tr>
    </w:tbl>
    <w:p>
      <w:pPr>
        <w:pStyle w:val="Heading1"/>
        <w:spacing w:before="240" w:after="120"/>
      </w:pPr>
      <w:r>
        <w:t>6. Observación de integración</w:t>
      </w:r>
    </w:p>
    <w:p>
      <w:r>
        <w:t>El login MSAL del navegador ya está configurado con los identificadores de Azure. Para completar una prueba end-to-end contra /api/users/me, el backend debe validar tokens de Microsoft Entra como OAuth2 Resource Server y aceptar el audience del API Nexo. Esa parte corresponde al módulo backend y no se modificó en este encargo frontend.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Nexo — Evidencia de configuración frontend y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