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64"/>
        </w:rPr>
        <w:t>NEXO</w:t>
      </w:r>
    </w:p>
    <w:p>
      <w:pPr>
        <w:jc w:val="center"/>
      </w:pPr>
      <w:r>
        <w:rPr>
          <w:b/>
          <w:color w:val="000000"/>
          <w:sz w:val="40"/>
        </w:rPr>
        <w:t>Autenticación Nexo: registro, login y Microsoft Entra ID</w:t>
      </w:r>
    </w:p>
    <w:p>
      <w:pPr>
        <w:jc w:val="center"/>
      </w:pPr>
      <w:r>
        <w:rPr>
          <w:sz w:val="22"/>
        </w:rPr>
        <w:t>Guía paso a paso de Azure, MSAL, JWT y publicación académica — 10 de septiembre de 2026</w:t>
      </w:r>
    </w:p>
    <w:p>
      <w:r>
        <w:rPr>
          <w:b/>
        </w:rPr>
        <w:t xml:space="preserve">Alcance. </w:t>
      </w:r>
      <w:r>
        <w:t>Este informe documenta la configuración de Microsoft Azure para Nexo: registro de aplicaciones, Microsoft Entra ID, MSAL, permisos OAuth2, JWT, URI de retorno, validación en navegador y su conexión con el frontend publicado en EC2. También incluye capturas de la interfaz y una guía de comprobación. No se incluyen contraseñas, client secrets ni tokens.</w:t>
      </w:r>
    </w:p>
    <w:p>
      <w:pPr>
        <w:pStyle w:val="Heading1"/>
        <w:spacing w:before="240" w:after="120"/>
      </w:pPr>
      <w:r>
        <w:t>1. Resultado final</w:t>
      </w:r>
    </w:p>
    <w:p>
      <w:r>
        <w:t>Se dejaron dos registros funcionales en el tenant local de Microsoft Entra: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Registro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Uso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Application (client) ID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Nexo Frontend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SPA Angular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480a8cf4-c729-4ca1-8043-6c1198dfaceb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Activo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Nexo Web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API protegida / scope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0f2d7cee-cabb-4482-900d-64fb07f5f81d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Activo</w:t>
            </w:r>
          </w:p>
        </w:tc>
      </w:tr>
    </w:tbl>
    <w:p>
      <w:r>
        <w:t>Tenant ID: 21a4bbb2-fc48-4053-a98e-b805aa2306cc</w:t>
      </w:r>
    </w:p>
    <w:p>
      <w:r>
        <w:t>Redirect URI SPA de desarrollo: http://localhost:4200</w:t>
      </w:r>
    </w:p>
    <w:p>
      <w:r>
        <w:t>Redirect URI SPA publicado: https://34.196.97.226.nip.io</w:t>
      </w:r>
    </w:p>
    <w:p>
      <w:r>
        <w:t>Scope: api://0f2d7cee-cabb-4482-900d-64fb07f5f81d/access_as_user</w:t>
      </w:r>
    </w:p>
    <w:p>
      <w:pPr>
        <w:pStyle w:val="Heading1"/>
        <w:spacing w:before="240" w:after="120"/>
      </w:pPr>
      <w:r>
        <w:t>2. Paso a paso realizado en Azure</w:t>
      </w:r>
    </w:p>
    <w:p>
      <w:r>
        <w:t>1. Se abrió Microsoft Azure &gt; Microsoft Entra ID &gt; App registrations y se confirmó el tenant Default Directory.</w:t>
      </w:r>
    </w:p>
    <w:p>
      <w:r>
        <w:t>2. Se creó la aplicación Nexo Web para representar la API protegida y se verificó su Application (client) ID.</w:t>
      </w:r>
    </w:p>
    <w:p>
      <w:r>
        <w:t>3. En Expose an API se configuró el Application ID URI con formato api://&lt;client-id&gt;.</w:t>
      </w:r>
    </w:p>
    <w:p>
      <w:r>
        <w:t>4. En Expose an API &gt; Add a scope se creó access_as_user como permiso delegado, con consentimiento para usuarios y administradores.</w:t>
      </w:r>
    </w:p>
    <w:p>
      <w:r>
        <w:t>5. Se creó Nexo Frontend como aplicación Single-page application (SPA), agregando http://localhost:4200 y la URI pública de EC2.</w:t>
      </w:r>
    </w:p>
    <w:p>
      <w:r>
        <w:t>6. En API permissions se agregó el permiso delegado de Nexo Web y se concedió consentimiento del tenant cuando Azure lo solicitó.</w:t>
      </w:r>
    </w:p>
    <w:p>
      <w:r>
        <w:t>7. Se revisaron Overview, Authentication, Certificates &amp; secrets y API permissions; Nexo Frontend no utiliza client secret porque es una SPA.</w:t>
      </w:r>
    </w:p>
    <w:p>
      <w:r>
        <w:t>8. Se eliminaron las App Registrations antiguas Pedidos360-API-BFF y Pedidos360-Frontend-Angular para evitar confundir client IDs y redirect URIs.</w:t>
      </w:r>
    </w:p>
    <w:p>
      <w:r>
        <w:t>9. Se actualizó environment.ts y la configuración de producción para usar tenant, client ID, authority, redirectUri y scope de Nexo.</w:t>
      </w:r>
    </w:p>
    <w:p>
      <w:r>
        <w:t>10. Después del cambio de IP elástica, se agregó nuevamente la URI pública de EC2 y se validó el botón Continuar con Microsoft en Brave/Chrome.</w:t>
      </w:r>
    </w:p>
    <w:p>
      <w:pPr>
        <w:pStyle w:val="Heading1"/>
        <w:spacing w:before="240" w:after="120"/>
      </w:pPr>
      <w:r>
        <w:t>3. Evidencia visual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o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Registro Nexo Frontend: SPA activa, tenant correcto y redirect URI configurado.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o-api-sco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Registro Nexo Web: Application ID URI y scope access_as_user habilitado.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zure-clean-nexo-onl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Lista final: solo permanecen Nexo Frontend y Nexo Web; Pedidos360 fue retirado.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xo-login-rend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visual de Nexo levantado en http://localhost:4200/login, con botón Continuar con Microsoft.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ogin-validation-erro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Validación en línea: correo con formato incorrecto y contraseña menor a 8 caracteres.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gin-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local exitoso: redirección a /home y datos del usuario autenticado.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69909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ssion-expired-ms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990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Caso de diagnóstico: sesión Microsoft expirada y necesidad de iniciar sesión nuevamente.</w:t>
      </w:r>
    </w:p>
    <w:p>
      <w:pPr>
        <w:pStyle w:val="Heading1"/>
        <w:spacing w:before="240" w:after="120"/>
      </w:pPr>
      <w:r>
        <w:t>4. Flujo de registro y login</w:t>
      </w:r>
    </w:p>
    <w:p>
      <w:r>
        <w:t>1. En /login, el usuario puede continuar con Microsoft o alternar al formulario de correo.</w:t>
      </w:r>
    </w:p>
    <w:p>
      <w:r>
        <w:t>2. El registro exige nombre, correo válido y contraseña de mínimo 8 caracteres. Los errores aparecen debajo del campo y el botón no envía formularios inválidos.</w:t>
      </w:r>
    </w:p>
    <w:p>
      <w:r>
        <w:t>3. El backend vuelve a validar el payload con Bean Validation, verifica que el correo no esté registrado y genera un JWT local al crear la cuenta.</w:t>
      </w:r>
    </w:p>
    <w:p>
      <w:r>
        <w:t>4. El login compara la contraseña recibida contra el hash BCrypt almacenado y entrega un JWT con issuer nexo-local y audience nexo-api.</w:t>
      </w:r>
    </w:p>
    <w:p>
      <w:r>
        <w:t>5. El interceptor adjunta Authorization: Bearer &lt;JWT&gt; a /api/users/me; la guarda permite /home solo con sesión válida.</w:t>
      </w:r>
    </w:p>
    <w:p>
      <w:r>
        <w:t>6. Microsoft Entra mantiene el flujo OAuth2/OIDC; sus tokens se validan con issuer, audience, firma y expiración mediante el Resource Server.</w:t>
      </w:r>
    </w:p>
    <w:p>
      <w:pPr>
        <w:pStyle w:val="Heading1"/>
        <w:spacing w:before="240" w:after="120"/>
      </w:pPr>
      <w:r>
        <w:t>5. Cambios en el frontend</w:t>
      </w:r>
    </w:p>
    <w:p>
      <w:r>
        <w:t>El frontend incluye formularios reactivos, validación visual accesible, interceptor para JWT local, interceptor MSAL condicionado a cuentas Microsoft, guardas compatibles con ambos métodos y las rutas /login, /home y /profile.</w:t>
      </w:r>
    </w:p>
    <w:p>
      <w:r>
        <w:t>Archivo actualizado: frontend/src/environments/environment.ts</w:t>
      </w:r>
    </w:p>
    <w:p>
      <w:r>
        <w:t>La configuración de producción usa los valores cloud recuperados en la EC2; no se versiona dentro de este repositorio para evitar exponer configuración sensible. No se inventaron credenciales ni se guardaron secretos.</w:t>
      </w:r>
    </w:p>
    <w:p>
      <w:pPr>
        <w:pStyle w:val="Heading1"/>
        <w:spacing w:before="240" w:after="120"/>
      </w:pPr>
      <w:r>
        <w:t>6. Persistencia y seguridad de datos</w:t>
      </w:r>
    </w:p>
    <w:p>
      <w:r>
        <w:t>La migración V5 agrega password_hash y permite identity_provider=LOCAL. La migración V6 elimina la restricción histórica incompatible con usuarios locales. La tabla nexo.users conserva el email, username, display_name, estado y timestamps; password_hash contiene únicamente un hash BCrypt y nunca la contraseña original.</w:t>
      </w:r>
    </w:p>
    <w:p>
      <w:r>
        <w:t>Consulta de verificación ejecutada en PostgreSQL: SELECT email, identity_provider, password_hash IS NOT NULL FROM nexo.users WHERE lower(email) = 'jor.vergaras@duocuc.cl'; Resultado: usuario LOCAL y hash presente. No se registran contraseñas en logs ni en el documento.</w:t>
      </w:r>
    </w:p>
    <w:p>
      <w:pPr>
        <w:pStyle w:val="Heading1"/>
        <w:spacing w:before="240" w:after="120"/>
      </w:pPr>
      <w:r>
        <w:t>7. Verificaciones ejecutadas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Validación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Prettier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npm run format:check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Compilación backend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backend/mvnw.cmd -DskipTests compile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 con Java 21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Build Angular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npm run build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warning de presupuesto inicial por MSAL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API registro/login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POST /api/auth/register y POST /api/auth/login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JWT emitido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protegida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GET /api/users/me con Bearer JWT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200; usuario persistido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visual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Navegador local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errores y redirección /home verificados</w:t>
            </w:r>
          </w:p>
        </w:tc>
      </w:tr>
    </w:tbl>
    <w:p>
      <w:pPr>
        <w:pStyle w:val="Heading1"/>
        <w:spacing w:before="240" w:after="120"/>
      </w:pPr>
      <w:r>
        <w:t>8. Ejecución local</w:t>
      </w:r>
    </w:p>
    <w:p>
      <w:r>
        <w:t>1) Iniciar PostgreSQL: docker compose up -d. 2) Iniciar backend: backend\mvnw.cmd spring-boot:run. 3) Iniciar frontend: npm start. 4) Abrir http://127.0.0.1:4200/login. 5) Para Microsoft, completar el consentimiento de la API Nexo en el tenant si Azure lo solicita.</w:t>
      </w:r>
    </w:p>
    <w:p>
      <w:pPr>
        <w:pStyle w:val="Heading1"/>
        <w:spacing w:before="240" w:after="120"/>
      </w:pPr>
      <w:r>
        <w:t>9. Publicación en EC2 y comprobación de Azure</w:t>
      </w:r>
    </w:p>
    <w:p>
      <w:r>
        <w:t>1. Se publicó la rama feat/experiencia-multimedia en la instancia académica nexo-backend-academico de us-east-1.</w:t>
      </w:r>
    </w:p>
    <w:p>
      <w:r>
        <w:t>2. Se reconstruyó el frontend Angular y se reinició el contenedor web con Docker. El backend quedó en el contenedor nexo-backend con restart: always.</w:t>
      </w:r>
    </w:p>
    <w:p>
      <w:r>
        <w:t>3. La aplicación pública quedó disponible en https://34.196.97.226.nip.io/. Se verificaron respuestas HTTP 200 para / y /login.</w:t>
      </w:r>
    </w:p>
    <w:p>
      <w:r>
        <w:t>4. El readiness interno del backend respondió {"status":"UP"}. La configuración de MSAL se conservó fuera del repositorio para no publicar secretos.</w:t>
      </w:r>
    </w:p>
    <w:p>
      <w:r>
        <w:t>5. Para validar Azure: abrir la URL pública, seleccionar Continuar con Microsoft, autenticarse con una cuenta permitida, aceptar el consentimiento si aparece y confirmar la redirección a /home.</w:t>
      </w:r>
    </w:p>
    <w:p>
      <w:r>
        <w:t>6. Si aparece un error de tenant, revisar que la cuenta exista en el tenant, que la URI usada coincida exactamente con Authentication y que el scope api://.../access_as_user esté concedido.</w:t>
      </w:r>
    </w:p>
    <w:p>
      <w:pPr>
        <w:pStyle w:val="Heading1"/>
        <w:spacing w:before="240" w:after="120"/>
      </w:pPr>
      <w:r>
        <w:t>10. Pantalla completa y compatibilidad móvil</w:t>
      </w:r>
    </w:p>
    <w:p>
      <w:r>
        <w:t>El visor mantiene el mismo elemento de video y la misma conexión LiveKit al entrar o salir de pantalla completa. Para Android se agregó sincronización del ancho y alto reales del viewport en resize y orientationchange, con un frame adicional después del giro para esperar a que el navegador actualice sus dimensiones. Si el navegador rechaza requestFullscreen, se utiliza un fallback fijo que ocupa todo el viewport sin cortar la transmisión.</w:t>
      </w:r>
    </w:p>
    <w:p>
      <w:r>
        <w:t>La captura de sonido del sistema sigue dependiendo del navegador y de la fuente seleccionada. En PC, Chrome y Edge ofrecen la compatibilidad más completa; en móviles la reproducción es compatible, pero la captura del audio del sistema puede estar limitada por Android, iOS o el navegador.</w:t>
      </w:r>
    </w:p>
    <w:p>
      <w:pPr>
        <w:pStyle w:val="Heading1"/>
        <w:spacing w:before="240" w:after="120"/>
      </w:pPr>
      <w:r>
        <w:t>11. Seguridad y límites de la evidencia</w:t>
      </w:r>
    </w:p>
    <w:p>
      <w:r>
        <w:t>MSAL obtiene los tokens de Microsoft Entra mediante OAuth2/OIDC y el interceptor los adjunta a las solicitudes protegidas. El backend valida issuer, audience, firma y expiración del JWT. El client ID y el tenant ID son identificadores públicos; los secretos, contraseñas y tokens no se guardan en el repositorio ni en este documento.</w:t>
      </w:r>
    </w:p>
    <w:p>
      <w:r>
        <w:t>La URI nip.io es temporal y depende de la IP pública/elástica de la instancia. Para un despliegue real se recomienda dominio propio, HTTPS con certificado administrado, API Gateway con JWT Authorizer y rotación de secretos. La validación descrita corresponde al alcance académico operativo.</w:t>
      </w:r>
    </w:p>
    <w:p>
      <w:pPr>
        <w:pStyle w:val="Heading1"/>
        <w:spacing w:before="240" w:after="120"/>
      </w:pPr>
      <w:r>
        <w:t>12. Galería de capturas: MSAL, JWT y reflejo en Nexo</w:t>
      </w:r>
    </w:p>
    <w:p>
      <w:r>
        <w:t>Esta sección reúne únicamente capturas de la configuración y del comportamiento visible de la aplicación. El JWT completo no se muestra por seguridad: la evidencia se limita a la configuración del scope, la sesión autenticada y el resultado que Nexo recibe después de la validación.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o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MSAL/Entra: registro Nexo Frontend activo, tenant y aplicación SPA configurada.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o-api-sco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JWT/claims: Nexo Web expone el scope access_as_user que se solicita al access token.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xo-login-rend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Aplicación: pantalla de acceso Nexo con el botón Continuar con Microsoft.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gin-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Aplicación: retorno autenticado a Nexo; la interfaz identifica la sesión con Microsoft Entra 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69909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ssion-expired-ms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990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MSAL: estado visible cuando la sesión expira y Nexo solicita iniciar sesión nuevamente.</w:t>
      </w:r>
    </w:p>
    <w:sectPr w:rsidR="00FC693F" w:rsidRPr="0006063C" w:rsidSect="00034616">
      <w:footerReference w:type="default" r:id="rId16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Nexo — Evidencia de configuración frontend y Azure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