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spacing w:after="160"/>
        <w:jc w:val="center"/>
      </w:pPr>
      <w:r>
        <w:rPr>
          <w:rFonts w:ascii="Arial" w:hAnsi="Arial"/>
          <w:b/>
          <w:i w:val="0"/>
          <w:color w:val="1F3A8A"/>
          <w:sz w:val="56"/>
        </w:rPr>
        <w:t>ECOMONITOR INDUSTRIAL</w:t>
      </w:r>
    </w:p>
    <w:p>
      <w:pPr>
        <w:spacing w:after="80"/>
        <w:jc w:val="center"/>
      </w:pPr>
      <w:r>
        <w:rPr>
          <w:rFonts w:ascii="Arial" w:hAnsi="Arial"/>
          <w:b w:val="0"/>
          <w:i w:val="0"/>
          <w:color w:val="64748B"/>
          <w:sz w:val="32"/>
        </w:rPr>
        <w:t>Sistema de monitoreo ambiental y energético</w:t>
      </w:r>
    </w:p>
    <w:p>
      <w:pPr>
        <w:spacing w:after="800"/>
        <w:jc w:val="center"/>
      </w:pPr>
      <w:r>
        <w:rPr>
          <w:rFonts w:ascii="Arial" w:hAnsi="Arial"/>
          <w:b w:val="0"/>
          <w:i w:val="0"/>
          <w:color w:val="64748B"/>
          <w:sz w:val="32"/>
        </w:rPr>
        <w:t>para plantas industriales</w:t>
      </w:r>
    </w:p>
    <w:p>
      <w:pPr>
        <w:spacing w:after="160"/>
        <w:jc w:val="center"/>
      </w:pPr>
      <w:r>
        <w:rPr>
          <w:rFonts w:ascii="Arial" w:hAnsi="Arial"/>
          <w:b/>
          <w:i w:val="0"/>
          <w:sz w:val="36"/>
        </w:rPr>
        <w:t>Documento de Análisis</w:t>
      </w:r>
    </w:p>
    <w:p>
      <w:pPr>
        <w:spacing w:after="400"/>
        <w:jc w:val="center"/>
      </w:pPr>
      <w:r>
        <w:rPr>
          <w:rFonts w:ascii="Arial" w:hAnsi="Arial"/>
          <w:b w:val="0"/>
          <w:i w:val="0"/>
          <w:color w:val="64748B"/>
          <w:sz w:val="24"/>
        </w:rPr>
        <w:t>Versión 1.0 · Mayo 2026</w:t>
      </w:r>
    </w:p>
    <w:p>
      <w:pPr>
        <w:spacing w:after="80"/>
        <w:jc w:val="center"/>
      </w:pPr>
      <w:r>
        <w:rPr>
          <w:rFonts w:ascii="Arial" w:hAnsi="Arial"/>
          <w:b w:val="0"/>
          <w:i w:val="0"/>
          <w:sz w:val="24"/>
        </w:rPr>
        <w:t>Autor: Jorge Azuniga</w:t>
      </w:r>
    </w:p>
    <w:p>
      <w:pPr>
        <w:spacing w:after="80"/>
        <w:jc w:val="center"/>
      </w:pPr>
      <w:r>
        <w:rPr>
          <w:rFonts w:ascii="Arial" w:hAnsi="Arial"/>
          <w:b w:val="0"/>
          <w:i/>
          <w:color w:val="64748B"/>
          <w:sz w:val="24"/>
        </w:rPr>
        <w:t>Ingeniería de Software</w:t>
      </w:r>
    </w:p>
    <w:p>
      <w:r>
        <w:br w:type="page"/>
      </w:r>
    </w:p>
    <w:p>
      <w:pPr>
        <w:spacing w:before="280" w:after="120"/>
      </w:pPr>
      <w:r>
        <w:rPr>
          <w:rFonts w:ascii="Arial" w:hAnsi="Arial"/>
          <w:b/>
          <w:color w:val="1F3A8A"/>
          <w:sz w:val="36"/>
        </w:rPr>
        <w:t>1. Descripción del problema</w:t>
      </w:r>
    </w:p>
    <w:p>
      <w:pPr>
        <w:spacing w:after="80"/>
      </w:pPr>
      <w:r>
        <w:rPr>
          <w:rFonts w:ascii="Arial" w:hAnsi="Arial"/>
          <w:b w:val="0"/>
          <w:i w:val="0"/>
          <w:sz w:val="22"/>
        </w:rPr>
        <w:t>Las plantas industriales del sector metal-mecánico en Guanajuato enfrentan dos retos críticos en su operación diaria: el cumplimiento de la normativa ambiental (SEMARNAT, PROFEPA) y la eficiencia en el uso de energía y agua (CONUEE). Actualmente, gran parte del monitoreo se hace de forma manual: los operadores registran lecturas en hojas de cálculo, las anomalías se detectan tarde y los reportes para auditorías se preparan a contrarreloj. Esto genera el riesgo de incurrir en multas por descargas fuera de norma o por desviaciones energéticas que no se detectan a tiempo.</w:t>
      </w:r>
    </w:p>
    <w:p>
      <w:pPr>
        <w:spacing w:after="80"/>
      </w:pPr>
      <w:r>
        <w:rPr>
          <w:rFonts w:ascii="Arial" w:hAnsi="Arial"/>
          <w:b w:val="0"/>
          <w:i w:val="0"/>
          <w:sz w:val="22"/>
        </w:rPr>
        <w:t>EcoMonitor Industrial resuelve este problema centralizando las lecturas de sensores ambientales y energéticos en una sola plataforma, detectando automáticamente cuando un valor supera el umbral permitido y generando reportes imprimibles listos para auditoría.</w:t>
      </w:r>
    </w:p>
    <w:p>
      <w:pPr>
        <w:spacing w:before="280" w:after="120"/>
      </w:pPr>
      <w:r>
        <w:rPr>
          <w:rFonts w:ascii="Arial" w:hAnsi="Arial"/>
          <w:b/>
          <w:color w:val="1F3A8A"/>
          <w:sz w:val="36"/>
        </w:rPr>
        <w:t>2. Objetivos</w:t>
      </w:r>
    </w:p>
    <w:p>
      <w:pPr>
        <w:spacing w:after="80"/>
      </w:pPr>
      <w:r>
        <w:rPr>
          <w:rFonts w:ascii="Arial" w:hAnsi="Arial"/>
          <w:b/>
          <w:i w:val="0"/>
          <w:sz w:val="24"/>
        </w:rPr>
        <w:t>Objetivo general</w:t>
      </w:r>
    </w:p>
    <w:p>
      <w:pPr>
        <w:spacing w:after="80"/>
      </w:pPr>
      <w:r>
        <w:rPr>
          <w:rFonts w:ascii="Arial" w:hAnsi="Arial"/>
          <w:b w:val="0"/>
          <w:i w:val="0"/>
          <w:sz w:val="22"/>
        </w:rPr>
        <w:t>Desarrollar un sistema web que permita registrar, monitorear y reportar el consumo energético, hídrico y el cumplimiento normativo de una planta industrial, generando alertas automáticas cuando los valores excedan los umbrales configurados.</w:t>
      </w:r>
    </w:p>
    <w:p>
      <w:pPr>
        <w:spacing w:after="80"/>
      </w:pPr>
      <w:r>
        <w:rPr>
          <w:rFonts w:ascii="Arial" w:hAnsi="Arial"/>
          <w:b/>
          <w:i w:val="0"/>
          <w:sz w:val="24"/>
        </w:rPr>
        <w:t>Objetivos específicos</w:t>
      </w:r>
    </w:p>
    <w:p>
      <w:pPr>
        <w:pStyle w:val="ListBullet"/>
      </w:pPr>
      <w:r>
        <w:t>Implementar una API REST con autenticación basada en roles que registre y consulte lecturas de sensores.</w:t>
      </w:r>
    </w:p>
    <w:p>
      <w:pPr>
        <w:pStyle w:val="ListBullet"/>
      </w:pPr>
      <w:r>
        <w:t>Diseñar una base de datos en MongoDB que almacene usuarios, lecturas, alertas y obligaciones normativas.</w:t>
      </w:r>
    </w:p>
    <w:p>
      <w:pPr>
        <w:pStyle w:val="ListBullet"/>
      </w:pPr>
      <w:r>
        <w:t>Construir un dashboard web que visualice las métricas clave de las últimas 24 horas mediante gráficas y tablas.</w:t>
      </w:r>
    </w:p>
    <w:p>
      <w:pPr>
        <w:pStyle w:val="ListBullet"/>
      </w:pPr>
      <w:r>
        <w:t>Generar un reporte consolidado imprimible que sirva como evidencia ante autoridades reguladoras.</w:t>
      </w:r>
    </w:p>
    <w:p>
      <w:pPr>
        <w:spacing w:before="280" w:after="120"/>
      </w:pPr>
      <w:r>
        <w:rPr>
          <w:rFonts w:ascii="Arial" w:hAnsi="Arial"/>
          <w:b/>
          <w:color w:val="1F3A8A"/>
          <w:sz w:val="36"/>
        </w:rPr>
        <w:t>3. Usuarios objetivo</w:t>
      </w:r>
    </w:p>
    <w:p>
      <w:pPr>
        <w:spacing w:after="80"/>
      </w:pPr>
      <w:r>
        <w:rPr>
          <w:rFonts w:ascii="Arial" w:hAnsi="Arial"/>
          <w:b w:val="0"/>
          <w:i w:val="0"/>
          <w:sz w:val="22"/>
        </w:rPr>
        <w:t>El sistema considera tres perfiles de usuario, alineados con la operación típica de una planta industrial:</w:t>
      </w:r>
    </w:p>
    <w:p>
      <w:pPr>
        <w:spacing w:after="80"/>
      </w:pPr>
      <w:r>
        <w:rPr>
          <w:rFonts w:ascii="Arial" w:hAnsi="Arial"/>
          <w:b/>
          <w:i w:val="0"/>
          <w:sz w:val="24"/>
        </w:rPr>
        <w:t>Operador</w:t>
      </w:r>
    </w:p>
    <w:p>
      <w:pPr>
        <w:spacing w:after="80"/>
      </w:pPr>
      <w:r>
        <w:rPr>
          <w:rFonts w:ascii="Arial" w:hAnsi="Arial"/>
          <w:b w:val="0"/>
          <w:i w:val="0"/>
          <w:sz w:val="22"/>
        </w:rPr>
        <w:t>Personal de planta encargado de monitorear el funcionamiento diario. Consulta el dashboard, registra lecturas manuales cuando es necesario y atiende alertas en tiempo real.</w:t>
      </w:r>
    </w:p>
    <w:p>
      <w:pPr>
        <w:spacing w:after="80"/>
      </w:pPr>
      <w:r>
        <w:rPr>
          <w:rFonts w:ascii="Arial" w:hAnsi="Arial"/>
          <w:b/>
          <w:i w:val="0"/>
          <w:sz w:val="24"/>
        </w:rPr>
        <w:t>Administrador</w:t>
      </w:r>
    </w:p>
    <w:p>
      <w:pPr>
        <w:spacing w:after="80"/>
      </w:pPr>
      <w:r>
        <w:rPr>
          <w:rFonts w:ascii="Arial" w:hAnsi="Arial"/>
          <w:b w:val="0"/>
          <w:i w:val="0"/>
          <w:sz w:val="22"/>
        </w:rPr>
        <w:t>Coordinador de operaciones o jefe de planta. Gestiona usuarios, umbrales y obligaciones normativas. Tiene acceso a todas las funcionalidades del sistema.</w:t>
      </w:r>
    </w:p>
    <w:p>
      <w:pPr>
        <w:spacing w:after="80"/>
      </w:pPr>
      <w:r>
        <w:rPr>
          <w:rFonts w:ascii="Arial" w:hAnsi="Arial"/>
          <w:b/>
          <w:i w:val="0"/>
          <w:sz w:val="24"/>
        </w:rPr>
        <w:t>Auditor</w:t>
      </w:r>
    </w:p>
    <w:p>
      <w:pPr>
        <w:spacing w:after="80"/>
      </w:pPr>
      <w:r>
        <w:rPr>
          <w:rFonts w:ascii="Arial" w:hAnsi="Arial"/>
          <w:b w:val="0"/>
          <w:i w:val="0"/>
          <w:sz w:val="22"/>
        </w:rPr>
        <w:t>Personal interno o externo encargado de verificar el cumplimiento normativo. Solo tiene permisos de lectura y de generación de reportes.</w:t>
      </w:r>
    </w:p>
    <w:p>
      <w:pPr>
        <w:spacing w:before="280" w:after="120"/>
      </w:pPr>
      <w:r>
        <w:rPr>
          <w:rFonts w:ascii="Arial" w:hAnsi="Arial"/>
          <w:b/>
          <w:color w:val="1F3A8A"/>
          <w:sz w:val="36"/>
        </w:rPr>
        <w:t>4. Requerimientos funcionales</w:t>
      </w:r>
    </w:p>
    <w:p>
      <w:pPr>
        <w:spacing w:after="80"/>
      </w:pPr>
      <w:r>
        <w:rPr>
          <w:rFonts w:ascii="Arial" w:hAnsi="Arial"/>
          <w:b w:val="0"/>
          <w:i w:val="0"/>
          <w:sz w:val="22"/>
        </w:rPr>
        <w:t>Se definen 8 requerimientos funcionales en formato estándar RF-NN: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1134"/>
            <w:shd w:val="clear" w:color="auto" w:fill="1F3A8A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ID</w:t>
            </w:r>
          </w:p>
        </w:tc>
        <w:tc>
          <w:tcPr>
            <w:tcW w:type="dxa" w:w="2268"/>
            <w:shd w:val="clear" w:color="auto" w:fill="1F3A8A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Nombre</w:t>
            </w:r>
          </w:p>
        </w:tc>
        <w:tc>
          <w:tcPr>
            <w:tcW w:type="dxa" w:w="5669"/>
            <w:shd w:val="clear" w:color="auto" w:fill="1F3A8A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Descripción</w:t>
            </w:r>
          </w:p>
        </w:tc>
      </w:tr>
      <w:tr>
        <w:tc>
          <w:tcPr>
            <w:tcW w:type="dxa" w:w="1134"/>
            <w:vAlign w:val="center"/>
          </w:tcPr>
          <w:p>
            <w:r/>
            <w:r>
              <w:rPr>
                <w:rFonts w:ascii="Arial" w:hAnsi="Arial"/>
                <w:b/>
                <w:sz w:val="20"/>
              </w:rPr>
              <w:t>RF-01</w:t>
            </w:r>
          </w:p>
        </w:tc>
        <w:tc>
          <w:tcPr>
            <w:tcW w:type="dxa" w:w="2268"/>
            <w:vAlign w:val="center"/>
          </w:tcPr>
          <w:p>
            <w:r/>
            <w:r>
              <w:rPr>
                <w:rFonts w:ascii="Arial" w:hAnsi="Arial"/>
                <w:b/>
                <w:sz w:val="20"/>
              </w:rPr>
              <w:t>Autenticación de usuarios</w:t>
            </w:r>
          </w:p>
        </w:tc>
        <w:tc>
          <w:tcPr>
            <w:tcW w:type="dxa" w:w="5669"/>
            <w:vAlign w:val="center"/>
          </w:tcPr>
          <w:p>
            <w:r/>
            <w:r>
              <w:rPr>
                <w:rFonts w:ascii="Arial" w:hAnsi="Arial"/>
                <w:sz w:val="20"/>
              </w:rPr>
              <w:t>El sistema debe permitir iniciar sesión con correo y contraseña, devolviendo un token JWT con el rol del usuario.</w:t>
            </w:r>
          </w:p>
        </w:tc>
      </w:tr>
      <w:tr>
        <w:tc>
          <w:tcPr>
            <w:tcW w:type="dxa" w:w="1134"/>
            <w:vAlign w:val="center"/>
          </w:tcPr>
          <w:p>
            <w:r/>
            <w:r>
              <w:rPr>
                <w:rFonts w:ascii="Arial" w:hAnsi="Arial"/>
                <w:b/>
                <w:sz w:val="20"/>
              </w:rPr>
              <w:t>RF-02</w:t>
            </w:r>
          </w:p>
        </w:tc>
        <w:tc>
          <w:tcPr>
            <w:tcW w:type="dxa" w:w="2268"/>
            <w:vAlign w:val="center"/>
          </w:tcPr>
          <w:p>
            <w:r/>
            <w:r>
              <w:rPr>
                <w:rFonts w:ascii="Arial" w:hAnsi="Arial"/>
                <w:b/>
                <w:sz w:val="20"/>
              </w:rPr>
              <w:t>Gestión de roles</w:t>
            </w:r>
          </w:p>
        </w:tc>
        <w:tc>
          <w:tcPr>
            <w:tcW w:type="dxa" w:w="5669"/>
            <w:vAlign w:val="center"/>
          </w:tcPr>
          <w:p>
            <w:r/>
            <w:r>
              <w:rPr>
                <w:rFonts w:ascii="Arial" w:hAnsi="Arial"/>
                <w:sz w:val="20"/>
              </w:rPr>
              <w:t>El sistema debe distinguir entre tres roles (administrador, operador, auditor) y restringir acciones según los permisos asociados.</w:t>
            </w:r>
          </w:p>
        </w:tc>
      </w:tr>
      <w:tr>
        <w:tc>
          <w:tcPr>
            <w:tcW w:type="dxa" w:w="1134"/>
            <w:vAlign w:val="center"/>
          </w:tcPr>
          <w:p>
            <w:r/>
            <w:r>
              <w:rPr>
                <w:rFonts w:ascii="Arial" w:hAnsi="Arial"/>
                <w:b/>
                <w:sz w:val="20"/>
              </w:rPr>
              <w:t>RF-03</w:t>
            </w:r>
          </w:p>
        </w:tc>
        <w:tc>
          <w:tcPr>
            <w:tcW w:type="dxa" w:w="2268"/>
            <w:vAlign w:val="center"/>
          </w:tcPr>
          <w:p>
            <w:r/>
            <w:r>
              <w:rPr>
                <w:rFonts w:ascii="Arial" w:hAnsi="Arial"/>
                <w:b/>
                <w:sz w:val="20"/>
              </w:rPr>
              <w:t>Registro de lecturas de energía</w:t>
            </w:r>
          </w:p>
        </w:tc>
        <w:tc>
          <w:tcPr>
            <w:tcW w:type="dxa" w:w="5669"/>
            <w:vAlign w:val="center"/>
          </w:tcPr>
          <w:p>
            <w:r/>
            <w:r>
              <w:rPr>
                <w:rFonts w:ascii="Arial" w:hAnsi="Arial"/>
                <w:sz w:val="20"/>
              </w:rPr>
              <w:t>El sistema debe permitir registrar lecturas de consumo eléctrico (kWh) por sensor y por área de la planta.</w:t>
            </w:r>
          </w:p>
        </w:tc>
      </w:tr>
      <w:tr>
        <w:tc>
          <w:tcPr>
            <w:tcW w:type="dxa" w:w="1134"/>
            <w:vAlign w:val="center"/>
          </w:tcPr>
          <w:p>
            <w:r/>
            <w:r>
              <w:rPr>
                <w:rFonts w:ascii="Arial" w:hAnsi="Arial"/>
                <w:b/>
                <w:sz w:val="20"/>
              </w:rPr>
              <w:t>RF-04</w:t>
            </w:r>
          </w:p>
        </w:tc>
        <w:tc>
          <w:tcPr>
            <w:tcW w:type="dxa" w:w="2268"/>
            <w:vAlign w:val="center"/>
          </w:tcPr>
          <w:p>
            <w:r/>
            <w:r>
              <w:rPr>
                <w:rFonts w:ascii="Arial" w:hAnsi="Arial"/>
                <w:b/>
                <w:sz w:val="20"/>
              </w:rPr>
              <w:t>Registro de lecturas de agua</w:t>
            </w:r>
          </w:p>
        </w:tc>
        <w:tc>
          <w:tcPr>
            <w:tcW w:type="dxa" w:w="5669"/>
            <w:vAlign w:val="center"/>
          </w:tcPr>
          <w:p>
            <w:r/>
            <w:r>
              <w:rPr>
                <w:rFonts w:ascii="Arial" w:hAnsi="Arial"/>
                <w:sz w:val="20"/>
              </w:rPr>
              <w:t>El sistema debe permitir registrar lecturas de consumo hídrico (m³) y nivel de pH por sensor y área.</w:t>
            </w:r>
          </w:p>
        </w:tc>
      </w:tr>
      <w:tr>
        <w:tc>
          <w:tcPr>
            <w:tcW w:type="dxa" w:w="1134"/>
            <w:vAlign w:val="center"/>
          </w:tcPr>
          <w:p>
            <w:r/>
            <w:r>
              <w:rPr>
                <w:rFonts w:ascii="Arial" w:hAnsi="Arial"/>
                <w:b/>
                <w:sz w:val="20"/>
              </w:rPr>
              <w:t>RF-05</w:t>
            </w:r>
          </w:p>
        </w:tc>
        <w:tc>
          <w:tcPr>
            <w:tcW w:type="dxa" w:w="2268"/>
            <w:vAlign w:val="center"/>
          </w:tcPr>
          <w:p>
            <w:r/>
            <w:r>
              <w:rPr>
                <w:rFonts w:ascii="Arial" w:hAnsi="Arial"/>
                <w:b/>
                <w:sz w:val="20"/>
              </w:rPr>
              <w:t>Generación automática de alertas</w:t>
            </w:r>
          </w:p>
        </w:tc>
        <w:tc>
          <w:tcPr>
            <w:tcW w:type="dxa" w:w="5669"/>
            <w:vAlign w:val="center"/>
          </w:tcPr>
          <w:p>
            <w:r/>
            <w:r>
              <w:rPr>
                <w:rFonts w:ascii="Arial" w:hAnsi="Arial"/>
                <w:sz w:val="20"/>
              </w:rPr>
              <w:t>El sistema debe generar una alerta crítica cuando un valor exceda el 100% del umbral, y una advertencia cuando supere el 85%.</w:t>
            </w:r>
          </w:p>
        </w:tc>
      </w:tr>
      <w:tr>
        <w:tc>
          <w:tcPr>
            <w:tcW w:type="dxa" w:w="1134"/>
            <w:vAlign w:val="center"/>
          </w:tcPr>
          <w:p>
            <w:r/>
            <w:r>
              <w:rPr>
                <w:rFonts w:ascii="Arial" w:hAnsi="Arial"/>
                <w:b/>
                <w:sz w:val="20"/>
              </w:rPr>
              <w:t>RF-06</w:t>
            </w:r>
          </w:p>
        </w:tc>
        <w:tc>
          <w:tcPr>
            <w:tcW w:type="dxa" w:w="2268"/>
            <w:vAlign w:val="center"/>
          </w:tcPr>
          <w:p>
            <w:r/>
            <w:r>
              <w:rPr>
                <w:rFonts w:ascii="Arial" w:hAnsi="Arial"/>
                <w:b/>
                <w:sz w:val="20"/>
              </w:rPr>
              <w:t>Visualización de dashboard</w:t>
            </w:r>
          </w:p>
        </w:tc>
        <w:tc>
          <w:tcPr>
            <w:tcW w:type="dxa" w:w="5669"/>
            <w:vAlign w:val="center"/>
          </w:tcPr>
          <w:p>
            <w:r/>
            <w:r>
              <w:rPr>
                <w:rFonts w:ascii="Arial" w:hAnsi="Arial"/>
                <w:sz w:val="20"/>
              </w:rPr>
              <w:t>El sistema debe mostrar un panel con KPIs, gráficas de consumo y tabla de alertas recientes de las últimas 24 horas.</w:t>
            </w:r>
          </w:p>
        </w:tc>
      </w:tr>
      <w:tr>
        <w:tc>
          <w:tcPr>
            <w:tcW w:type="dxa" w:w="1134"/>
            <w:vAlign w:val="center"/>
          </w:tcPr>
          <w:p>
            <w:r/>
            <w:r>
              <w:rPr>
                <w:rFonts w:ascii="Arial" w:hAnsi="Arial"/>
                <w:b/>
                <w:sz w:val="20"/>
              </w:rPr>
              <w:t>RF-07</w:t>
            </w:r>
          </w:p>
        </w:tc>
        <w:tc>
          <w:tcPr>
            <w:tcW w:type="dxa" w:w="2268"/>
            <w:vAlign w:val="center"/>
          </w:tcPr>
          <w:p>
            <w:r/>
            <w:r>
              <w:rPr>
                <w:rFonts w:ascii="Arial" w:hAnsi="Arial"/>
                <w:b/>
                <w:sz w:val="20"/>
              </w:rPr>
              <w:t>Consulta de obligaciones normativas</w:t>
            </w:r>
          </w:p>
        </w:tc>
        <w:tc>
          <w:tcPr>
            <w:tcW w:type="dxa" w:w="5669"/>
            <w:vAlign w:val="center"/>
          </w:tcPr>
          <w:p>
            <w:r/>
            <w:r>
              <w:rPr>
                <w:rFonts w:ascii="Arial" w:hAnsi="Arial"/>
                <w:sz w:val="20"/>
              </w:rPr>
              <w:t>El sistema debe listar las obligaciones de SEMARNAT, PROFEPA y CONUEE con su estado de cumplimiento (al corriente, en riesgo, vencida).</w:t>
            </w:r>
          </w:p>
        </w:tc>
      </w:tr>
      <w:tr>
        <w:tc>
          <w:tcPr>
            <w:tcW w:type="dxa" w:w="1134"/>
            <w:vAlign w:val="center"/>
          </w:tcPr>
          <w:p>
            <w:r/>
            <w:r>
              <w:rPr>
                <w:rFonts w:ascii="Arial" w:hAnsi="Arial"/>
                <w:b/>
                <w:sz w:val="20"/>
              </w:rPr>
              <w:t>RF-08</w:t>
            </w:r>
          </w:p>
        </w:tc>
        <w:tc>
          <w:tcPr>
            <w:tcW w:type="dxa" w:w="2268"/>
            <w:vAlign w:val="center"/>
          </w:tcPr>
          <w:p>
            <w:r/>
            <w:r>
              <w:rPr>
                <w:rFonts w:ascii="Arial" w:hAnsi="Arial"/>
                <w:b/>
                <w:sz w:val="20"/>
              </w:rPr>
              <w:t>Reporte imprimible de métricas</w:t>
            </w:r>
          </w:p>
        </w:tc>
        <w:tc>
          <w:tcPr>
            <w:tcW w:type="dxa" w:w="5669"/>
            <w:vAlign w:val="center"/>
          </w:tcPr>
          <w:p>
            <w:r/>
            <w:r>
              <w:rPr>
                <w:rFonts w:ascii="Arial" w:hAnsi="Arial"/>
                <w:sz w:val="20"/>
              </w:rPr>
              <w:t>El sistema debe generar un reporte consolidado de métricas (energía, agua, alertas, cumplimiento) que pueda imprimirse o exportarse a PDF.</w:t>
            </w:r>
          </w:p>
        </w:tc>
      </w:tr>
    </w:tbl>
    <w:p>
      <w:pPr>
        <w:spacing w:before="280" w:after="120"/>
      </w:pPr>
      <w:r>
        <w:rPr>
          <w:rFonts w:ascii="Arial" w:hAnsi="Arial"/>
          <w:b/>
          <w:color w:val="1F3A8A"/>
          <w:sz w:val="36"/>
        </w:rPr>
        <w:t>5. Requerimientos no funcionales</w:t>
      </w:r>
    </w:p>
    <w:p>
      <w:pPr>
        <w:spacing w:after="80"/>
      </w:pPr>
      <w:r>
        <w:rPr>
          <w:rFonts w:ascii="Arial" w:hAnsi="Arial"/>
          <w:b w:val="0"/>
          <w:i w:val="0"/>
          <w:sz w:val="22"/>
        </w:rPr>
        <w:t>Se definen 5 requerimientos no funcionales en formato estándar RNF-NN: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1134"/>
            <w:shd w:val="clear" w:color="auto" w:fill="1F3A8A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ID</w:t>
            </w:r>
          </w:p>
        </w:tc>
        <w:tc>
          <w:tcPr>
            <w:tcW w:type="dxa" w:w="2268"/>
            <w:shd w:val="clear" w:color="auto" w:fill="1F3A8A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Nombre</w:t>
            </w:r>
          </w:p>
        </w:tc>
        <w:tc>
          <w:tcPr>
            <w:tcW w:type="dxa" w:w="5669"/>
            <w:shd w:val="clear" w:color="auto" w:fill="1F3A8A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Descripción</w:t>
            </w:r>
          </w:p>
        </w:tc>
      </w:tr>
      <w:tr>
        <w:tc>
          <w:tcPr>
            <w:tcW w:type="dxa" w:w="1134"/>
            <w:vAlign w:val="center"/>
          </w:tcPr>
          <w:p>
            <w:r/>
            <w:r>
              <w:rPr>
                <w:rFonts w:ascii="Arial" w:hAnsi="Arial"/>
                <w:b/>
                <w:sz w:val="20"/>
              </w:rPr>
              <w:t>RNF-01</w:t>
            </w:r>
          </w:p>
        </w:tc>
        <w:tc>
          <w:tcPr>
            <w:tcW w:type="dxa" w:w="2268"/>
            <w:vAlign w:val="center"/>
          </w:tcPr>
          <w:p>
            <w:r/>
            <w:r>
              <w:rPr>
                <w:rFonts w:ascii="Arial" w:hAnsi="Arial"/>
                <w:b/>
                <w:sz w:val="20"/>
              </w:rPr>
              <w:t>Tiempo de respuesta</w:t>
            </w:r>
          </w:p>
        </w:tc>
        <w:tc>
          <w:tcPr>
            <w:tcW w:type="dxa" w:w="5669"/>
            <w:vAlign w:val="center"/>
          </w:tcPr>
          <w:p>
            <w:r/>
            <w:r>
              <w:rPr>
                <w:rFonts w:ascii="Arial" w:hAnsi="Arial"/>
                <w:sz w:val="20"/>
              </w:rPr>
              <w:t>Las consultas al backend deben responder en menos de 1 segundo para hasta 10 000 documentos por colección.</w:t>
            </w:r>
          </w:p>
        </w:tc>
      </w:tr>
      <w:tr>
        <w:tc>
          <w:tcPr>
            <w:tcW w:type="dxa" w:w="1134"/>
            <w:vAlign w:val="center"/>
          </w:tcPr>
          <w:p>
            <w:r/>
            <w:r>
              <w:rPr>
                <w:rFonts w:ascii="Arial" w:hAnsi="Arial"/>
                <w:b/>
                <w:sz w:val="20"/>
              </w:rPr>
              <w:t>RNF-02</w:t>
            </w:r>
          </w:p>
        </w:tc>
        <w:tc>
          <w:tcPr>
            <w:tcW w:type="dxa" w:w="2268"/>
            <w:vAlign w:val="center"/>
          </w:tcPr>
          <w:p>
            <w:r/>
            <w:r>
              <w:rPr>
                <w:rFonts w:ascii="Arial" w:hAnsi="Arial"/>
                <w:b/>
                <w:sz w:val="20"/>
              </w:rPr>
              <w:t>Seguridad</w:t>
            </w:r>
          </w:p>
        </w:tc>
        <w:tc>
          <w:tcPr>
            <w:tcW w:type="dxa" w:w="5669"/>
            <w:vAlign w:val="center"/>
          </w:tcPr>
          <w:p>
            <w:r/>
            <w:r>
              <w:rPr>
                <w:rFonts w:ascii="Arial" w:hAnsi="Arial"/>
                <w:sz w:val="20"/>
              </w:rPr>
              <w:t>Las contraseñas deben almacenarse cifradas con bcrypt y las sesiones autenticadas mediante JWT con expiración de 8 horas.</w:t>
            </w:r>
          </w:p>
        </w:tc>
      </w:tr>
      <w:tr>
        <w:tc>
          <w:tcPr>
            <w:tcW w:type="dxa" w:w="1134"/>
            <w:vAlign w:val="center"/>
          </w:tcPr>
          <w:p>
            <w:r/>
            <w:r>
              <w:rPr>
                <w:rFonts w:ascii="Arial" w:hAnsi="Arial"/>
                <w:b/>
                <w:sz w:val="20"/>
              </w:rPr>
              <w:t>RNF-03</w:t>
            </w:r>
          </w:p>
        </w:tc>
        <w:tc>
          <w:tcPr>
            <w:tcW w:type="dxa" w:w="2268"/>
            <w:vAlign w:val="center"/>
          </w:tcPr>
          <w:p>
            <w:r/>
            <w:r>
              <w:rPr>
                <w:rFonts w:ascii="Arial" w:hAnsi="Arial"/>
                <w:b/>
                <w:sz w:val="20"/>
              </w:rPr>
              <w:t>Disponibilidad y despliegue</w:t>
            </w:r>
          </w:p>
        </w:tc>
        <w:tc>
          <w:tcPr>
            <w:tcW w:type="dxa" w:w="5669"/>
            <w:vAlign w:val="center"/>
          </w:tcPr>
          <w:p>
            <w:r/>
            <w:r>
              <w:rPr>
                <w:rFonts w:ascii="Arial" w:hAnsi="Arial"/>
                <w:sz w:val="20"/>
              </w:rPr>
              <w:t>El sistema debe ser desplegable localmente y operar sin conexión a internet, requiriendo solo Node.js y MongoDB instalados.</w:t>
            </w:r>
          </w:p>
        </w:tc>
      </w:tr>
      <w:tr>
        <w:tc>
          <w:tcPr>
            <w:tcW w:type="dxa" w:w="1134"/>
            <w:vAlign w:val="center"/>
          </w:tcPr>
          <w:p>
            <w:r/>
            <w:r>
              <w:rPr>
                <w:rFonts w:ascii="Arial" w:hAnsi="Arial"/>
                <w:b/>
                <w:sz w:val="20"/>
              </w:rPr>
              <w:t>RNF-04</w:t>
            </w:r>
          </w:p>
        </w:tc>
        <w:tc>
          <w:tcPr>
            <w:tcW w:type="dxa" w:w="2268"/>
            <w:vAlign w:val="center"/>
          </w:tcPr>
          <w:p>
            <w:r/>
            <w:r>
              <w:rPr>
                <w:rFonts w:ascii="Arial" w:hAnsi="Arial"/>
                <w:b/>
                <w:sz w:val="20"/>
              </w:rPr>
              <w:t>Usabilidad</w:t>
            </w:r>
          </w:p>
        </w:tc>
        <w:tc>
          <w:tcPr>
            <w:tcW w:type="dxa" w:w="5669"/>
            <w:vAlign w:val="center"/>
          </w:tcPr>
          <w:p>
            <w:r/>
            <w:r>
              <w:rPr>
                <w:rFonts w:ascii="Arial" w:hAnsi="Arial"/>
                <w:sz w:val="20"/>
              </w:rPr>
              <w:t>La interfaz debe ser responsiva y permitir que un operador identifique alertas críticas en menos de 5 segundos al abrir el dashboard.</w:t>
            </w:r>
          </w:p>
        </w:tc>
      </w:tr>
      <w:tr>
        <w:tc>
          <w:tcPr>
            <w:tcW w:type="dxa" w:w="1134"/>
            <w:vAlign w:val="center"/>
          </w:tcPr>
          <w:p>
            <w:r/>
            <w:r>
              <w:rPr>
                <w:rFonts w:ascii="Arial" w:hAnsi="Arial"/>
                <w:b/>
                <w:sz w:val="20"/>
              </w:rPr>
              <w:t>RNF-05</w:t>
            </w:r>
          </w:p>
        </w:tc>
        <w:tc>
          <w:tcPr>
            <w:tcW w:type="dxa" w:w="2268"/>
            <w:vAlign w:val="center"/>
          </w:tcPr>
          <w:p>
            <w:r/>
            <w:r>
              <w:rPr>
                <w:rFonts w:ascii="Arial" w:hAnsi="Arial"/>
                <w:b/>
                <w:sz w:val="20"/>
              </w:rPr>
              <w:t>Trazabilidad de datos</w:t>
            </w:r>
          </w:p>
        </w:tc>
        <w:tc>
          <w:tcPr>
            <w:tcW w:type="dxa" w:w="5669"/>
            <w:vAlign w:val="center"/>
          </w:tcPr>
          <w:p>
            <w:r/>
            <w:r>
              <w:rPr>
                <w:rFonts w:ascii="Arial" w:hAnsi="Arial"/>
                <w:sz w:val="20"/>
              </w:rPr>
              <w:t>Cada lectura debe registrar el origen (sensor o manual) y el timestamp exacto para auditoría posterior.</w:t>
            </w:r>
          </w:p>
        </w:tc>
      </w:tr>
    </w:tbl>
    <w:p>
      <w:r>
        <w:br w:type="page"/>
      </w:r>
    </w:p>
    <w:p>
      <w:pPr>
        <w:spacing w:before="280" w:after="120"/>
      </w:pPr>
      <w:r>
        <w:rPr>
          <w:rFonts w:ascii="Arial" w:hAnsi="Arial"/>
          <w:b/>
          <w:color w:val="1F3A8A"/>
          <w:sz w:val="36"/>
        </w:rPr>
        <w:t>6. Diseño del sistema</w:t>
      </w:r>
    </w:p>
    <w:p>
      <w:pPr>
        <w:spacing w:after="80"/>
      </w:pPr>
      <w:r>
        <w:rPr>
          <w:rFonts w:ascii="Arial" w:hAnsi="Arial"/>
          <w:b w:val="0"/>
          <w:i w:val="0"/>
          <w:sz w:val="22"/>
        </w:rPr>
        <w:t>Esta sección documenta el diseño del sistema mediante cuatro vistas complementarias: casos de uso (qué hace cada actor), flujo de proceso (cómo se procesa una lectura), modelo de base de datos (cómo se almacenan los datos en MongoDB) y mockups (cómo se ve la interfaz de usuario).</w:t>
      </w:r>
    </w:p>
    <w:p>
      <w:pPr>
        <w:spacing w:before="280" w:after="120"/>
      </w:pPr>
      <w:r>
        <w:rPr>
          <w:rFonts w:ascii="Arial" w:hAnsi="Arial"/>
          <w:b/>
          <w:color w:val="1F3A8A"/>
          <w:sz w:val="28"/>
        </w:rPr>
        <w:t>6.1 Diagrama de casos de uso</w:t>
      </w:r>
    </w:p>
    <w:p>
      <w:pPr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5760720" cy="35844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sos_de_us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5844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Arial" w:hAnsi="Arial"/>
          <w:i/>
          <w:color w:val="64748B"/>
          <w:sz w:val="18"/>
        </w:rPr>
        <w:t>Figura 1. Casos de uso del sistema con los actores Operador, Administrador y Auditor.</w:t>
      </w:r>
    </w:p>
    <w:p>
      <w:pPr>
        <w:spacing w:before="280" w:after="120"/>
      </w:pPr>
      <w:r>
        <w:rPr>
          <w:rFonts w:ascii="Arial" w:hAnsi="Arial"/>
          <w:b/>
          <w:color w:val="1F3A8A"/>
          <w:sz w:val="28"/>
        </w:rPr>
        <w:t>6.2 Diagrama de flujo del proceso</w:t>
      </w:r>
    </w:p>
    <w:p>
      <w:pPr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4114800" cy="329184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lujo_proceso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32918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Arial" w:hAnsi="Arial"/>
          <w:i/>
          <w:color w:val="64748B"/>
          <w:sz w:val="18"/>
        </w:rPr>
        <w:t>Figura 2. Flujo desde la captura de una lectura hasta la generación del reporte imprimible.</w:t>
      </w:r>
    </w:p>
    <w:p>
      <w:pPr>
        <w:spacing w:before="280" w:after="120"/>
      </w:pPr>
      <w:r>
        <w:rPr>
          <w:rFonts w:ascii="Arial" w:hAnsi="Arial"/>
          <w:b/>
          <w:color w:val="1F3A8A"/>
          <w:sz w:val="28"/>
        </w:rPr>
        <w:t>6.3 Modelo de base de datos (MongoDB)</w:t>
      </w:r>
    </w:p>
    <w:p>
      <w:pPr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5760720" cy="380207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delo_bd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8020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Arial" w:hAnsi="Arial"/>
          <w:i/>
          <w:color w:val="64748B"/>
          <w:sz w:val="18"/>
        </w:rPr>
        <w:t>Figura 3. Colecciones de MongoDB y relación lógica entre lecturas y alertas.</w:t>
      </w:r>
    </w:p>
    <w:p>
      <w:pPr>
        <w:spacing w:before="280" w:after="120"/>
      </w:pPr>
      <w:r>
        <w:rPr>
          <w:rFonts w:ascii="Arial" w:hAnsi="Arial"/>
          <w:b/>
          <w:color w:val="1F3A8A"/>
          <w:sz w:val="28"/>
        </w:rPr>
        <w:t>6.4 Mockups de la interfaz</w:t>
      </w:r>
    </w:p>
    <w:p>
      <w:pPr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5760720" cy="2658794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ckup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6587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Arial" w:hAnsi="Arial"/>
          <w:i/>
          <w:color w:val="64748B"/>
          <w:sz w:val="18"/>
        </w:rPr>
        <w:t>Figura 4. Mockups de las tres pantallas principales: Login, Dashboard y Reporte imprimible.</w:t>
      </w:r>
    </w:p>
    <w:p>
      <w:r>
        <w:br w:type="page"/>
      </w:r>
    </w:p>
    <w:p>
      <w:pPr>
        <w:spacing w:before="280" w:after="120"/>
      </w:pPr>
      <w:r>
        <w:rPr>
          <w:rFonts w:ascii="Arial" w:hAnsi="Arial"/>
          <w:b/>
          <w:color w:val="1F3A8A"/>
          <w:sz w:val="36"/>
        </w:rPr>
        <w:t>7. Alcance de la solución</w:t>
      </w:r>
    </w:p>
    <w:p>
      <w:pPr>
        <w:spacing w:after="80"/>
      </w:pPr>
      <w:r>
        <w:rPr>
          <w:rFonts w:ascii="Arial" w:hAnsi="Arial"/>
          <w:b w:val="0"/>
          <w:i w:val="0"/>
          <w:sz w:val="22"/>
        </w:rPr>
        <w:t>La solución entregada cubre el ciclo completo de monitoreo: captura de lecturas, evaluación contra umbrales, generación automática de alertas, visualización en dashboard y emisión de reportes. Queda fuera del alcance la integración con hardware físico de sensores reales (se simula mediante el script de seed) y la sincronización con sistemas externos como ERPs.</w:t>
      </w:r>
    </w:p>
    <w:p>
      <w:pPr>
        <w:spacing w:before="280" w:after="120"/>
      </w:pPr>
      <w:r>
        <w:rPr>
          <w:rFonts w:ascii="Arial" w:hAnsi="Arial"/>
          <w:b/>
          <w:color w:val="1F3A8A"/>
          <w:sz w:val="36"/>
        </w:rPr>
        <w:t>8. Tecnologías propuestas</w:t>
      </w:r>
    </w:p>
    <w:p>
      <w:pPr>
        <w:spacing w:after="80"/>
      </w:pPr>
      <w:r>
        <w:rPr>
          <w:rFonts w:ascii="Arial" w:hAnsi="Arial"/>
          <w:b/>
          <w:sz w:val="22"/>
        </w:rPr>
        <w:t xml:space="preserve">Backend: </w:t>
      </w:r>
      <w:r>
        <w:rPr>
          <w:rFonts w:ascii="Arial" w:hAnsi="Arial"/>
          <w:sz w:val="22"/>
        </w:rPr>
        <w:t>Node.js con Express, autenticación JWT y cifrado bcrypt.</w:t>
      </w:r>
    </w:p>
    <w:p>
      <w:pPr>
        <w:spacing w:after="80"/>
      </w:pPr>
      <w:r>
        <w:rPr>
          <w:rFonts w:ascii="Arial" w:hAnsi="Arial"/>
          <w:b/>
          <w:sz w:val="22"/>
        </w:rPr>
        <w:t xml:space="preserve">Base de datos: </w:t>
      </w:r>
      <w:r>
        <w:rPr>
          <w:rFonts w:ascii="Arial" w:hAnsi="Arial"/>
          <w:sz w:val="22"/>
        </w:rPr>
        <w:t>MongoDB, accedido vía Mongoose.</w:t>
      </w:r>
    </w:p>
    <w:p>
      <w:pPr>
        <w:spacing w:after="80"/>
      </w:pPr>
      <w:r>
        <w:rPr>
          <w:rFonts w:ascii="Arial" w:hAnsi="Arial"/>
          <w:b/>
          <w:sz w:val="22"/>
        </w:rPr>
        <w:t xml:space="preserve">Frontend: </w:t>
      </w:r>
      <w:r>
        <w:rPr>
          <w:rFonts w:ascii="Arial" w:hAnsi="Arial"/>
          <w:sz w:val="22"/>
        </w:rPr>
        <w:t>HTML, CSS y JavaScript vanilla, con Chart.js (CDN) para gráficas.</w:t>
      </w:r>
    </w:p>
    <w:p>
      <w:pPr>
        <w:spacing w:after="80"/>
      </w:pPr>
      <w:r>
        <w:rPr>
          <w:rFonts w:ascii="Arial" w:hAnsi="Arial"/>
          <w:b/>
          <w:sz w:val="22"/>
        </w:rPr>
        <w:t xml:space="preserve">Reportes: </w:t>
      </w:r>
      <w:r>
        <w:rPr>
          <w:rFonts w:ascii="Arial" w:hAnsi="Arial"/>
          <w:sz w:val="22"/>
        </w:rPr>
        <w:t>HTML imprimible aprovechando window.print() del navegador para exportar a PDF sin dependencias adicionales.</w:t>
      </w:r>
    </w:p>
    <w:sectPr w:rsidR="00FC693F" w:rsidRPr="0006063C" w:rsidSect="00034616">
      <w:pgSz w:w="12240" w:h="15840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