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Contrato de Interfaz</w:t>
      </w:r>
    </w:p>
    <w:p w:rsidR="00000000" w:rsidDel="00000000" w:rsidP="00000000" w:rsidRDefault="00000000" w:rsidRPr="00000000" w14:paraId="00000003">
      <w:pPr>
        <w:spacing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BPEL - UpdateInfoTicketSF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trHeight w:val="496.85058593749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WADL Desarrollo:</w:t>
            </w:r>
          </w:p>
        </w:tc>
      </w:tr>
      <w:tr>
        <w:trPr>
          <w:trHeight w:val="1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b w:val="1"/>
                <w:color w:val="505050"/>
                <w:sz w:val="18"/>
                <w:szCs w:val="18"/>
                <w:highlight w:val="white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http://10.216.47.28/soa-infra/resources/ServiceDesk/UpdateInfoTicketSF/RestUpdateInfoTicketSF/UpdateInfoTicketSF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trHeight w:val="496.85058593749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WADL QA:</w:t>
            </w:r>
          </w:p>
        </w:tc>
      </w:tr>
      <w:tr>
        <w:trPr>
          <w:trHeight w:val="1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b w:val="1"/>
                <w:color w:val="505050"/>
                <w:sz w:val="18"/>
                <w:szCs w:val="18"/>
                <w:highlight w:val="white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http://10.216.47.35/soa-infra/resources/ServiceDesk/UpdateInfoTicketSF/RestUpdateInfoTicketSF/UpdateInfoTicketSF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240" w:lineRule="auto"/>
              <w:rPr>
                <w:b w:val="1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trHeight w:val="496.850585937499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WADL Produccion:</w:t>
            </w:r>
          </w:p>
        </w:tc>
      </w:tr>
      <w:tr>
        <w:trPr>
          <w:trHeight w:val="1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b w:val="1"/>
                <w:color w:val="505050"/>
                <w:sz w:val="18"/>
                <w:szCs w:val="18"/>
                <w:highlight w:val="white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http://10.216.8.68/soa-infra/resources/ServiceDesk/UpdateInfoTicketSF/RestUpdateInfoTicketSF/UpdateInfoTicketSF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b w:val="1"/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7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870"/>
        <w:gridCol w:w="3075"/>
        <w:gridCol w:w="4080"/>
        <w:tblGridChange w:id="0">
          <w:tblGrid>
            <w:gridCol w:w="3150"/>
            <w:gridCol w:w="870"/>
            <w:gridCol w:w="3075"/>
            <w:gridCol w:w="4080"/>
          </w:tblGrid>
        </w:tblGridChange>
      </w:tblGrid>
      <w:tr>
        <w:trPr>
          <w:trHeight w:val="111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Definición de WADL – BPEL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Parámetros de entrada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ejemplo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numeroTicket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Número del ticket a actualizar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65008793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aResolutoria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Texto del campo Área Resolutoria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"PROVEEDOR VIDEO”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right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del campo Causa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"FALLA VÍDEO”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tsolucion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Texto del campo Tipo Solución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"FALLA TV”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90.0" w:type="dxa"/>
        <w:jc w:val="left"/>
        <w:tblInd w:w="-7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2040"/>
        <w:gridCol w:w="5400"/>
        <w:gridCol w:w="240"/>
        <w:tblGridChange w:id="0">
          <w:tblGrid>
            <w:gridCol w:w="2910"/>
            <w:gridCol w:w="2040"/>
            <w:gridCol w:w="5400"/>
            <w:gridCol w:w="240"/>
          </w:tblGrid>
        </w:tblGridChange>
      </w:tblGrid>
      <w:tr>
        <w:trPr>
          <w:trHeight w:val="1130.5371093749998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Definición de WADL – BPEL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ind w:right="175.27559055118218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Parámetros de salida</w:t>
            </w:r>
          </w:p>
        </w:tc>
      </w:tr>
      <w:tr>
        <w:trPr>
          <w:trHeight w:val="1181.05957031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Parámetro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IdResult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respuesta del servicio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instancia de flujo en el consumo del servicio.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 valor “0” es una respuesta exitosa.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 valor de “1” respuesta fallida.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-120" w:right="300" w:firstLine="14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ResultDescription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respuesta del servicio.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>
        <w:rtl w:val="0"/>
      </w:rPr>
      <w:t xml:space="preserve">Middleware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/>
      <w:drawing>
        <wp:inline distB="114300" distT="114300" distL="114300" distR="114300">
          <wp:extent cx="1562100" cy="4857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100" cy="485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10.216.47.28/soa-infra/resources/DashBoard/TransferenciaGrupoSD/RestTransferenciaGrupoSD/TransferenciaGrupoSD" TargetMode="External"/><Relationship Id="rId7" Type="http://schemas.openxmlformats.org/officeDocument/2006/relationships/hyperlink" Target="http://10.216.47.28/soa-infra/resources/DashBoard/TransferenciaGrupoSD/RestTransferenciaGrupoSD/TransferenciaGrupoSD" TargetMode="External"/><Relationship Id="rId8" Type="http://schemas.openxmlformats.org/officeDocument/2006/relationships/hyperlink" Target="http://10.216.47.28/soa-infra/resources/DashBoard/TransferenciaGrupoSD/RestTransferenciaGrupoSD/TransferenciaGrupoS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