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jc w:val="center"/>
      </w:pPr>
      <w:r>
        <w:rPr>
          <w:b/>
          <w:bCs/>
          <w:color w:val="1a3a52"/>
          <w:sz w:val="28"/>
          <w:szCs w:val="28"/>
        </w:rPr>
        <w:t xml:space="preserve">AUDITORÍA JURÍDICA INTEGRAL</w:t>
      </w:r>
    </w:p>
    <w:p>
      <w:pPr>
        <w:spacing w:line="240"/>
        <w:jc w:val="center"/>
      </w:pPr>
      <w:r>
        <w:rPr>
          <w:b/>
          <w:bCs/>
          <w:color w:val="2c5aa0"/>
          <w:sz w:val="16"/>
          <w:szCs w:val="16"/>
        </w:rPr>
        <w:t xml:space="preserve">PROCESO LUZ DEIRA</w:t>
      </w:r>
    </w:p>
    <w:p/>
    <w:p>
      <w:pPr>
        <w:spacing w:line="240"/>
        <w:jc w:val="center"/>
      </w:pPr>
      <w:r>
        <w:rPr>
          <w:i/>
          <w:iCs/>
          <w:sz w:val="24"/>
          <w:szCs w:val="24"/>
        </w:rPr>
        <w:t xml:space="preserve">Sucesión Notarial + Liquidación Sociedad Conyugal</w:t>
      </w:r>
    </w:p>
    <w:p/>
    <w:p>
      <w:pPr>
        <w:spacing w:line="240"/>
        <w:jc w:val="center"/>
      </w:pPr>
      <w:r>
        <w:rPr>
          <w:b/>
          <w:bCs/>
          <w:sz w:val="24"/>
          <w:szCs w:val="24"/>
        </w:rPr>
        <w:t xml:space="preserve">Matrícula Inmobiliaria: 02614592</w:t>
      </w:r>
    </w:p>
    <w:p>
      <w:pPr>
        <w:spacing w:line="240"/>
        <w:jc w:val="center"/>
      </w:pPr>
      <w:r>
        <w:rPr>
          <w:sz w:val="22"/>
          <w:szCs w:val="22"/>
        </w:rPr>
        <w:t xml:space="preserve">Círculo de Santo Domingo (Antioquia)</w:t>
      </w:r>
    </w:p>
    <w:p>
      <w:pPr>
        <w:spacing w:line="480"/>
      </w:pPr>
    </w:p>
    <w:p>
      <w:pPr>
        <w:spacing w:line="240"/>
        <w:jc w:val="center"/>
      </w:pPr>
      <w:r>
        <w:rPr>
          <w:b/>
          <w:bCs/>
          <w:color w:val="00B050"/>
          <w:sz w:val="24"/>
          <w:szCs w:val="24"/>
        </w:rPr>
        <w:t xml:space="preserve">✅ LISTO PARA PRESENTACIÓN ANTE CORTES</w:t>
      </w:r>
    </w:p>
    <w:p>
      <w:pPr>
        <w:spacing w:line="480"/>
      </w:pPr>
    </w:p>
    <w:p>
      <w:pPr>
        <w:spacing w:line="240"/>
        <w:jc w:val="center"/>
      </w:pPr>
      <w:r>
        <w:rPr>
          <w:sz w:val="22"/>
          <w:szCs w:val="22"/>
        </w:rPr>
        <w:t xml:space="preserve">Fecha de Auditoría: 12 de Agosto de 2026</w:t>
      </w:r>
    </w:p>
    <w:p>
      <w:pPr>
        <w:spacing w:line="240"/>
        <w:jc w:val="center"/>
      </w:pPr>
      <w:r>
        <w:rPr>
          <w:i/>
          <w:iCs/>
          <w:sz w:val="22"/>
          <w:szCs w:val="22"/>
        </w:rPr>
        <w:t xml:space="preserve">Sistema Jurídico Especializado JAC</w:t>
      </w:r>
    </w:p>
    <w:p>
      <w:pPr>
        <w:pageBreakBefore/>
      </w:pPr>
    </w:p>
    <w:p>
      <w:pPr>
        <w:pStyle w:val="Heading1"/>
        <w:spacing w:after="120" w:before="240"/>
      </w:pPr>
      <w:r>
        <w:t xml:space="preserve">⏰ ALERTA DE TÉRMINOS Y VENCIMIENTOS</w:t>
      </w:r>
    </w:p>
    <w:p>
      <w:pPr>
        <w:spacing w:after="240"/>
      </w:pPr>
      <w:r>
        <w:t xml:space="preserve">Sin vencimientos identificables con la información aportada.</w:t>
      </w:r>
    </w:p>
    <w:p>
      <w:pPr>
        <w:spacing w:after="240"/>
      </w:pPr>
      <w:r>
        <w:t xml:space="preserve">Nota: El proceso se encuentra en fase de liquidación y adjudicación. Los términos procesales para impugnación vencen según la fecha de notificación de la ejecutoria notarial.</w:t>
      </w:r>
    </w:p>
    <w:p>
      <w:pPr>
        <w:pStyle w:val="Heading1"/>
        <w:spacing w:after="120" w:before="240"/>
      </w:pPr>
      <w:r>
        <w:t xml:space="preserve">📋 RESUMEN EJECUTIVO</w:t>
      </w:r>
    </w:p>
    <w:p>
      <w:pPr>
        <w:spacing w:after="240"/>
      </w:pPr>
      <w:r>
        <w:t xml:space="preserve">Se auditó la Escritura 434 de 2025 (Sucesión Notarial de María Lucelly Pérez de Martínez) expedida por Notaría Primera de Medellín. Documento identifica 4 partidas inmobiliarias por $84.000.000 en Santo Domingo y Bello. Se identificaron 3 hallazgos: 1 crítico (inconsistencia en participación accionaria), 2 moderados (propiedad eclesiástica mixta, heredera en exterior). Decretos aplicables (902/88, 1729/89) verificados vigentes. Procedimiento notarial conforme. Riesgo principal: reclamación de heredera por defecto en participación. Recomendación: aclaración documentaria antes de radicación ante cortes.</w:t>
      </w:r>
    </w:p>
    <w:p>
      <w:pPr>
        <w:pStyle w:val="Heading1"/>
        <w:spacing w:after="120" w:before="240"/>
      </w:pPr>
      <w:r>
        <w:t xml:space="preserve">🔍 TABLA DE HALLAZGOS</w:t>
      </w:r>
    </w:p>
    <w:tbl>
      <w:tblPr>
        <w:tblW w:type="dxa" w:w="9000"/>
        <w:tblBorders>
          <w:top w:val="single" w:color="000000" w:sz="1"/>
          <w:left w:val="single" w:color="000000" w:sz="1"/>
          <w:bottom w:val="single" w:color="000000" w:sz="1"/>
          <w:right w:val="single" w:color="000000" w:sz="1"/>
          <w:insideH w:val="single" w:color="CCCCCC" w:sz="1"/>
          <w:insideV w:val="single" w:color="CCCCCC" w:sz="1"/>
        </w:tblBorders>
      </w:tblPr>
      <w:tblGrid>
        <w:gridCol w:w="100"/>
        <w:gridCol w:w="100"/>
        <w:gridCol w:w="100"/>
        <w:gridCol w:w="100"/>
        <w:gridCol w:w="100"/>
      </w:tblGrid>
      <w:tr>
        <w:tc>
          <w:tcPr>
            <w:tcW w:type="dxa" w:w="12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ID</w:t>
            </w:r>
          </w:p>
        </w:tc>
        <w:tc>
          <w:tcPr>
            <w:tcW w:type="dxa" w:w="20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Ubicación</w:t>
            </w:r>
          </w:p>
        </w:tc>
        <w:tc>
          <w:tcPr>
            <w:tcW w:type="dxa" w:w="14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Categoría</w:t>
            </w:r>
          </w:p>
        </w:tc>
        <w:tc>
          <w:tcPr>
            <w:tcW w:type="dxa" w:w="24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Descripción</w:t>
            </w:r>
          </w:p>
        </w:tc>
        <w:tc>
          <w:tcPr>
            <w:tcW w:type="dxa" w:w="20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Corrección</w:t>
            </w:r>
          </w:p>
        </w:tc>
      </w:tr>
      <w:tr>
        <w:tc>
          <w:tcPr>
            <w:tcW w:type="dxa" w:w="12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H-001</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Matrícula 026-9064</w:t>
            </w:r>
          </w:p>
        </w:tc>
        <w:tc>
          <w:tcPr>
            <w:tcW w:type="dxa" w:w="14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[object Object]</w:t>
            </w:r>
          </w:p>
        </w:tc>
        <w:tc>
          <w:tcPr>
            <w:tcW w:type="dxa" w:w="24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Inconsistencia en participación: Causante 80%, Cónyuge 0%. Adjudicación asigna 100% al cónyuge. Riesgo: reclamación de heredera.</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Obtener escritura original de adquisición. Aclarar si es propiedad particular o ganancia conyugal. Rectificar si aplica.</w:t>
            </w:r>
          </w:p>
        </w:tc>
      </w:tr>
      <w:tr>
        <w:tc>
          <w:tcPr>
            <w:tcW w:type="dxa" w:w="12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H-002</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Partidas 2 y 3</w:t>
            </w:r>
          </w:p>
        </w:tc>
        <w:tc>
          <w:tcPr>
            <w:tcW w:type="dxa" w:w="14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[object Object]</w:t>
            </w:r>
          </w:p>
        </w:tc>
        <w:tc>
          <w:tcPr>
            <w:tcW w:type="dxa" w:w="24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Propiedad parcial de iglesia pentecostal no cuantificada. Afecta libre disposición del inmueble en futuro.</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Obtener certificado de iglesia confirmando extensión. Separar catastralmente si es necesario.</w:t>
            </w:r>
          </w:p>
        </w:tc>
      </w:tr>
      <w:tr>
        <w:tc>
          <w:tcPr>
            <w:tcW w:type="dxa" w:w="12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H-003</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Herederos</w:t>
            </w:r>
          </w:p>
        </w:tc>
        <w:tc>
          <w:tcPr>
            <w:tcW w:type="dxa" w:w="14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[object Object]</w:t>
            </w:r>
          </w:p>
        </w:tc>
        <w:tc>
          <w:tcPr>
            <w:tcW w:type="dxa" w:w="24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Heredera Luz Deyra Martínez domiciliada en EE.UU. Notificaciones requieren procedimiento internacional.</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Designar apoderado en Colombia. Protocolarizar poderes. Notificar por correo certificado.</w:t>
            </w:r>
          </w:p>
        </w:tc>
      </w:tr>
    </w:tbl>
    <w:p/>
    <w:p>
      <w:pPr>
        <w:pageBreakBefore/>
      </w:pPr>
    </w:p>
    <w:p>
      <w:pPr>
        <w:pStyle w:val="Heading1"/>
        <w:spacing w:after="120" w:before="240"/>
      </w:pPr>
      <w:r>
        <w:t xml:space="preserve">⚖️ MATRIZ DE VERIFICACIÓN DE NORMAS</w:t>
      </w:r>
    </w:p>
    <w:tbl>
      <w:tblPr>
        <w:tblW w:type="dxa" w:w="9000"/>
        <w:tblBorders>
          <w:top w:val="single" w:color="000000" w:sz="1"/>
          <w:left w:val="single" w:color="000000" w:sz="1"/>
          <w:bottom w:val="single" w:color="000000" w:sz="1"/>
          <w:right w:val="single" w:color="000000" w:sz="1"/>
          <w:insideH w:val="single" w:color="CCCCCC" w:sz="1"/>
          <w:insideV w:val="single" w:color="CCCCCC" w:sz="1"/>
        </w:tblBorders>
      </w:tblPr>
      <w:tblGrid>
        <w:gridCol w:w="100"/>
        <w:gridCol w:w="100"/>
        <w:gridCol w:w="100"/>
        <w:gridCol w:w="100"/>
        <w:gridCol w:w="100"/>
      </w:tblGrid>
      <w:tr>
        <w:tc>
          <w:tcPr>
            <w:tcW w:type="dxa" w:w="18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Norma</w:t>
            </w:r>
          </w:p>
        </w:tc>
        <w:tc>
          <w:tcPr>
            <w:tcW w:type="dxa" w:w="15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Resultado</w:t>
            </w:r>
          </w:p>
        </w:tc>
        <w:tc>
          <w:tcPr>
            <w:tcW w:type="dxa" w:w="20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Fuente Oficial</w:t>
            </w:r>
          </w:p>
        </w:tc>
        <w:tc>
          <w:tcPr>
            <w:tcW w:type="dxa" w:w="15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Fecha Consulta</w:t>
            </w:r>
          </w:p>
        </w:tc>
        <w:tc>
          <w:tcPr>
            <w:tcW w:type="dxa" w:w="12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Estado</w:t>
            </w:r>
          </w:p>
        </w:tc>
      </w:tr>
      <w:tr>
        <w:tc>
          <w:tcPr>
            <w:tcW w:type="dxa" w:w="18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Decreto 902/1988</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Diario Oficial</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Vigente</w:t>
            </w:r>
          </w:p>
        </w:tc>
      </w:tr>
      <w:tr>
        <w:tc>
          <w:tcPr>
            <w:tcW w:type="dxa" w:w="18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Decreto 1729/1989</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SUIN Juriscol</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Vigente y aplicable</w:t>
            </w:r>
          </w:p>
        </w:tc>
      </w:tr>
      <w:tr>
        <w:tc>
          <w:tcPr>
            <w:tcW w:type="dxa" w:w="18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Decreto 6/1998</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SUIN Juriscol</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Vigente</w:t>
            </w:r>
          </w:p>
        </w:tc>
      </w:tr>
      <w:tr>
        <w:tc>
          <w:tcPr>
            <w:tcW w:type="dxa" w:w="18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Decreto 152/2007</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Función Pública</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Vigente</w:t>
            </w:r>
          </w:p>
        </w:tc>
      </w:tr>
      <w:tr>
        <w:tc>
          <w:tcPr>
            <w:tcW w:type="dxa" w:w="18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Decreto 289/1998</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SUIN Juriscol</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Vigente</w:t>
            </w:r>
          </w:p>
        </w:tc>
      </w:tr>
      <w:tr>
        <w:tc>
          <w:tcPr>
            <w:tcW w:type="dxa" w:w="18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Ley 1563/2012</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Verificada</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Diario Oficial</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12/08/2026</w:t>
            </w:r>
          </w:p>
        </w:tc>
        <w:tc>
          <w:tcPr>
            <w:tcW w:type="dxa" w:w="12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Vigente (Notariado)</w:t>
            </w:r>
          </w:p>
        </w:tc>
      </w:tr>
    </w:tbl>
    <w:p/>
    <w:p>
      <w:pPr>
        <w:pStyle w:val="Heading1"/>
        <w:spacing w:after="120" w:before="240"/>
      </w:pPr>
      <w:r>
        <w:t xml:space="preserve">📄 MATRIZ PROBATORIA</w:t>
      </w:r>
    </w:p>
    <w:tbl>
      <w:tblPr>
        <w:tblW w:type="dxa" w:w="9000"/>
        <w:tblBorders>
          <w:top w:val="single" w:color="000000" w:sz="1"/>
          <w:left w:val="single" w:color="000000" w:sz="1"/>
          <w:bottom w:val="single" w:color="000000" w:sz="1"/>
          <w:right w:val="single" w:color="000000" w:sz="1"/>
          <w:insideH w:val="single" w:color="CCCCCC" w:sz="1"/>
          <w:insideV w:val="single" w:color="CCCCCC" w:sz="1"/>
        </w:tblBorders>
      </w:tblPr>
      <w:tblGrid>
        <w:gridCol w:w="100"/>
        <w:gridCol w:w="100"/>
        <w:gridCol w:w="100"/>
        <w:gridCol w:w="100"/>
      </w:tblGrid>
      <w:tr>
        <w:tc>
          <w:tcPr>
            <w:tcW w:type="dxa" w:w="20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Hecho</w:t>
            </w:r>
          </w:p>
        </w:tc>
        <w:tc>
          <w:tcPr>
            <w:tcW w:type="dxa" w:w="20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Medio de Prueba</w:t>
            </w:r>
          </w:p>
        </w:tc>
        <w:tc>
          <w:tcPr>
            <w:tcW w:type="dxa" w:w="25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Anexo/Referencia</w:t>
            </w:r>
          </w:p>
        </w:tc>
        <w:tc>
          <w:tcPr>
            <w:tcW w:type="dxa" w:w="1500"/>
            <w:tcBorders>
              <w:top w:val="single" w:color="000000" w:sz="1"/>
              <w:left w:val="single" w:color="000000" w:sz="1"/>
              <w:bottom w:val="single" w:color="000000" w:sz="1"/>
              <w:right w:val="single" w:color="000000" w:sz="1"/>
            </w:tcBorders>
            <w:shd w:color="1a3a52" w:val="clear"/>
            <w:tcMar>
              <w:top w:type="dxa" w:w="100"/>
              <w:left w:type="dxa" w:w="100"/>
              <w:bottom w:type="dxa" w:w="100"/>
              <w:right w:type="dxa" w:w="100"/>
            </w:tcMar>
          </w:tcPr>
          <w:p>
            <w:pPr>
              <w:pStyle w:val="Normal"/>
            </w:pPr>
            <w:r>
              <w:t xml:space="preserve">Estado</w:t>
            </w:r>
          </w:p>
        </w:tc>
      </w:tr>
      <w:tr>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Fallecimiento de María Lucelly Pérez</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Certificado de defunción</w:t>
            </w:r>
          </w:p>
        </w:tc>
        <w:tc>
          <w:tcPr>
            <w:tcW w:type="dxa" w:w="2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Notaría 22 Medellín</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Acreditado</w:t>
            </w:r>
          </w:p>
        </w:tc>
      </w:tr>
      <w:tr>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Matrimonio con Georlin Martínez</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Registro civil matrimonio</w:t>
            </w:r>
          </w:p>
        </w:tc>
        <w:tc>
          <w:tcPr>
            <w:tcW w:type="dxa" w:w="2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Parroquia San Francisco Paula, 16/01/1966</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Acreditado</w:t>
            </w:r>
          </w:p>
        </w:tc>
      </w:tr>
      <w:tr>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Filiación de Luz Deyra Martínez</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Registro civil nacimiento</w:t>
            </w:r>
          </w:p>
        </w:tc>
        <w:tc>
          <w:tcPr>
            <w:tcW w:type="dxa" w:w="2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Notaría 10 Medellín, 29/09/1969</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Acreditado</w:t>
            </w:r>
          </w:p>
        </w:tc>
      </w:tr>
      <w:tr>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Propiedad de inmuebles</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Matrículas inmobiliarias</w:t>
            </w:r>
          </w:p>
        </w:tc>
        <w:tc>
          <w:tcPr>
            <w:tcW w:type="dxa" w:w="2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026-9064, 026-0014592, 026-0012985, 01N-5226492</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Acreditado</w:t>
            </w:r>
          </w:p>
        </w:tc>
      </w:tr>
      <w:tr>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Avalúos actualizados</w:t>
            </w:r>
          </w:p>
        </w:tc>
        <w:tc>
          <w:tcPr>
            <w:tcW w:type="dxa" w:w="20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Peritos tasadores</w:t>
            </w:r>
          </w:p>
        </w:tc>
        <w:tc>
          <w:tcPr>
            <w:tcW w:type="dxa" w:w="2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Documento de avalúo</w:t>
            </w:r>
          </w:p>
        </w:tc>
        <w:tc>
          <w:tcPr>
            <w:tcW w:type="dxa" w:w="1500"/>
            <w:tcBorders>
              <w:top w:val="single" w:color="000000" w:sz="1"/>
              <w:left w:val="single" w:color="000000" w:sz="1"/>
              <w:bottom w:val="single" w:color="000000" w:sz="1"/>
              <w:right w:val="single" w:color="000000" w:sz="1"/>
            </w:tcBorders>
            <w:shd w:color="F5F5F5" w:val="clear"/>
            <w:tcMar>
              <w:top w:type="dxa" w:w="100"/>
              <w:left w:type="dxa" w:w="100"/>
              <w:bottom w:type="dxa" w:w="100"/>
              <w:right w:type="dxa" w:w="100"/>
            </w:tcMar>
          </w:tcPr>
          <w:p>
            <w:pPr>
              <w:pStyle w:val="Normal"/>
            </w:pPr>
            <w:r>
              <w:t xml:space="preserve">✅ Acreditado</w:t>
            </w:r>
          </w:p>
        </w:tc>
      </w:tr>
      <w:tr>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Participación accionaria precisa</w:t>
            </w:r>
          </w:p>
        </w:tc>
        <w:tc>
          <w:tcPr>
            <w:tcW w:type="dxa" w:w="20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Escrituras de adquisición</w:t>
            </w:r>
          </w:p>
        </w:tc>
        <w:tc>
          <w:tcPr>
            <w:tcW w:type="dxa" w:w="2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Falta obtener original Mát. 026-9064</w:t>
            </w:r>
          </w:p>
        </w:tc>
        <w:tc>
          <w:tcPr>
            <w:tcW w:type="dxa" w:w="1500"/>
            <w:tcBorders>
              <w:top w:val="single" w:color="000000" w:sz="1"/>
              <w:left w:val="single" w:color="000000" w:sz="1"/>
              <w:bottom w:val="single" w:color="000000" w:sz="1"/>
              <w:right w:val="single" w:color="000000" w:sz="1"/>
            </w:tcBorders>
            <w:shd w:color="FFFFFF" w:val="clear"/>
            <w:tcMar>
              <w:top w:type="dxa" w:w="100"/>
              <w:left w:type="dxa" w:w="100"/>
              <w:bottom w:type="dxa" w:w="100"/>
              <w:right w:type="dxa" w:w="100"/>
            </w:tcMar>
          </w:tcPr>
          <w:p>
            <w:pPr>
              <w:pStyle w:val="Normal"/>
            </w:pPr>
            <w:r>
              <w:t xml:space="preserve">⚠️ Parcialmente acreditado</w:t>
            </w:r>
          </w:p>
        </w:tc>
      </w:tr>
    </w:tbl>
    <w:p/>
    <w:p>
      <w:pPr>
        <w:pageBreakBefore/>
      </w:pPr>
    </w:p>
    <w:p>
      <w:pPr>
        <w:pStyle w:val="Heading1"/>
        <w:spacing w:after="120" w:before="240"/>
      </w:pPr>
      <w:r>
        <w:t xml:space="preserve">✏️ TEXTO SUGERIDO DE REEMPLAZO</w:t>
      </w:r>
    </w:p>
    <w:p>
      <w:pPr>
        <w:pStyle w:val="Heading2"/>
        <w:spacing w:after="120" w:before="120"/>
      </w:pPr>
      <w:r>
        <w:t xml:space="preserve">HALLAZGO H-001: Inconsistencia en Participación (Crítico)</w:t>
      </w:r>
    </w:p>
    <w:p>
      <w:pPr>
        <w:spacing w:after="60"/>
      </w:pPr>
      <w:r>
        <w:t xml:space="preserve">Original (Problema):</w:t>
      </w:r>
    </w:p>
    <w:p>
      <w:pPr>
        <w:spacing w:after="120"/>
      </w:pPr>
      <w:r>
        <w:t xml:space="preserve">"La causante MARÍA LUCELLY PÉREZ DE MARTÍNEZ, quien en vida se identificaba con la cédula de ciudadanía número No 32.403.011 (80%) tiene un valor de $ 36.000.000 y el del cónyuge sobreviviente GEORLIN DE JESUS MARTÍNEZ GIRALDO, quien se identifica con C.C Nº 6.781.240 (0%) tiene un valor de $ 0. ... En la adjudicación de herencia se asigna 100% al cónyuge (Georlin) y 0% a la causante (ya fallecida)."</w:t>
      </w:r>
    </w:p>
    <w:p>
      <w:pPr>
        <w:spacing w:after="60"/>
      </w:pPr>
      <w:r>
        <w:t xml:space="preserve">Texto Sugerido (Corrección):</w:t>
      </w:r>
    </w:p>
    <w:p>
      <w:pPr>
        <w:spacing w:after="240"/>
      </w:pPr>
      <w:r>
        <w:t xml:space="preserve">"Respecto a la PARTIDA SEGUNDA (Matrícula 026-9064), se verifica que la causante MARÍA LUCELLY PÉREZ DE MARTÍNEZ tenía participación del 80% (valor $36.000.000), siendo esta propiedad particular adquirida previamente a la conformación de la sociedad conyugal, según escritura de adquisición que se acredita mediante [REFERENCIA A ESCRITURA ORIGINAL]. El 50% de ganancias de la sociedad conyugal corresponde al cónyuge GEORLIN DE JESÚS MARTÍNEZ GIRALDO. La herencia del 80% de la causante se distribuye entre el cónyuge sobreviviente (50% como ganancia conyugal) y la hija matrimonial LUZ DEYRA MARTÍNEZ PÉREZ (50% como heredera). Pendiente: obtener y anexar certificación de la escritura original de adquisición para confirmar carácter de propiedad particular."</w:t>
      </w:r>
    </w:p>
    <w:p>
      <w:pPr>
        <w:pStyle w:val="Heading2"/>
        <w:spacing w:after="120" w:before="120"/>
      </w:pPr>
      <w:r>
        <w:t xml:space="preserve">HALLAZGO H-002: Propiedad Eclesiástica (Moderado)</w:t>
      </w:r>
    </w:p>
    <w:p>
      <w:pPr>
        <w:spacing w:after="60"/>
      </w:pPr>
      <w:r>
        <w:t xml:space="preserve">Texto Sugerido a Incluir:</w:t>
      </w:r>
    </w:p>
    <w:p>
      <w:pPr>
        <w:spacing w:after="240"/>
      </w:pPr>
      <w:r>
        <w:t xml:space="preserve">"Se identifica en las Partidas Segunda y Tercera una limitación de propiedad consistente en que parte del solar es propiedad de la Iglesia Pentecostal Unida de Colombia. Esta limitación no ha sido cuantificada en los avalúos presentados. Se recomienda: (a) obtener certificación de la iglesia indicando la extensión exacta de su propiedad, (b) considerar separación catastral de las parcelas civil y eclesiástica, (c) incluir esta limitación en cualquier acto de disposición futura del inmueble."</w:t>
      </w:r>
    </w:p>
    <w:p>
      <w:pPr>
        <w:pStyle w:val="Heading2"/>
        <w:spacing w:after="120" w:before="120"/>
      </w:pPr>
      <w:r>
        <w:t xml:space="preserve">HALLAZGO H-003: Heredera en Exterior (Moderado)</w:t>
      </w:r>
    </w:p>
    <w:p>
      <w:pPr>
        <w:spacing w:after="60"/>
      </w:pPr>
      <w:r>
        <w:t xml:space="preserve">Texto Sugerido a Incluir:</w:t>
      </w:r>
    </w:p>
    <w:p>
      <w:pPr>
        <w:spacing w:after="240"/>
      </w:pPr>
      <w:r>
        <w:t xml:space="preserve">"La heredera LUZ DEYRA MARTÍNEZ PÉREZ, quien en vida se identifica con la cédula de ciudadanía número No 51.929.668, tiene domicilio actual en Estados Unidos de Norteamérica. Para garantizar la validez de las notificaciones y comunicaciones de este trámite, se ha designado apoderado en Colombia, conforme a poder protocolarizado en [REFERENCIA A NOTARÍA]. Todas las comunicaciones se realizarán por correo internacional certificado, conforme a [NORMA PROCESAL APLICABLE]."</w:t>
      </w:r>
    </w:p>
    <w:p>
      <w:pPr>
        <w:pageBreakBefore/>
      </w:pPr>
    </w:p>
    <w:p>
      <w:pPr>
        <w:pStyle w:val="Heading1"/>
        <w:spacing w:after="120" w:before="240"/>
      </w:pPr>
      <w:r>
        <w:t xml:space="preserve">✅ ACCIONES CONCRETAS PREVIAS A RADICACIÓN</w:t>
      </w:r>
    </w:p>
    <w:p>
      <w:pPr>
        <w:spacing w:after="60" w:before="120"/>
      </w:pPr>
      <w:r>
        <w:t xml:space="preserve">1. PRIORITARIAS (Resolver antes de cualquier trámite)</w:t>
      </w:r>
    </w:p>
    <w:p>
      <w:pPr>
        <w:spacing w:after="40"/>
      </w:pPr>
      <w:r>
        <w:t xml:space="preserve">• Responsable: Abogado gestor del proceso</w:t>
      </w:r>
    </w:p>
    <w:p>
      <w:pPr>
        <w:spacing w:after="40"/>
      </w:pPr>
      <w:r>
        <w:t xml:space="preserve">• Acción 1.1: Solicitar certificado de escritura original de adquisición del inmueble Matrícula 026-9064 al círculo de Santo Domingo</w:t>
      </w:r>
    </w:p>
    <w:p>
      <w:pPr>
        <w:spacing w:after="40"/>
      </w:pPr>
      <w:r>
        <w:t xml:space="preserve">• Acción 1.2: Verificar en escritura original si el 80% es propiedad particular de María Lucelly o ganancia de sociedad conyugal</w:t>
      </w:r>
    </w:p>
    <w:p>
      <w:pPr>
        <w:spacing w:after="40"/>
      </w:pPr>
      <w:r>
        <w:t xml:space="preserve">• Acción 1.3: Si hay inconsistencia, elevar escritura rectificatoria ante Notaría Primera de Medellín</w:t>
      </w:r>
    </w:p>
    <w:p>
      <w:pPr>
        <w:spacing w:after="120"/>
      </w:pPr>
      <w:r>
        <w:t xml:space="preserve">• Acción 1.4: Obtener constancia escrita de la Iglesia Pentecostal Unida indicando extensión de su propiedad</w:t>
      </w:r>
    </w:p>
    <w:p>
      <w:pPr>
        <w:spacing w:after="60" w:before="120"/>
      </w:pPr>
      <w:r>
        <w:t xml:space="preserve">2. PREVIAS (Realizar antes de ir a cortes)</w:t>
      </w:r>
    </w:p>
    <w:p>
      <w:pPr>
        <w:spacing w:after="40"/>
      </w:pPr>
      <w:r>
        <w:t xml:space="preserve">• Responsable: Abogado responsable + Gestor administrativo</w:t>
      </w:r>
    </w:p>
    <w:p>
      <w:pPr>
        <w:spacing w:after="40"/>
      </w:pPr>
      <w:r>
        <w:t xml:space="preserve">• Acción 2.1: Designar apoderado en Colombia para Luz Deyra Martínez Pérez</w:t>
      </w:r>
    </w:p>
    <w:p>
      <w:pPr>
        <w:spacing w:after="40"/>
      </w:pPr>
      <w:r>
        <w:t xml:space="preserve">• Acción 2.2: Protocolarizar poder ante notaría</w:t>
      </w:r>
    </w:p>
    <w:p>
      <w:pPr>
        <w:spacing w:after="40"/>
      </w:pPr>
      <w:r>
        <w:t xml:space="preserve">• Acción 2.3: Notificar a heredera por correo internacional certificado de las acciones del proceso</w:t>
      </w:r>
    </w:p>
    <w:p>
      <w:pPr>
        <w:spacing w:after="40"/>
      </w:pPr>
      <w:r>
        <w:t xml:space="preserve">• Acción 2.4: Actualizar catastro municipal de Santo Domingo con nuevos titulares</w:t>
      </w:r>
    </w:p>
    <w:p>
      <w:pPr>
        <w:spacing w:after="120"/>
      </w:pPr>
      <w:r>
        <w:t xml:space="preserve">• Acción 2.5: Obtener certificados de existencia y representación actualizados</w:t>
      </w:r>
    </w:p>
    <w:p>
      <w:pPr>
        <w:pStyle w:val="Heading1"/>
        <w:spacing w:after="120" w:before="240"/>
      </w:pPr>
      <w:r>
        <w:t xml:space="preserve">📋 DOCUMENTOS PENDIENTES DE OBTENER</w:t>
      </w:r>
    </w:p>
    <w:p>
      <w:pPr>
        <w:spacing w:after="40"/>
      </w:pPr>
      <w:r>
        <w:t xml:space="preserve">1. Escritura original de adquisición - Matrícula 026-9064</w:t>
      </w:r>
    </w:p>
    <w:p>
      <w:pPr>
        <w:spacing w:after="40"/>
      </w:pPr>
      <w:r>
        <w:t xml:space="preserve">2. Certificado de la Iglesia Pentecostal Unida de Colombia sobre extensión de su propiedad</w:t>
      </w:r>
    </w:p>
    <w:p>
      <w:pPr>
        <w:spacing w:after="40"/>
      </w:pPr>
      <w:r>
        <w:t xml:space="preserve">3. Poder protocolarizado para apoderado de Luz Deyra en Colombia</w:t>
      </w:r>
    </w:p>
    <w:p>
      <w:pPr>
        <w:spacing w:after="120"/>
      </w:pPr>
      <w:r>
        <w:t xml:space="preserve">4. Certificado de no-deuda de Georlin de Jesús Martínez Giraldo</w:t>
      </w:r>
    </w:p>
    <w:p>
      <w:pPr>
        <w:pageBreakBefore/>
      </w:pPr>
    </w:p>
    <w:p>
      <w:pPr>
        <w:pStyle w:val="Heading1"/>
        <w:spacing w:after="120" w:before="240"/>
      </w:pPr>
      <w:r>
        <w:t xml:space="preserve">🎯 DECISIÓN OPERATIVA FINAL</w:t>
      </w:r>
    </w:p>
    <w:p>
      <w:pPr>
        <w:spacing w:after="60" w:before="120"/>
        <w:jc w:val="center"/>
      </w:pPr>
      <w:r>
        <w:t xml:space="preserve">AJUSTAR ANTES DE RADICAR</w:t>
      </w:r>
      <w:r>
        <w:rPr>
          <w:b/>
          <w:bCs/>
          <w:color w:val="ed7d31"/>
          <w:sz w:val="28"/>
          <w:szCs w:val="28"/>
        </w:rPr>
        <w:t xml:space="preserve">AJUSTAR ANTES DE RADICAR</w:t>
      </w:r>
    </w:p>
    <w:p/>
    <w:p>
      <w:pPr>
        <w:spacing w:after="60"/>
      </w:pPr>
      <w:r>
        <w:t xml:space="preserve">Justificación (3 líneas máximo):</w:t>
      </w:r>
    </w:p>
    <w:p>
      <w:pPr>
        <w:spacing w:after="40"/>
      </w:pPr>
      <w:r>
        <w:t xml:space="preserve">1. Existen dos hallazgos ALTO nivel que requieren corrección previa: (a) aclaración documentaria sobre participación en Matrícula 026-9064, (b) documentación de propiedad eclesiástica. El tiempo estimado de resolución es 15-20 días hábiles.</w:t>
      </w:r>
    </w:p>
    <w:p>
      <w:pPr>
        <w:spacing w:after="40"/>
      </w:pPr>
      <w:r>
        <w:t xml:space="preserve">2. No hay hallazgos CRÍTICOS irreversibles. Todos admiten corrección viable con gestión administrativa ordinaria. La falta de apoderado para heredera en exterior es trámite, no defecto sustancial.</w:t>
      </w:r>
    </w:p>
    <w:p>
      <w:pPr>
        <w:spacing w:after="240"/>
      </w:pPr>
      <w:r>
        <w:t xml:space="preserve">3. Una vez resueltas las acciones prioritarias (1.1-1.4), el documento estará LISTO PARA RADICAR ante cualquiera de las cuatro cortes identificadas (Constitucional, Suprema, Consejo de Estado, Juzgados de Familia).</w:t>
      </w:r>
    </w:p>
    <w:p>
      <w:pPr>
        <w:spacing w:after="60"/>
      </w:pPr>
      <w:r>
        <w:t xml:space="preserve">Plazo Operativo:</w:t>
      </w:r>
    </w:p>
    <w:p>
      <w:pPr>
        <w:spacing w:after="40"/>
      </w:pPr>
      <w:r>
        <w:t xml:space="preserve">• Fase 1 (Resolución de hallazgos): 15-20 días hábiles</w:t>
      </w:r>
    </w:p>
    <w:p>
      <w:pPr>
        <w:spacing w:after="40"/>
      </w:pPr>
      <w:r>
        <w:t xml:space="preserve">• Fase 2 (Preparación de radicación): 5-10 días hábiles</w:t>
      </w:r>
    </w:p>
    <w:p>
      <w:pPr>
        <w:spacing w:after="240"/>
      </w:pPr>
      <w:r>
        <w:t xml:space="preserve">• Total recomendado: 3-4 semanas desde hoy</w:t>
      </w:r>
    </w:p>
    <w:p>
      <w:pPr>
        <w:spacing w:after="60"/>
      </w:pPr>
      <w:r>
        <w:t xml:space="preserve">Capacidad de Radicación por Corte:</w:t>
      </w:r>
    </w:p>
    <w:p>
      <w:pPr>
        <w:spacing w:after="40"/>
      </w:pPr>
      <w:r>
        <w:t xml:space="preserve">✅ Corte Constitucional: Admisible (con aclaraciones de H-001)</w:t>
      </w:r>
    </w:p>
    <w:p>
      <w:pPr>
        <w:spacing w:after="40"/>
      </w:pPr>
      <w:r>
        <w:t xml:space="preserve">✅ Corte Suprema de Justicia: Admisible (con documentación de H-002)</w:t>
      </w:r>
    </w:p>
    <w:p>
      <w:pPr>
        <w:spacing w:after="40"/>
      </w:pPr>
      <w:r>
        <w:t xml:space="preserve">✅ Consejo de Estado: Admisible con salvedad (requiere apoderado para H-003)</w:t>
      </w:r>
    </w:p>
    <w:p>
      <w:pPr>
        <w:spacing w:after="240"/>
      </w:pPr>
      <w:r>
        <w:t xml:space="preserve">✅ Juzgados Especializados en Familia: DIRECTAMENTE ADMISIBLE (sin requisitos previos)</w:t>
      </w:r>
    </w:p>
    <w:p>
      <w:pPr>
        <w:spacing w:after="60" w:before="240"/>
      </w:pPr>
      <w:r>
        <w:t xml:space="preserve">═════════════════════════════════════════════════════════════</w:t>
      </w:r>
    </w:p>
    <w:p>
      <w:r>
        <w:t xml:space="preserve">Auditoría realizada: 12 de agosto de 2026</w:t>
      </w:r>
    </w:p>
    <w:p>
      <w:r>
        <w:t xml:space="preserve">Por: Sistema Jurídico Especializado JAC</w:t>
      </w:r>
    </w:p>
    <w:p>
      <w:r>
        <w:t xml:space="preserve">Validez: Para presentación ante cortes colombianas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2026-08-12T14:53:30.620Z</dcterms:created>
  <dcterms:modified xsi:type="dcterms:W3CDTF">2026-08-12T14:53:30.620Z</dcterms:modified>
</cp:coreProperties>
</file>

<file path=docProps/custom.xml><?xml version="1.0" encoding="utf-8"?>
<Properties xmlns="http://schemas.openxmlformats.org/officeDocument/2006/custom-properties" xmlns:vt="http://schemas.openxmlformats.org/officeDocument/2006/docPropsVTypes"/>
</file>