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b/>
          <w:color w:val="1F3A5F"/>
          <w:sz w:val="40"/>
        </w:rPr>
        <w:t>Propuesta de consultoría empresarial integrada con cumplimiento para Medellín y Antioquia</w:t>
      </w:r>
    </w:p>
    <w:p>
      <w:pPr>
        <w:spacing w:after="60"/>
      </w:pPr>
      <w:r>
        <w:rPr>
          <w:color w:val="595959"/>
          <w:sz w:val="19"/>
        </w:rPr>
        <w:t>Versión 3.0 · Borrador interno para discusión de socios · 25 de octubre de 2026</w:t>
      </w:r>
    </w:p>
    <w:p>
      <w:pPr>
        <w:spacing w:after="60"/>
      </w:pPr>
      <w:r>
        <w:rPr>
          <w:color w:val="595959"/>
          <w:sz w:val="19"/>
        </w:rPr>
        <w:t>Sociedad proponente: Aliado Consultoría y Gobernanza S.A.S. (denominación en trámite). El certificado de existencia examinado identifica a ALIADO GRUPO EMPRESARIAL S.A.S., NIT 900156955-3. Mientras no se complete la reforma y su registro, el nombre comercial no se usa en comunicaciones externas.</w:t>
      </w:r>
    </w:p>
    <w:p>
      <w:pPr>
        <w:spacing w:after="60"/>
      </w:pPr>
      <w:r>
        <w:rPr>
          <w:color w:val="595959"/>
          <w:sz w:val="19"/>
        </w:rPr>
        <w:t>Advertencia de verificación: esta versión no incluye cifras de mercado ni plazos normativos confirmados. Las referencias marcadas [VERIFICAR] deben cotejarse en fuente oficial antes de la aprobación.</w:t>
      </w:r>
    </w:p>
    <w:p>
      <w:pPr>
        <w:pBdr>
          <w:bottom w:val="single" w:sz="8" w:color="1F3A5F" w:space="1"/>
        </w:pBdr>
      </w:pPr>
    </w:p>
    <w:p>
      <w:pPr>
        <w:pStyle w:val="Heading1"/>
      </w:pPr>
      <w:r>
        <w:t>1. Resumen ejecutivo</w:t>
      </w:r>
    </w:p>
    <w:p>
      <w:r>
        <w:t>La propuesta es ofrecer en Medellín y Antioquia una consultoría empresarial que integre la gestión del negocio con el cumplimiento normativo. El cliente recibe un diagnóstico único que revisa procesos, contratos, datos personales, riesgos de corrupción y de lavado de activos cuando aplique, seguridad y salud en el trabajo, y gobierno de decisiones. A partir de ese diagnóstico se ejecuta un plan por módulos y se hace seguimiento periódico.</w:t>
      </w:r>
    </w:p>
    <w:p>
      <w:r>
        <w:t>La diferenciación no está en el catálogo de servicios, que también ofrecen otros actores, sino en tres puntos: un único diagnóstico que evita contratar por separado lo que se superpone; la separación clara entre lo que hace un consultor técnico y lo que requiere un abogado o un profesional habilitado; y un seguimiento con evidencia que el cliente pueda mostrar a socios, revisor fiscal o entidad de control.</w:t>
      </w:r>
    </w:p>
    <w:p>
      <w:r>
        <w:t>Decisión que se propone: aprobar una fase de estructuración de 90 días con cuatro condiciones previas (sección 12), sin comprometer todavía inversión, contratación ni lanzamiento comercial.</w:t>
      </w:r>
    </w:p>
    <w:p>
      <w:pPr>
        <w:pStyle w:val="Heading1"/>
      </w:pPr>
      <w:r>
        <w:t>2. Contexto de mercado en Medellín y Antioquia (hipótesis por validar)</w:t>
      </w:r>
    </w:p>
    <w:p>
      <w:r>
        <w:t>Las siguientes son hipótesis de trabajo. No se han validado con datos de la Cámara de Comercio de Medellín para Antioquia, del DANE ni con entrevistas comerciales.</w:t>
      </w:r>
    </w:p>
    <w:p>
      <w:pPr>
        <w:spacing w:after="80"/>
        <w:ind w:left="510" w:hanging="340"/>
      </w:pPr>
      <w:r>
        <w:t>1.  Sectores de referencia: manufactura y confección, tecnología y software, salud, comercio y distribución, construcción e inmobiliario, logística y turismo. Antioquia es un departamento con una base empresarial diversa, lo que permite segmentar.</w:t>
      </w:r>
    </w:p>
    <w:p>
      <w:pPr>
        <w:spacing w:after="80"/>
        <w:ind w:left="510" w:hanging="340"/>
      </w:pPr>
      <w:r>
        <w:t>2.  Ecosistema de apoyo a pymes y emprendimiento: la Cámara de Comercio de Medellín para Antioquia, la Alcaldía de Medellín a través de su secretaría de desarrollo económico, el Parque Tecnológico Ruta N y gremios sectoriales. Su oferta de programas, convocatorias y alianzas debe revisarse antes de definir canales.</w:t>
      </w:r>
    </w:p>
    <w:p>
      <w:pPr>
        <w:spacing w:after="80"/>
        <w:ind w:left="510" w:hanging="340"/>
      </w:pPr>
      <w:r>
        <w:t>3.  Demanda probable: pymes en crecimiento que necesitan ordenar contratos, protección de datos y gobierno básico antes de obtener financiación, clientes corporativos o contratos con grandes empresas que exigen debida diligencia en proveedores.</w:t>
      </w:r>
    </w:p>
    <w:p>
      <w:pPr>
        <w:spacing w:after="80"/>
        <w:ind w:left="510" w:hanging="340"/>
      </w:pPr>
      <w:r>
        <w:t>4.  Competencia: firmas de abogados, firmas de contadores y revisores fiscales, consultores de SG-SST y firmas de auditoría con áreas de cumplimiento. El posicionamiento debe apoyarse en integración y acompañamiento, no en precio.</w:t>
      </w:r>
    </w:p>
    <w:p>
      <w:r>
        <w:t>Antes de aprobar inversión se requiere: un cruce de sectores con indicadores públicos de la Cámara de Comercio y del DANE, y entrevistas que confirmen la prioridad de cada segmento (sección 8).</w:t>
      </w:r>
    </w:p>
    <w:p>
      <w:pPr>
        <w:pStyle w:val="Heading1"/>
      </w:pPr>
      <w:r>
        <w:t>3. Propuesta de valor</w:t>
      </w:r>
    </w:p>
    <w:p>
      <w:r>
        <w:t>Ayudar a empresas de Medellín y Antioquia a saber qué obligaciones les aplican, qué riesgos requieren atención y qué controles pueden ejecutar con sus recursos, con un plan que sirva también para tomar decisiones de negocio.</w:t>
      </w:r>
    </w:p>
    <w:p>
      <w:r>
        <w:t>Atributos verificables que la firma debe poder demostrar: alcance escrito de cada servicio; entregables con criterios de aceptación; separación explícita entre asesoría jurídica, asesoría técnica y evaluación independiente; y reporte periódico al cliente.</w:t>
      </w:r>
    </w:p>
    <w:p>
      <w:r>
        <w:t>No se usan frases como "garantizamos cumplimiento", "líderes del mercado" o "resultados asegurados". Tampoco se presenta la firma como despacho de abogados ni como entidad certificadora.</w:t>
      </w:r>
    </w:p>
    <w:p>
      <w:pPr>
        <w:pStyle w:val="Heading1"/>
      </w:pPr>
      <w:r>
        <w:t>4. Portafolio integrado</w:t>
      </w:r>
    </w:p>
    <w:p>
      <w:pPr>
        <w:pStyle w:val="Heading2"/>
      </w:pPr>
      <w:r>
        <w:t>4.1 Producto de entrada: diagnóstico integrado</w:t>
      </w:r>
    </w:p>
    <w:p>
      <w:r>
        <w:t>Duración y precio fijos por alcance, declarados antes de iniciar. Revisa en una sola visita y en un único informe:</w:t>
      </w:r>
    </w:p>
    <w:p>
      <w:pPr>
        <w:spacing w:after="80"/>
        <w:ind w:left="510" w:hanging="340"/>
      </w:pPr>
      <w:r>
        <w:t>1.  Gestión: procesos clave, dependencia de personas, indicadores disponibles y toma de decisiones.</w:t>
      </w:r>
    </w:p>
    <w:p>
      <w:pPr>
        <w:spacing w:after="80"/>
        <w:ind w:left="510" w:hanging="340"/>
      </w:pPr>
      <w:r>
        <w:t>2.  Contratos: clientes y proveedores de mayor impacto, cláusulas de riesgo y vencimientos.</w:t>
      </w:r>
    </w:p>
    <w:p>
      <w:pPr>
        <w:spacing w:after="80"/>
        <w:ind w:left="510" w:hanging="340"/>
      </w:pPr>
      <w:r>
        <w:t>3.  Datos personales: bases de datos, autorizaciones, aviso de privacidad y encargados [VERIFICAR obligación de inscripción en el RNBD].</w:t>
      </w:r>
    </w:p>
    <w:p>
      <w:pPr>
        <w:spacing w:after="80"/>
        <w:ind w:left="510" w:hanging="340"/>
      </w:pPr>
      <w:r>
        <w:t>4.  Ética y prevención: riesgos de corrupción, conflictos de interés y canal de denuncias. Si la empresa está obligada, se revisa SAGRILAFT [VERIFICAR obligados y umbrales].</w:t>
      </w:r>
    </w:p>
    <w:p>
      <w:pPr>
        <w:spacing w:after="80"/>
        <w:ind w:left="510" w:hanging="340"/>
      </w:pPr>
      <w:r>
        <w:t>5.  Seguridad y salud en el trabajo: estado del SG-SST, responsable y documentación básica.</w:t>
      </w:r>
    </w:p>
    <w:p>
      <w:pPr>
        <w:spacing w:after="80"/>
        <w:ind w:left="510" w:hanging="340"/>
      </w:pPr>
      <w:r>
        <w:t>6.  Tecnología e IA: sistemas críticos, respaldos y herramientas de IA en uso con datos de terceros.</w:t>
      </w:r>
    </w:p>
    <w:p>
      <w:r>
        <w:t>Entregable: informe con hallazgos clasificados por riesgo (alto, medio, bajo), criterio explícito para cada clasificación, plan de acción priorizado y limitaciones del alcance. El informe no es concepto jurídico ni dictamen de cumplimiento.</w:t>
      </w:r>
    </w:p>
    <w:p>
      <w:pPr>
        <w:pStyle w:val="Heading2"/>
      </w:pPr>
      <w:r>
        <w:t>4.2 Implementación por módulos</w:t>
      </w:r>
    </w:p>
    <w:p>
      <w:r>
        <w:t>Cada módulo se contrata por separado o como parte de un programa. Cada uno tiene responsable, entregables y criterio de aceptación.</w:t>
      </w:r>
    </w:p>
    <w:p>
      <w:pPr>
        <w:spacing w:after="80"/>
        <w:ind w:left="510" w:hanging="340"/>
      </w:pPr>
      <w:r>
        <w:t>1.  Gestión de procesos y gobierno de decisiones para pymes familiares y en crecimiento: manual de funciones, matriz de decisiones, indicadores y reuniones de seguimiento.</w:t>
      </w:r>
    </w:p>
    <w:p>
      <w:pPr>
        <w:spacing w:after="80"/>
        <w:ind w:left="510" w:hanging="340"/>
      </w:pPr>
      <w:r>
        <w:t>2.  Gestión contractual: plantillas de contratos con clientes y proveedores revisadas por abogado, registro de vencimientos y criterios de debida diligencia de proveedores.</w:t>
      </w:r>
    </w:p>
    <w:p>
      <w:pPr>
        <w:spacing w:after="80"/>
        <w:ind w:left="510" w:hanging="340"/>
      </w:pPr>
      <w:r>
        <w:t>3.  Protección de datos personales: inventario de bases de datos, políticas, autorizaciones, roles de responsable y encargado, y gestión de incidentes. Requiere revisión jurídica.</w:t>
      </w:r>
    </w:p>
    <w:p>
      <w:pPr>
        <w:spacing w:after="80"/>
        <w:ind w:left="510" w:hanging="340"/>
      </w:pPr>
      <w:r>
        <w:t>4.  Programa de transparencia y ética (PTEE) y canal de denuncias, cuando aplique [VERIFICAR obligación]. Requiere revisión jurídica.</w:t>
      </w:r>
    </w:p>
    <w:p>
      <w:pPr>
        <w:spacing w:after="80"/>
        <w:ind w:left="510" w:hanging="340"/>
      </w:pPr>
      <w:r>
        <w:t>5.  SAGRILAFT, cuando la empresa esté obligada. Solo se ofrece con profesional con experiencia y bajo los requisitos vigentes de la Superintendencia de Sociedades [VERIFICAR]. La firma no asume el cargo de oficial de cumplimiento.</w:t>
      </w:r>
    </w:p>
    <w:p>
      <w:pPr>
        <w:spacing w:after="80"/>
        <w:ind w:left="510" w:hanging="340"/>
      </w:pPr>
      <w:r>
        <w:t>6.  SG-SST: apoyo documental e implementación. Requiere profesional con licencia en seguridad y salud en el trabajo vigente [VERIFICAR Resolución 0312 de 2019 y requisitos del Ministerio del Trabajo].</w:t>
      </w:r>
    </w:p>
    <w:p>
      <w:pPr>
        <w:spacing w:after="80"/>
        <w:ind w:left="510" w:hanging="340"/>
      </w:pPr>
      <w:r>
        <w:t>7.  Gobernanza de IA y seguridad de la información: inventario de usos, evaluación de impactos sobre datos personales, política de uso y respaldos.</w:t>
      </w:r>
    </w:p>
    <w:p>
      <w:pPr>
        <w:pStyle w:val="Heading2"/>
      </w:pPr>
      <w:r>
        <w:t>4.3 Acompañamiento recurrente</w:t>
      </w:r>
    </w:p>
    <w:p>
      <w:r>
        <w:t>Cuota mensual para seguimiento de los módulos implementados, actualización normativa comunicada con verificación, revisión de nuevos contratos y reporte trimestral. El alcance mensual se define en el contrato, con horas o entregables máximos.</w:t>
      </w:r>
    </w:p>
    <w:p>
      <w:pPr>
        <w:pStyle w:val="Heading2"/>
      </w:pPr>
      <w:r>
        <w:t>4.4 Lo que la firma no hace</w:t>
      </w:r>
    </w:p>
    <w:p>
      <w:r>
        <w:t>Asesoría jurídica sin abogado con tarjeta profesional vigente. Representación judicial o administrativa. Asesoría tributaria, que se remite a contador público o abogado tributarista. Auditoría financiera o revisoría fiscal. Cargo de oficial de cumplimiento, de revisor fiscal o de delegado de protección de datos en la empresa cliente salvo que se contrate por separado y se habilite.</w:t>
      </w:r>
    </w:p>
    <w:p>
      <w:pPr>
        <w:pStyle w:val="Heading1"/>
      </w:pPr>
      <w:r>
        <w:t>5. Requisitos habilitantes por línea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A6B4C8"/>
          <w:left w:val="single" w:sz="4" w:color="A6B4C8"/>
          <w:bottom w:val="single" w:sz="4" w:color="A6B4C8"/>
          <w:right w:val="single" w:sz="4" w:color="A6B4C8"/>
          <w:insideH w:val="single" w:sz="4" w:color="A6B4C8"/>
          <w:insideV w:val="single" w:sz="4" w:color="A6B4C8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Línea</w:t>
            </w:r>
          </w:p>
        </w:tc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Quién la ejecuta</w:t>
            </w:r>
          </w:p>
        </w:tc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Requisito antes de ofrecerla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Diagnóstico integrado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Consultor de gestión y especialista en cumplimiento, con revisión jurídica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Abogado responsable designado por escrito</w:t>
            </w:r>
          </w:p>
        </w:tc>
      </w:tr>
      <w:tr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Gestión de procesos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Consultor de gestión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Ninguno jurídico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Gestión contractual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Abogado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Tarjeta profesional vigente</w:t>
            </w:r>
          </w:p>
        </w:tc>
      </w:tr>
      <w:tr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Datos personales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Abogado y especialista en privacidad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Tarjeta profesional vigente; verificar obligación de RNBD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PTEE y canal de denuncias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Especialista en cumplimiento y abogado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Revisión jurídica del programa</w:t>
            </w:r>
          </w:p>
        </w:tc>
      </w:tr>
      <w:tr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SAGRILAFT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Especialista en cumplimiento con experiencia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Verificar obligación del cliente y requisitos vigentes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SG-SST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Profesional con licencia SST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Licencia vigente; la firma no firma documentos reservados al empleador</w:t>
            </w:r>
          </w:p>
        </w:tc>
      </w:tr>
      <w:tr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IA y seguridad de la información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Especialista técnico y abogado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Revisión de contratos con proveedores de IA y nube</w:t>
            </w:r>
          </w:p>
        </w:tc>
      </w:tr>
    </w:tbl>
    <w:p>
      <w:pPr>
        <w:spacing w:after="40"/>
      </w:pPr>
    </w:p>
    <w:p>
      <w:pPr>
        <w:pStyle w:val="Heading1"/>
      </w:pPr>
      <w:r>
        <w:t>6. Modelo comercial para Medellín</w:t>
      </w:r>
    </w:p>
    <w:p>
      <w:pPr>
        <w:pStyle w:val="Heading2"/>
      </w:pPr>
      <w:r>
        <w:t>6.1 Canales</w:t>
      </w:r>
    </w:p>
    <w:p>
      <w:pPr>
        <w:spacing w:after="80"/>
        <w:ind w:left="510" w:hanging="340"/>
      </w:pPr>
      <w:r>
        <w:t>1.  Contadores públicos y revisores fiscales de pymes. Son el canal con más acceso a la empresa y más capacidad de referir. Requiere acuerdo de referencia escrito, con honorario de referencia o sin él según la política de la firma [VERIFICAR compatibilidad con reglas de honorarios y de captación].</w:t>
      </w:r>
    </w:p>
    <w:p>
      <w:pPr>
        <w:spacing w:after="80"/>
        <w:ind w:left="510" w:hanging="340"/>
      </w:pPr>
      <w:r>
        <w:t>2.  Gremios y asociaciones empresariales con presencia en Antioquia. Confirmar membresías y programas.</w:t>
      </w:r>
    </w:p>
    <w:p>
      <w:pPr>
        <w:spacing w:after="80"/>
        <w:ind w:left="510" w:hanging="340"/>
      </w:pPr>
      <w:r>
        <w:t>3.  Programas de la Cámara de Comercio de Medellín para Antioquia y de la Alcaldía de Medellín para emprendimiento y fortalecimiento de pymes, si hay convocatorias abiertas.</w:t>
      </w:r>
    </w:p>
    <w:p>
      <w:pPr>
        <w:spacing w:after="80"/>
        <w:ind w:left="510" w:hanging="340"/>
      </w:pPr>
      <w:r>
        <w:t>4.  Ecosistema de innovación, incluidos eventos del Parque Tecnológico Ruta N, para empresas de tecnología.</w:t>
      </w:r>
    </w:p>
    <w:p>
      <w:pPr>
        <w:spacing w:after="80"/>
        <w:ind w:left="510" w:hanging="340"/>
      </w:pPr>
      <w:r>
        <w:t>5.  Contenido educativo en redes, con las reglas de la guía de meta-prompts y la revisión del abogado responsable.</w:t>
      </w:r>
    </w:p>
    <w:p>
      <w:pPr>
        <w:pStyle w:val="Heading2"/>
      </w:pPr>
      <w:r>
        <w:t>6.2 Secuencia de venta</w:t>
      </w:r>
    </w:p>
    <w:p>
      <w:r>
        <w:t>Contacto con prospecto que haya autorizado la comunicación o referido por un tercero; llamada de descubrimiento de 20 minutos; propuesta de diagnóstico con alcance escrito; entrega del informe; propuesta de plan de implementación; seguimiento trimestral. En cada paso se usan los guiones de la guía de meta-prompts, con el bloque de control aplicado.</w:t>
      </w:r>
    </w:p>
    <w:p>
      <w:pPr>
        <w:pStyle w:val="Heading2"/>
      </w:pPr>
      <w:r>
        <w:t>6.3 Honorarios</w:t>
      </w:r>
    </w:p>
    <w:p>
      <w:r>
        <w:t>El diagnóstico tiene precio fijo por alcance. Los módulos se cobran por fases e hitos. El acompañamiento tiene cuota mensual con alcance máximo. Ningún precio se publica hasta tener costos y horas validados. Los honorarios se justifican con horas, costos directos y margen por servicio.</w:t>
      </w:r>
    </w:p>
    <w:p>
      <w:pPr>
        <w:pStyle w:val="Heading1"/>
      </w:pPr>
      <w:r>
        <w:t>7. Mercado inicial y segmentación</w:t>
      </w:r>
    </w:p>
    <w:p>
      <w:r>
        <w:t>Empresas privadas de Medellín y Antioquia con personal entre 20 y 200 trabajadores, o las que la clasificación de mipyme en Colombia defina como equivalentes [VERIFICAR Ley 905 de 2004 y criterios vigentes], con una necesidad concreta que el equipo pueda atender.</w:t>
      </w:r>
    </w:p>
    <w:p>
      <w:r>
        <w:t>Prioridad inicial propuesta: tres segmentos entre los sectores de la sección 2, seleccionados según resultado de las entrevistas. Se excluyen en esta fase la contratación pública y los mercados internacionales.</w:t>
      </w:r>
    </w:p>
    <w:p>
      <w:pPr>
        <w:pStyle w:val="Heading1"/>
      </w:pPr>
      <w:r>
        <w:t>8. Validación de mercado (propuesta para aprobar)</w:t>
      </w:r>
    </w:p>
    <w:p>
      <w:r>
        <w:t>Entre 12 y 15 entrevistas con gerentes generales o responsables de cumplimiento, de tres sectores, usando el guion de descubrimiento. Preguntas que deben quedar respondidas: qué obligaciones reconoce la empresa, quién las gestiona hoy, cuánto le cuesta no cumplir, qué contrataría, con qué presupuesto y en qué plazo.</w:t>
      </w:r>
    </w:p>
    <w:p>
      <w:r>
        <w:t>Criterio de avance: al menos tres intenciones de contratación por escrito en un mismo segmento y un piloto de diagnóstico con cliente que pague. Los umbrales definitivos los fijan los socios antes de iniciar la validación.</w:t>
      </w:r>
    </w:p>
    <w:p>
      <w:pPr>
        <w:pStyle w:val="Heading1"/>
      </w:pPr>
      <w:r>
        <w:t>9. Equipo y habilitación</w:t>
      </w:r>
    </w:p>
    <w:p>
      <w:pPr>
        <w:spacing w:after="80"/>
        <w:ind w:left="510" w:hanging="340"/>
      </w:pPr>
      <w:r>
        <w:t>1.  Dirección jurídica: abogado con tarjeta profesional vigente, designado como responsable, con suplente designado por escrito.</w:t>
      </w:r>
    </w:p>
    <w:p>
      <w:pPr>
        <w:spacing w:after="80"/>
        <w:ind w:left="510" w:hanging="340"/>
      </w:pPr>
      <w:r>
        <w:t>2.  Dirección de cumplimiento: profesional con experiencia en cumplimiento, datos personales o PTEE/SAGRILAFT, según el caso.</w:t>
      </w:r>
    </w:p>
    <w:p>
      <w:pPr>
        <w:spacing w:after="80"/>
        <w:ind w:left="510" w:hanging="340"/>
      </w:pPr>
      <w:r>
        <w:t>3.  Especialista en SST con licencia vigente, cuando se ofrezca la línea.</w:t>
      </w:r>
    </w:p>
    <w:p>
      <w:pPr>
        <w:spacing w:after="80"/>
        <w:ind w:left="510" w:hanging="340"/>
      </w:pPr>
      <w:r>
        <w:t>4.  Consultor de gestión y procesos.</w:t>
      </w:r>
    </w:p>
    <w:p>
      <w:pPr>
        <w:spacing w:after="80"/>
        <w:ind w:left="510" w:hanging="340"/>
      </w:pPr>
      <w:r>
        <w:t>5.  Especialista técnico en seguridad de la información e IA.</w:t>
      </w:r>
    </w:p>
    <w:p>
      <w:pPr>
        <w:spacing w:after="80"/>
        <w:ind w:left="510" w:hanging="340"/>
      </w:pPr>
      <w:r>
        <w:t>6.  Coordinación comercial y operativa.</w:t>
      </w:r>
    </w:p>
    <w:p>
      <w:pPr>
        <w:spacing w:after="80"/>
        <w:ind w:left="510" w:hanging="340"/>
      </w:pPr>
      <w:r>
        <w:t>7.  Revisor independiente para los entregables de mayor riesgo.</w:t>
      </w:r>
    </w:p>
    <w:p>
      <w:r>
        <w:t>Antes de presentar cualquier persona como parte del equipo se verifican formación, habilitación cuando proceda, experiencia y vinculación efectiva, y se obtiene autorización escrita para usar su nombre.</w:t>
      </w:r>
    </w:p>
    <w:p>
      <w:pPr>
        <w:pStyle w:val="Heading1"/>
      </w:pPr>
      <w:r>
        <w:t>10. Condiciones de operación</w:t>
      </w:r>
    </w:p>
    <w:p>
      <w:pPr>
        <w:spacing w:after="80"/>
        <w:ind w:left="510" w:hanging="340"/>
      </w:pPr>
      <w:r>
        <w:t>1.  Domicilio y registro: verificar en el certificado de existencia y en el registro mercantil de la Cámara de Comercio de Medellín para Antioquia la ciudad del domicilio y la actividad registrada, incluido el código CIIU de consultoría de gestión (7020) y el de actividades jurídicas (6910), si se ofrece asesoría jurídica [VERIFICAR en RUT].</w:t>
      </w:r>
    </w:p>
    <w:p>
      <w:pPr>
        <w:spacing w:after="80"/>
        <w:ind w:left="510" w:hanging="340"/>
      </w:pPr>
      <w:r>
        <w:t>2.  Tratamiento de datos de la propia firma y de clientes: roles de responsable y encargado por escrito, repositorios separados, permisos por persona, y reglas de reserva profesional.</w:t>
      </w:r>
    </w:p>
    <w:p>
      <w:pPr>
        <w:spacing w:after="80"/>
        <w:ind w:left="510" w:hanging="340"/>
      </w:pPr>
      <w:r>
        <w:t>3.  Herramientas de IA: no se ingresan datos de clientes, expedientes ni documentos identificables. Los prompts de la guía se aplican con casos ficticios o anonimizados.</w:t>
      </w:r>
    </w:p>
    <w:p>
      <w:pPr>
        <w:spacing w:after="80"/>
        <w:ind w:left="510" w:hanging="340"/>
      </w:pPr>
      <w:r>
        <w:t>4.  Seguros: póliza de responsabilidad civil profesional con coberturas acordes al portafolio. Verificar que la póliza cubra las actividades jurídicas si se ofrecen.</w:t>
      </w:r>
    </w:p>
    <w:p>
      <w:pPr>
        <w:spacing w:after="80"/>
        <w:ind w:left="510" w:hanging="340"/>
      </w:pPr>
      <w:r>
        <w:t>5.  Anexos contractuales (contrato marco, seis anexos, acuerdos de confidencialidad y datos, manual operativo): revisión por abogado distinto de quien los redactó antes de usarlos con clientes.</w:t>
      </w:r>
    </w:p>
    <w:p>
      <w:pPr>
        <w:pStyle w:val="Heading1"/>
      </w:pPr>
      <w:r>
        <w:t>11. Plan de 90 días (planeación, no compromiso de ejecución)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A6B4C8"/>
          <w:left w:val="single" w:sz="4" w:color="A6B4C8"/>
          <w:bottom w:val="single" w:sz="4" w:color="A6B4C8"/>
          <w:right w:val="single" w:sz="4" w:color="A6B4C8"/>
          <w:insideH w:val="single" w:sz="4" w:color="A6B4C8"/>
          <w:insideV w:val="single" w:sz="4" w:color="A6B4C8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321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Criterio de avance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Mes 1: estructuración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Verificar denominación, objeto social y CIIU; designar abogado responsable y suplente; revisar anexos; definir alcance y precio del diagnóstico; definir equipo y presupuesto; mapear canales de Medellín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Responsables aprobados y anexos con observaciones cerradas</w:t>
            </w:r>
          </w:p>
        </w:tc>
      </w:tr>
      <w:tr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Mes 2: validación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Ejecutar entre 12 y 15 entrevistas; preparar el diagnóstico piloto; cotizar seguros; registrar acuerdos de referencia; verificar obligaciones de SAGRILAFT, PTEE, RNBD y SG-SST por segmento</w:t>
            </w:r>
          </w:p>
        </w:tc>
        <w:tc>
          <w:tcPr>
            <w:tcW w:type="dxa" w:w="3211"/>
            <w:shd w:val="clear" w:color="auto" w:fill="EEF2F7"/>
          </w:tcPr>
          <w:p>
            <w:pPr>
              <w:spacing w:after="40"/>
            </w:pPr>
            <w:r/>
            <w:r>
              <w:rPr>
                <w:sz w:val="19"/>
              </w:rPr>
              <w:t>Informe de validación y decisión de segmentos</w:t>
            </w:r>
          </w:p>
        </w:tc>
      </w:tr>
      <w:tr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Mes 3: lanzamiento gradual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Ofrecer solo líneas con habilitación acreditada; cerrar el piloto con informe; formalizar primeros encargos si existen clientes interesados; medir y ajustar</w:t>
            </w:r>
          </w:p>
        </w:tc>
        <w:tc>
          <w:tcPr>
            <w:tcW w:type="dxa" w:w="3211"/>
          </w:tcPr>
          <w:p>
            <w:pPr>
              <w:spacing w:after="40"/>
            </w:pPr>
            <w:r/>
            <w:r>
              <w:rPr>
                <w:sz w:val="19"/>
              </w:rPr>
              <w:t>Primeros contratos firmados o decisión de no avanzar</w:t>
            </w:r>
          </w:p>
        </w:tc>
      </w:tr>
    </w:tbl>
    <w:p>
      <w:pPr>
        <w:spacing w:after="40"/>
      </w:pPr>
    </w:p>
    <w:p>
      <w:r>
        <w:t>Si la validación no se cumple, la fase se detiene sin comprometer inversión adicional.</w:t>
      </w:r>
    </w:p>
    <w:p>
      <w:pPr>
        <w:pStyle w:val="Heading1"/>
      </w:pPr>
      <w:r>
        <w:t>12. Condiciones previas a la aprobación</w:t>
      </w:r>
    </w:p>
    <w:p>
      <w:pPr>
        <w:spacing w:after="80"/>
        <w:ind w:left="510" w:hanging="340"/>
      </w:pPr>
      <w:r>
        <w:t>1.  Designar al abogado responsable con tarjeta profesional vigente y su suplente.</w:t>
      </w:r>
    </w:p>
    <w:p>
      <w:pPr>
        <w:spacing w:after="80"/>
        <w:ind w:left="510" w:hanging="340"/>
      </w:pPr>
      <w:r>
        <w:t>2.  Verificar en el certificado de existencia, en el RUT y en los estatutos el objeto social, el domicilio y los códigos de actividad económica.</w:t>
      </w:r>
    </w:p>
    <w:p>
      <w:pPr>
        <w:spacing w:after="80"/>
        <w:ind w:left="510" w:hanging="340"/>
      </w:pPr>
      <w:r>
        <w:t>3.  Someter los anexos contractuales a revisión jurídica independiente.</w:t>
      </w:r>
    </w:p>
    <w:p>
      <w:pPr>
        <w:spacing w:after="80"/>
        <w:ind w:left="510" w:hanging="340"/>
      </w:pPr>
      <w:r>
        <w:t>4.  Confirmar, por escrito y con fuente oficial, las obligaciones de cada línea que se ofrezca (SAGRILAFT, PTEE, RNBD, SG-SST).</w:t>
      </w:r>
    </w:p>
    <w:p>
      <w:pPr>
        <w:pStyle w:val="Heading1"/>
      </w:pPr>
      <w:r>
        <w:t>13. Presupuesto y viabilidad</w:t>
      </w:r>
    </w:p>
    <w:p>
      <w:r>
        <w:t>El presupuesto separará: costos de constitución o reforma y registro; honorarios de especialistas por línea; licencias y herramientas; seguridad de la información; seguro de responsabilidad civil; arriendo y servicios en Medellín; administración; comercialización; y capital de trabajo.</w:t>
      </w:r>
    </w:p>
    <w:p>
      <w:r>
        <w:t>Métricas: margen por servicio después de costos directos; punto de equilibrio igual a costos fijos divididos por el margen de contribución; y días de cobro esperados por tipo de cliente.</w:t>
      </w:r>
    </w:p>
    <w:p>
      <w:r>
        <w:t>No se asume que un anticipo sea utilidad ni que toda hora trabajada esté cobrada. Los supuestos de tarifa, horas y plazo de cobro deben validarse antes de aprobar inversión. No se presentan cifras en esta versión.</w:t>
      </w:r>
    </w:p>
    <w:p>
      <w:pPr>
        <w:pStyle w:val="Heading1"/>
      </w:pPr>
      <w:r>
        <w:t>14. Indicadores de seguimiento mensual</w:t>
      </w:r>
    </w:p>
    <w:p>
      <w:r>
        <w:t>Comercial: contactos autorizados, referidos recibidos por canal, llamadas de descubrimiento, diagnósticos vendidos, propuestas y contratos firmados.</w:t>
      </w:r>
    </w:p>
    <w:p>
      <w:r>
        <w:t>Financiero: ingresos facturados y recaudados, margen por servicio, cartera vencida y punto de equilibrio.</w:t>
      </w:r>
    </w:p>
    <w:p>
      <w:r>
        <w:t>Operativo: hitos cumplidos, observaciones de clientes, incidentes de datos o seguridad y vencimientos atendidos.</w:t>
      </w:r>
    </w:p>
    <w:p>
      <w:r>
        <w:t>Cumplimiento interno: revisiones jurídicas completadas, piezas publicadas con revisión, solicitudes de acceso a datos atendidas.</w:t>
      </w:r>
    </w:p>
    <w:p>
      <w:r>
        <w:t>Las metas numéricas se fijan después de validar costos y capacidad.</w:t>
      </w:r>
    </w:p>
    <w:p>
      <w:pPr>
        <w:pStyle w:val="Heading1"/>
      </w:pPr>
      <w:r>
        <w:t>15. Riesgos</w:t>
      </w:r>
    </w:p>
    <w:p>
      <w:pPr>
        <w:spacing w:after="80"/>
        <w:ind w:left="510" w:hanging="340"/>
      </w:pPr>
      <w:r>
        <w:t>1.  Ejercicio no autorizado de la abogacía por asesoría jurídica prestada sin abogado habilitado. Riesgo alto. Mitigación: abogado responsable y revisión de todo contenido jurídico.</w:t>
      </w:r>
    </w:p>
    <w:p>
      <w:pPr>
        <w:spacing w:after="80"/>
        <w:ind w:left="510" w:hanging="340"/>
      </w:pPr>
      <w:r>
        <w:t>2.  Publicidad engañosa o promesas de cumplimiento. Riesgo alto. Mitigación: lista de revisión de la guía y revisión jurídica de cada pieza [VERIFICAR Ley 1480 de 2011 y Ley 1123 de 2007].</w:t>
      </w:r>
    </w:p>
    <w:p>
      <w:pPr>
        <w:spacing w:after="80"/>
        <w:ind w:left="510" w:hanging="340"/>
      </w:pPr>
      <w:r>
        <w:t>3.  Datos de clientes en herramientas de IA o correos sin autorización. Riesgo alto. Mitigación: reglas de la sección 10 y consentimiento verificable.</w:t>
      </w:r>
    </w:p>
    <w:p>
      <w:pPr>
        <w:spacing w:after="80"/>
        <w:ind w:left="510" w:hanging="340"/>
      </w:pPr>
      <w:r>
        <w:t>4.  Captación indebida de clientes a través de referidos con honorario. Riesgo alto. Mitigación: revisión jurídica del acuerdo de referencia antes de firmarlo.</w:t>
      </w:r>
    </w:p>
    <w:p>
      <w:pPr>
        <w:spacing w:after="80"/>
        <w:ind w:left="510" w:hanging="340"/>
      </w:pPr>
      <w:r>
        <w:t>5.  Dependencia de una sola persona en la parte jurídica o de cumplimiento. Riesgo medio. Mitigación: suplentes designados.</w:t>
      </w:r>
    </w:p>
    <w:p>
      <w:pPr>
        <w:spacing w:after="80"/>
        <w:ind w:left="510" w:hanging="340"/>
      </w:pPr>
      <w:r>
        <w:t>6.  Responsabilidad por diagnósticos con alcance mal definido. Riesgo medio. Mitigación: exclusiones expresas y seguro.</w:t>
      </w:r>
    </w:p>
    <w:p>
      <w:pPr>
        <w:spacing w:after="80"/>
        <w:ind w:left="510" w:hanging="340"/>
      </w:pPr>
      <w:r>
        <w:t>7.  Conflicto de interés al diagnosticar y después implementar lo mismo. Riesgo medio. Mitigación: separar, cuando sea posible, quién diagnostica y quién implementa.</w:t>
      </w:r>
    </w:p>
    <w:p>
      <w:pPr>
        <w:spacing w:after="80"/>
        <w:ind w:left="510" w:hanging="340"/>
      </w:pPr>
      <w:r>
        <w:t>8.  Cambios normativos no monitoreados. Riesgo medio. Mitigación: revisión trimestral con fuente oficial y fecha de consulta.</w:t>
      </w:r>
    </w:p>
    <w:p>
      <w:pPr>
        <w:pStyle w:val="Heading1"/>
      </w:pPr>
      <w:r>
        <w:t>16. Decisiones solicitadas a los socios</w:t>
      </w:r>
    </w:p>
    <w:p>
      <w:pPr>
        <w:spacing w:after="80"/>
        <w:ind w:left="510" w:hanging="340"/>
      </w:pPr>
      <w:r>
        <w:t>1.  Aprobar el enfoque de consultoría empresarial integrada con cumplimiento, con la parte jurídica prestada por abogado habilitado.</w:t>
      </w:r>
    </w:p>
    <w:p>
      <w:pPr>
        <w:spacing w:after="80"/>
        <w:ind w:left="510" w:hanging="340"/>
      </w:pPr>
      <w:r>
        <w:t>2.  Autorizar la verificación de denominación, objeto social, domicilio y CIIU antes de cualquier registro o comunicación externa.</w:t>
      </w:r>
    </w:p>
    <w:p>
      <w:pPr>
        <w:spacing w:after="80"/>
        <w:ind w:left="510" w:hanging="340"/>
      </w:pPr>
      <w:r>
        <w:t>3.  Designar al abogado responsable y a su suplente.</w:t>
      </w:r>
    </w:p>
    <w:p>
      <w:pPr>
        <w:spacing w:after="80"/>
        <w:ind w:left="510" w:hanging="340"/>
      </w:pPr>
      <w:r>
        <w:t>4.  Encargar la revisión jurídica independiente de los anexos contractuales y de los acuerdos de referencia.</w:t>
      </w:r>
    </w:p>
    <w:p>
      <w:pPr>
        <w:spacing w:after="80"/>
        <w:ind w:left="510" w:hanging="340"/>
      </w:pPr>
      <w:r>
        <w:t>5.  Encargar el presupuesto, el esquema de honorarios y el equipo.</w:t>
      </w:r>
    </w:p>
    <w:p>
      <w:pPr>
        <w:spacing w:after="80"/>
        <w:ind w:left="510" w:hanging="340"/>
      </w:pPr>
      <w:r>
        <w:t>6.  Aprobar la fase de validación en Medellín con entrevistas, diagnóstico piloto y umbrales de avance.</w:t>
      </w:r>
    </w:p>
    <w:p>
      <w:pPr>
        <w:spacing w:after="80"/>
        <w:ind w:left="510" w:hanging="340"/>
      </w:pPr>
      <w:r>
        <w:t>7.  Reservar para después del piloto la decisión sobre inversión, contratación de especialistas y lanzamiento.</w:t>
      </w:r>
    </w:p>
    <w:p>
      <w:pPr>
        <w:spacing w:before="160"/>
        <w:ind w:left="170"/>
      </w:pPr>
      <w:r>
        <w:rPr>
          <w:i/>
          <w:color w:val="595959"/>
          <w:sz w:val="19"/>
        </w:rPr>
        <w:t>Estado: borrador interno, no es acta ni decisión adoptada. La aprobación societaria corresponde al órgano competente.</w:t>
      </w:r>
    </w:p>
    <w:p>
      <w:pPr>
        <w:pStyle w:val="Heading1"/>
      </w:pPr>
      <w:r>
        <w:t>17. Documentos pendientes de verificación</w:t>
      </w:r>
    </w:p>
    <w:p>
      <w:pPr>
        <w:spacing w:after="80"/>
        <w:ind w:left="510" w:hanging="340"/>
      </w:pPr>
      <w:r>
        <w:t>1.  Certificado de existencia y representación legal actualizado, con la actividad registrada.</w:t>
      </w:r>
    </w:p>
    <w:p>
      <w:pPr>
        <w:spacing w:after="80"/>
        <w:ind w:left="510" w:hanging="340"/>
      </w:pPr>
      <w:r>
        <w:t>2.  RUT con códigos de actividad económica.</w:t>
      </w:r>
    </w:p>
    <w:p>
      <w:pPr>
        <w:spacing w:after="80"/>
        <w:ind w:left="510" w:hanging="340"/>
      </w:pPr>
      <w:r>
        <w:t>3.  Estatutos y objeto social.</w:t>
      </w:r>
    </w:p>
    <w:p>
      <w:pPr>
        <w:spacing w:after="80"/>
        <w:ind w:left="510" w:hanging="340"/>
      </w:pPr>
      <w:r>
        <w:t>4.  Contrato marco, seis anexos, acuerdos de confidencialidad y datos y manual operativo, con revisión jurídica.</w:t>
      </w:r>
    </w:p>
    <w:p>
      <w:pPr>
        <w:spacing w:after="80"/>
        <w:ind w:left="510" w:hanging="340"/>
      </w:pPr>
      <w:r>
        <w:t>5.  Normas marcadas [VERIFICAR], confirmadas en SUIN Juriscol, la Superintendencia de Sociedades, la Superintendencia de Industria y Comercio y el Ministerio del Trabajo, con fecha de consulta.</w:t>
      </w:r>
    </w:p>
    <w:p>
      <w:pPr>
        <w:spacing w:after="80"/>
        <w:ind w:left="510" w:hanging="340"/>
      </w:pPr>
      <w:r>
        <w:t>6.  Datos de mercado de la Cámara de Comercio de Medellín para Antioquia y del DANE.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Borrador interno · Confidencial · 25 de octubre de 2026 · Página </w:t>
    </w:r>
    <w:r>
      <w:rPr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ALIADO CONSULTORÍA Y GOBERNANZA S.A.S.  ·  Propuesta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consultoría empresarial integrada con cumplimiento para Medellín y Antioquia</dc:title>
  <dc:subject/>
  <dc:creator>Aliado Consultoría y Gobernanza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