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val="0"/>
          <w:i w:val="0"/>
          <w:sz w:val="22"/>
        </w:rPr>
        <w:t>Medellín, ____ de julio de 2026</w:t>
      </w:r>
    </w:p>
    <w:p>
      <w:pPr>
        <w:spacing w:after="0"/>
        <w:jc w:val="left"/>
      </w:pPr>
      <w:r>
        <w:rPr>
          <w:b/>
          <w:i w:val="0"/>
          <w:sz w:val="22"/>
        </w:rPr>
        <w:t>SEÑOR(A)</w:t>
      </w:r>
    </w:p>
    <w:p>
      <w:pPr>
        <w:spacing w:after="0"/>
        <w:jc w:val="left"/>
      </w:pPr>
      <w:r>
        <w:rPr>
          <w:b/>
          <w:i w:val="0"/>
          <w:sz w:val="22"/>
        </w:rPr>
        <w:t>JUEZ ADMINISTRATIVO DEL CIRCUITO DE MEDELLÍN (REPARTO)</w:t>
      </w:r>
    </w:p>
    <w:p>
      <w:pPr>
        <w:spacing w:after="160"/>
        <w:jc w:val="left"/>
      </w:pPr>
      <w:r>
        <w:rPr>
          <w:b/>
          <w:i w:val="0"/>
          <w:sz w:val="22"/>
        </w:rPr>
        <w:t>E. S. D.</w:t>
      </w:r>
    </w:p>
    <w:p>
      <w:pPr>
        <w:jc w:val="both"/>
      </w:pPr>
      <w:r>
        <w:rPr>
          <w:b/>
        </w:rPr>
        <w:t xml:space="preserve">REFERENCIA: </w:t>
      </w:r>
      <w:r>
        <w:rPr>
          <w:b w:val="0"/>
        </w:rPr>
        <w:t>Demanda en ejercicio del medio de control de REPARACIÓN DIRECTA (artículo 140 de la Ley 1437 de 2011 — CPACA), por ERROR JURISDICCIONAL (artículos 65, 66 y 67 de la Ley 270 de 1996).</w:t>
      </w:r>
    </w:p>
    <w:p>
      <w:pPr>
        <w:jc w:val="both"/>
      </w:pPr>
      <w:r>
        <w:rPr>
          <w:b/>
        </w:rPr>
        <w:t xml:space="preserve">DEMANDANTES: </w:t>
      </w:r>
      <w:r>
        <w:rPr>
          <w:b w:val="0"/>
        </w:rPr>
        <w:t>Óscar Darío Arias Agudelo, Doris Elena Restrepo Giraldo, María Mercedes Agudelo Ospina, Chris Alvin Arias Restrepo, Luz Mery Arias Agudelo y Nubia Ledy Arias Agudelo.</w:t>
      </w:r>
    </w:p>
    <w:p>
      <w:pPr>
        <w:jc w:val="both"/>
      </w:pPr>
      <w:r>
        <w:rPr>
          <w:b/>
        </w:rPr>
        <w:t xml:space="preserve">DEMANDADAS: </w:t>
      </w:r>
      <w:r>
        <w:rPr>
          <w:b w:val="0"/>
        </w:rPr>
        <w:t>(i) La Nación – Rama Judicial, representada por el Director Ejecutivo de Administración Judicial, con vinculación del Consejo de Estado – Sección Primera y del Tribunal Administrativo de Antioquia; (ii) el Municipio de Bello, entidad territorial representada por el Alcalde Municipal, a la que pertenece el Concejo Municipal de Bello, órgano que comparecerá además por conducto de su Presidente (artículo 159 del CPACA).</w:t>
      </w:r>
    </w:p>
    <w:p>
      <w:pPr>
        <w:jc w:val="both"/>
      </w:pPr>
      <w:r>
        <w:rPr>
          <w:b/>
        </w:rPr>
        <w:t xml:space="preserve">ENTIDAD CITADA: </w:t>
      </w:r>
      <w:r>
        <w:rPr>
          <w:b w:val="0"/>
        </w:rPr>
        <w:t>Agencia Nacional de Defensa Jurídica del Estado (artículo 610 del Código General del Proceso y Decreto Ley 4085 de 2011).</w:t>
      </w:r>
    </w:p>
    <w:p>
      <w:pPr>
        <w:jc w:val="both"/>
      </w:pPr>
      <w:r>
        <w:rPr>
          <w:b/>
        </w:rPr>
        <w:t xml:space="preserve">CUANTÍA (art. 157 CPACA): </w:t>
      </w:r>
      <w:r>
        <w:rPr>
          <w:b w:val="0"/>
        </w:rPr>
        <w:t>La cuantía para efectos de competencia se determina por la pretensión mayor individualmente considerada — los perjuicios materiales de la víctima directa —: CIENTO CINCUENTA Y UN MILLONES QUINIENTOS SESENTA Y NUEVE MIL CUATROCIENTOS UN PESOS CON TREINTA Y DOS CENTAVOS ($151.569.401,32), equivalentes a 96,14 SMLMV de 2026, sin computar los perjuicios inmateriales, cuya estimación el artículo 157 del CPACA excluye expresamente del cálculo de la cuantía. El valor total indicativo de las pretensiones, liquidado a SMLMV de 2026 y sin efecto sobre la cuantía competencial, asciende a SETECIENTOS OCHENTA Y DOS MILLONES CIENTO SESENTA Y NUEVE MIL CUATROCIENTOS UN PESOS CON TREINTA Y DOS CENTAVOS ($782.169.401,32).</w:t>
      </w:r>
    </w:p>
    <w:p>
      <w:pPr>
        <w:spacing w:after="160"/>
        <w:jc w:val="both"/>
      </w:pPr>
      <w:r>
        <w:rPr>
          <w:b w:val="0"/>
          <w:i w:val="0"/>
          <w:sz w:val="22"/>
        </w:rPr>
        <w:t>Yo, ANA PATRICIA OCHOA PELÁEZ, mayor de edad, domiciliada en el municipio de Bello, Antioquia, identificada con cédula de ciudadanía número 43.439.471 de Bello, abogada portadora de la Tarjeta Profesional número 367.180 del Consejo Superior de la Judicatura, actuando como apoderada judicial de ÓSCAR DARÍO ARIAS AGUDELO y de su núcleo familiar conforme a los poderes especiales anexos — en los cuales se designó igualmente al doctor JORGE ÁNGEL CORTÉS CARTAGENA (C.C. 98.624.171 de Itagüí, T.P. 365.594) como apoderado sustituto para actuar en ausencia o falta de la principal, sin actuación simultánea (artículo 75 del CGP) —, respetuosamente presento DEMANDA en ejercicio del medio de control de REPARACIÓN DIRECTA contra las entidades de la referencia, con fundamento en lo siguiente.</w:t>
      </w:r>
    </w:p>
    <w:p>
      <w:pPr>
        <w:spacing w:after="200"/>
        <w:jc w:val="left"/>
      </w:pPr>
      <w:r>
        <w:rPr>
          <w:b/>
          <w:i w:val="0"/>
          <w:sz w:val="24"/>
        </w:rPr>
        <w:t>I. PARTES E INTERVINIENTES</w:t>
      </w:r>
    </w:p>
    <w:p>
      <w:pPr>
        <w:spacing w:after="80"/>
        <w:jc w:val="left"/>
      </w:pPr>
      <w:r>
        <w:rPr>
          <w:b/>
          <w:i w:val="0"/>
          <w:sz w:val="22"/>
        </w:rPr>
        <w:t>1. Parte demandante:</w:t>
      </w:r>
    </w:p>
    <w:p>
      <w:pPr>
        <w:spacing w:after="160"/>
        <w:jc w:val="both"/>
      </w:pPr>
      <w:r>
        <w:rPr>
          <w:b w:val="0"/>
          <w:i w:val="0"/>
          <w:sz w:val="22"/>
        </w:rPr>
        <w:t>1.1. Óscar Darío Arias Agudelo, C.C. 98.491.692 de Bello, domiciliado en Bello (Carrera 65A No. 76-48, segundo piso), víctima directa del daño antijurídico.</w:t>
      </w:r>
    </w:p>
    <w:p>
      <w:pPr>
        <w:spacing w:after="160"/>
        <w:jc w:val="both"/>
      </w:pPr>
      <w:r>
        <w:rPr>
          <w:b w:val="0"/>
          <w:i w:val="0"/>
          <w:sz w:val="22"/>
        </w:rPr>
        <w:t>1.2. Doris Elena Restrepo Giraldo, C.C. 43.678.004 de Bello, domiciliada en Bello (Carrera 61 No. 56A-09), cónyuge de la víctima directa, calidad que se acredita con el registro civil de matrimonio anexo.</w:t>
      </w:r>
    </w:p>
    <w:p>
      <w:pPr>
        <w:spacing w:after="160"/>
        <w:jc w:val="both"/>
      </w:pPr>
      <w:r>
        <w:rPr>
          <w:b w:val="0"/>
          <w:i w:val="0"/>
          <w:sz w:val="22"/>
        </w:rPr>
        <w:t>1.3. María Mercedes Agudelo Ospina, C.C. 22.224.840 de Yolombó, domiciliada en Bello (Carrera 65A No. 76-48, segundo piso), madre de la víctima directa.</w:t>
      </w:r>
    </w:p>
    <w:p>
      <w:pPr>
        <w:spacing w:after="160"/>
        <w:jc w:val="both"/>
      </w:pPr>
      <w:r>
        <w:rPr>
          <w:b w:val="0"/>
          <w:i w:val="0"/>
          <w:sz w:val="22"/>
        </w:rPr>
        <w:t>1.4. Chris Alvin Arias Restrepo, C.C. 1.006.968.992 de Bello, domiciliado en Bello (Carrera 61 No. 56A-09), hijo de la víctima directa.</w:t>
      </w:r>
    </w:p>
    <w:p>
      <w:pPr>
        <w:spacing w:after="160"/>
        <w:jc w:val="both"/>
      </w:pPr>
      <w:r>
        <w:rPr>
          <w:b w:val="0"/>
          <w:i w:val="0"/>
          <w:sz w:val="22"/>
        </w:rPr>
        <w:t>1.5. Luz Mery Arias Agudelo, C.C. 43.430.386 de Bello, domiciliada en Bello (Carrera 65A No. 76-48, apartamento 301), hermana de la víctima directa, con quien comparte el mismo inmueble y comunidad de vida.</w:t>
      </w:r>
    </w:p>
    <w:p>
      <w:pPr>
        <w:spacing w:after="160"/>
        <w:jc w:val="both"/>
      </w:pPr>
      <w:r>
        <w:rPr>
          <w:b w:val="0"/>
          <w:i w:val="0"/>
          <w:sz w:val="22"/>
        </w:rPr>
        <w:t>1.6. Nubia Ledy Arias Agudelo, C.C. 43.666.537 de Bello, domiciliada en Bello (Carrera 65A No. 76-48, segundo piso), hermana de la víctima directa, con quien convive bajo el mismo techo.</w:t>
      </w:r>
    </w:p>
    <w:p>
      <w:pPr>
        <w:spacing w:after="160"/>
        <w:jc w:val="both"/>
      </w:pPr>
      <w:r>
        <w:rPr>
          <w:b w:val="0"/>
          <w:i w:val="0"/>
          <w:sz w:val="22"/>
        </w:rPr>
        <w:t>Los vínculos se acreditan con los registros civiles de nacimiento de la víctima directa, de su hijo y de sus hermanas, el registro civil de nacimiento que acredita la maternidad y el registro civil de matrimonio, todos anexos.</w:t>
      </w:r>
    </w:p>
    <w:p>
      <w:pPr>
        <w:spacing w:after="80"/>
        <w:jc w:val="left"/>
      </w:pPr>
      <w:r>
        <w:rPr>
          <w:b/>
          <w:i w:val="0"/>
          <w:sz w:val="22"/>
        </w:rPr>
        <w:t>2. Parte demandada:</w:t>
      </w:r>
    </w:p>
    <w:p>
      <w:pPr>
        <w:spacing w:after="160"/>
        <w:jc w:val="both"/>
      </w:pPr>
      <w:r>
        <w:rPr>
          <w:b w:val="0"/>
          <w:i w:val="0"/>
          <w:sz w:val="22"/>
        </w:rPr>
        <w:t>2.1. La Nación – Rama Judicial, representada por el Director Ejecutivo de Administración Judicial (artículo 99, numeral 8, de la Ley 270 de 1996). Se solicita la vinculación del Consejo de Estado – Sección Primera y del Tribunal Administrativo de Antioquia, corporaciones sin personería jurídica propia que comparecen por conducto de la Nación – Rama Judicial.</w:t>
      </w:r>
    </w:p>
    <w:p>
      <w:pPr>
        <w:spacing w:after="160"/>
        <w:jc w:val="both"/>
      </w:pPr>
      <w:r>
        <w:rPr>
          <w:b w:val="0"/>
          <w:i w:val="0"/>
          <w:sz w:val="22"/>
        </w:rPr>
        <w:t>2.2. El Municipio de Bello, entidad territorial con personería jurídica, representada por el Alcalde Municipal (artículo 315 de la Constitución Política), a quien se imputa — de manera subsidiaria y por la conducta omisiva posterior que se precisa en las pretensiones — el daño derivado de la actuación de su órgano Concejo Municipal de Bello; el Concejo comparecerá, además, por conducto de su Presidente (artículo 159 del CPACA), en su condición de órgano convocado al trámite conciliatorio.</w:t>
      </w:r>
    </w:p>
    <w:p>
      <w:pPr>
        <w:spacing w:after="80"/>
        <w:jc w:val="left"/>
      </w:pPr>
      <w:r>
        <w:rPr>
          <w:b/>
          <w:i w:val="0"/>
          <w:sz w:val="22"/>
        </w:rPr>
        <w:t>3. Entidad citada:</w:t>
      </w:r>
    </w:p>
    <w:p>
      <w:pPr>
        <w:spacing w:after="160"/>
        <w:jc w:val="both"/>
      </w:pPr>
      <w:r>
        <w:rPr>
          <w:b w:val="0"/>
          <w:i w:val="0"/>
          <w:sz w:val="22"/>
        </w:rPr>
        <w:t>Se solicita comunicar la existencia del proceso a la Agencia Nacional de Defensa Jurídica del Estado para los fines de su intervención facultativa (artículo 610 del CGP; Decreto Ley 4085 de 2011).</w:t>
      </w:r>
    </w:p>
    <w:p>
      <w:pPr>
        <w:spacing w:after="200"/>
        <w:jc w:val="left"/>
      </w:pPr>
      <w:r>
        <w:rPr>
          <w:b/>
          <w:i w:val="0"/>
          <w:sz w:val="24"/>
        </w:rPr>
        <w:t>II. PRETENSIONES</w:t>
      </w:r>
    </w:p>
    <w:p>
      <w:pPr>
        <w:spacing w:after="80"/>
        <w:jc w:val="left"/>
      </w:pPr>
      <w:r>
        <w:rPr>
          <w:b/>
          <w:i w:val="0"/>
          <w:sz w:val="22"/>
        </w:rPr>
        <w:t>PRIMERA — Declarativa principal (Nación – Rama Judicial).</w:t>
      </w:r>
    </w:p>
    <w:p>
      <w:pPr>
        <w:spacing w:after="160"/>
        <w:jc w:val="both"/>
      </w:pPr>
      <w:r>
        <w:rPr>
          <w:b w:val="0"/>
          <w:i w:val="0"/>
          <w:sz w:val="22"/>
        </w:rPr>
        <w:t>Que se declare patrimonial y administrativamente responsable a LA NACIÓN – RAMA JUDICIAL por el ERROR JURISDICCIONAL contenido en la sentencia del 25 de agosto de 2022, proferida por la Sección Primera del Consejo de Estado dentro del proceso de pérdida de investidura con radicado 05001-23-33-000-2020-02441-01, providencia que la Corte Constitucional dejó sin efectos mediante la sentencia de unificación SU-501 de 2024 por incurrir concurrentemente en defecto sustantivo y en defecto fáctico, y que fue reemplazada por la sentencia del 8 de mayo de 2025, en la que la misma Sección Primera confirmó la sentencia del 26 de noviembre de 2020 del Tribunal Administrativo de Antioquia, denegatoria de la pérdida de investidura, y por los perjuicios materiales e inmateriales que dicha providencia causó a los demandantes.</w:t>
      </w:r>
    </w:p>
    <w:p>
      <w:pPr>
        <w:spacing w:after="80"/>
        <w:jc w:val="left"/>
      </w:pPr>
      <w:r>
        <w:rPr>
          <w:b/>
          <w:i w:val="0"/>
          <w:sz w:val="22"/>
        </w:rPr>
        <w:t>SEGUNDA — Declarativa subsidiaria (Municipio de Bello).</w:t>
      </w:r>
    </w:p>
    <w:p>
      <w:pPr>
        <w:spacing w:after="160"/>
        <w:jc w:val="both"/>
      </w:pPr>
      <w:r>
        <w:rPr>
          <w:b w:val="0"/>
          <w:i w:val="0"/>
          <w:sz w:val="22"/>
        </w:rPr>
        <w:t>Que, en subsidio y únicamente en cuanto se acredite su ocurrencia, se declare patrimonial y administrativamente responsable al MUNICIPIO DE BELLO por la omisión de su órgano Concejo Municipal consistente en no haber adoptado, con posterioridad a la notificación de la sentencia SU-501 de 2024 y de la sentencia de reemplazo del 8 de mayo de 2025, medida alguna de restablecimiento o reparación a su alcance en favor del señor Arias Agudelo, prolongando los efectos del daño. Se precisa que la exclusión del orden del día dispuesta por el Concejo el 28 de octubre de 2022 constituyó cumplimiento reglado de una sentencia en firme, sin margen de apreciación, por lo que esta pretensión no se funda en ese acto de ejecución.</w:t>
      </w:r>
    </w:p>
    <w:p>
      <w:pPr>
        <w:spacing w:after="80"/>
        <w:jc w:val="left"/>
      </w:pPr>
      <w:r>
        <w:rPr>
          <w:b/>
          <w:i w:val="0"/>
          <w:sz w:val="22"/>
        </w:rPr>
        <w:t>TERCERA — Condenas indemnizatorias.</w:t>
      </w:r>
    </w:p>
    <w:p>
      <w:pPr>
        <w:spacing w:after="160"/>
        <w:jc w:val="both"/>
      </w:pPr>
      <w:r>
        <w:rPr>
          <w:b w:val="0"/>
          <w:i w:val="0"/>
          <w:sz w:val="22"/>
        </w:rPr>
        <w:t>Que, como consecuencia de las declaraciones anteriores, se condene a la Nación – Rama Judicial y, en la medida de la responsabilidad que se le declare, al Municipio de Bello — solidariamente o en la proporción que resulte probada — a pagar a los demandantes, a título de reparación integral, las siguientes sumas, o las mayores o menores que resulten probadas:</w:t>
      </w:r>
    </w:p>
    <w:p>
      <w:pPr>
        <w:spacing w:after="80"/>
        <w:jc w:val="left"/>
      </w:pPr>
      <w:r>
        <w:rPr>
          <w:b/>
          <w:i w:val="0"/>
          <w:sz w:val="22"/>
        </w:rPr>
        <w:t>A. Perjuicios materiales (a favor de Óscar Darío Arias Agudelo):</w:t>
      </w:r>
    </w:p>
    <w:p>
      <w:pPr>
        <w:spacing w:after="160"/>
        <w:jc w:val="both"/>
      </w:pPr>
      <w:r>
        <w:rPr>
          <w:b w:val="0"/>
          <w:i w:val="0"/>
          <w:sz w:val="22"/>
        </w:rPr>
        <w:t>A.1. Daño emergente: VEINTICINCO MILLONES DE PESOS ($25.000.000) por los honorarios pagados al abogado Hugo de Jesús Henao Longas (C.C. 98.494.587, T.P. 77.412) por la defensa técnica en la segunda instancia del proceso de pérdida de investidura y en el trámite constitucional (tutela en dos instancias y revisión ante la Corte Constitucional), etapas cuya necesidad fue consecuencia directa de la providencia errada. No se reclaman los honorarios de la primera instancia, carga procesal ordinaria que el demandante asume. El pago se acredita con el recibo y paz y salvo del 1 de diciembre de 2025, expedido al culminar la gestión con la ejecutoria de la sentencia de reemplazo, conforme a la modalidad de pago pactada; el original del contrato reposa en poder del abogado Henao Longas, por lo que se solicita su exhibición (artículo 265 del CGP). Adicionalmente, que se reconozcan los demás gastos procesales y administrativos conexos que resulten probados en el proceso, rubro que no se cuantifica ni integra el juramento estimatorio.</w:t>
      </w:r>
    </w:p>
    <w:p>
      <w:pPr>
        <w:spacing w:after="160"/>
        <w:jc w:val="both"/>
      </w:pPr>
      <w:r>
        <w:rPr>
          <w:b w:val="0"/>
          <w:i w:val="0"/>
          <w:sz w:val="22"/>
        </w:rPr>
        <w:t>A.2. Lucro cesante consolidado: los honorarios de concejal dejados de percibir desde el 29 de octubre de 2022 — día siguiente a la comunicación del Concejo de Bello según la cual el corporado no sería llamado al orden del día — hasta el 31 de diciembre de 2023, fecha de expiración del período constitucional 2020-2023. El criterio principal de liquidación es el número de sesiones ordinarias y extraordinarias efectivamente realizadas y pagadas a los demás concejales de Bello en ese lapso, según la certificación que se decreta como prueba, y la suma definitiva será la que resulte probada, aun si es inferior a la estimada. En defecto de esa certificación, y solo como criterio provisional y subsidiario de estimación, se emplea el tope legal de sesiones remuneradas de los municipios de primera categoría — hasta ciento cincuenta (150) ordinarias y treinta (30) extraordinarias por año (artículo 66 de la Ley 136 de 1994, modificado por el artículo 1 de la Ley 1368 de 2009) —, prorrateado con redondeo a la baja para la fracción de 2022, sobre los valores por sesión certificados por la Secretaría General del Concejo el 4 de febrero de 2026, actualizado con el IPC (artículo 187 del CPACA), conforme al Anexo A de esta demanda: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
              <w:rPr>
                <w:rFonts w:ascii="Arial" w:hAnsi="Arial"/>
                <w:b/>
                <w:sz w:val="20"/>
              </w:rPr>
              <w:t>Período</w:t>
            </w:r>
          </w:p>
        </w:tc>
        <w:tc>
          <w:tcPr>
            <w:tcW w:type="dxa" w:w="1520"/>
          </w:tcPr>
          <w:p>
            <w:r/>
            <w:r>
              <w:rPr>
                <w:rFonts w:ascii="Arial" w:hAnsi="Arial"/>
                <w:b/>
                <w:sz w:val="20"/>
              </w:rPr>
              <w:t>Sesiones (est. provisional)</w:t>
            </w:r>
          </w:p>
        </w:tc>
        <w:tc>
          <w:tcPr>
            <w:tcW w:type="dxa" w:w="1520"/>
          </w:tcPr>
          <w:p>
            <w:r/>
            <w:r>
              <w:rPr>
                <w:rFonts w:ascii="Arial" w:hAnsi="Arial"/>
                <w:b/>
                <w:sz w:val="20"/>
              </w:rPr>
              <w:t>Valor sesión</w:t>
            </w:r>
          </w:p>
        </w:tc>
        <w:tc>
          <w:tcPr>
            <w:tcW w:type="dxa" w:w="1520"/>
          </w:tcPr>
          <w:p>
            <w:r/>
            <w:r>
              <w:rPr>
                <w:rFonts w:ascii="Arial" w:hAnsi="Arial"/>
                <w:b/>
                <w:sz w:val="20"/>
              </w:rPr>
              <w:t>Capital</w:t>
            </w:r>
          </w:p>
        </w:tc>
        <w:tc>
          <w:tcPr>
            <w:tcW w:type="dxa" w:w="1520"/>
          </w:tcPr>
          <w:p>
            <w:r/>
            <w:r>
              <w:rPr>
                <w:rFonts w:ascii="Arial" w:hAnsi="Arial"/>
                <w:b/>
                <w:sz w:val="20"/>
              </w:rPr>
              <w:t>Factor IPC</w:t>
            </w:r>
          </w:p>
        </w:tc>
        <w:tc>
          <w:tcPr>
            <w:tcW w:type="dxa" w:w="1520"/>
          </w:tcPr>
          <w:p>
            <w:r/>
            <w:r>
              <w:rPr>
                <w:rFonts w:ascii="Arial" w:hAnsi="Arial"/>
                <w:b/>
                <w:sz w:val="20"/>
              </w:rPr>
              <w:t>Valor actualizado</w:t>
            </w:r>
          </w:p>
        </w:tc>
      </w:tr>
      <w:tr>
        <w:tc>
          <w:tcPr>
            <w:tcW w:type="dxa" w:w="1520"/>
          </w:tcPr>
          <w:p>
            <w:r/>
            <w:r>
              <w:rPr>
                <w:rFonts w:ascii="Arial" w:hAnsi="Arial"/>
                <w:sz w:val="20"/>
              </w:rPr>
              <w:t>29-oct-2022 a 31-dic-2022</w:t>
            </w:r>
          </w:p>
        </w:tc>
        <w:tc>
          <w:tcPr>
            <w:tcW w:type="dxa" w:w="1520"/>
          </w:tcPr>
          <w:p>
            <w:r/>
            <w:r>
              <w:rPr>
                <w:rFonts w:ascii="Arial" w:hAnsi="Arial"/>
                <w:sz w:val="20"/>
              </w:rPr>
              <w:t>31</w:t>
            </w:r>
          </w:p>
        </w:tc>
        <w:tc>
          <w:tcPr>
            <w:tcW w:type="dxa" w:w="1520"/>
          </w:tcPr>
          <w:p>
            <w:r/>
            <w:r>
              <w:rPr>
                <w:rFonts w:ascii="Arial" w:hAnsi="Arial"/>
                <w:sz w:val="20"/>
              </w:rPr>
              <w:t>$469.766</w:t>
            </w:r>
          </w:p>
        </w:tc>
        <w:tc>
          <w:tcPr>
            <w:tcW w:type="dxa" w:w="1520"/>
          </w:tcPr>
          <w:p>
            <w:r/>
            <w:r>
              <w:rPr>
                <w:rFonts w:ascii="Arial" w:hAnsi="Arial"/>
                <w:sz w:val="20"/>
              </w:rPr>
              <w:t>$14.562.746,00</w:t>
            </w:r>
          </w:p>
        </w:tc>
        <w:tc>
          <w:tcPr>
            <w:tcW w:type="dxa" w:w="1520"/>
          </w:tcPr>
          <w:p>
            <w:r/>
            <w:r>
              <w:rPr>
                <w:rFonts w:ascii="Arial" w:hAnsi="Arial"/>
                <w:sz w:val="20"/>
              </w:rPr>
              <w:t>145,00 / 114,50</w:t>
            </w:r>
          </w:p>
        </w:tc>
        <w:tc>
          <w:tcPr>
            <w:tcW w:type="dxa" w:w="1520"/>
          </w:tcPr>
          <w:p>
            <w:r/>
            <w:r>
              <w:rPr>
                <w:rFonts w:ascii="Arial" w:hAnsi="Arial"/>
                <w:sz w:val="20"/>
              </w:rPr>
              <w:t>$18.441.905,41</w:t>
            </w:r>
          </w:p>
        </w:tc>
      </w:tr>
      <w:tr>
        <w:tc>
          <w:tcPr>
            <w:tcW w:type="dxa" w:w="1520"/>
          </w:tcPr>
          <w:p>
            <w:r/>
            <w:r>
              <w:rPr>
                <w:rFonts w:ascii="Arial" w:hAnsi="Arial"/>
                <w:sz w:val="20"/>
              </w:rPr>
              <w:t>01-ene-2023 a 31-dic-2023</w:t>
            </w:r>
          </w:p>
        </w:tc>
        <w:tc>
          <w:tcPr>
            <w:tcW w:type="dxa" w:w="1520"/>
          </w:tcPr>
          <w:p>
            <w:r/>
            <w:r>
              <w:rPr>
                <w:rFonts w:ascii="Arial" w:hAnsi="Arial"/>
                <w:sz w:val="20"/>
              </w:rPr>
              <w:t>180</w:t>
            </w:r>
          </w:p>
        </w:tc>
        <w:tc>
          <w:tcPr>
            <w:tcW w:type="dxa" w:w="1520"/>
          </w:tcPr>
          <w:p>
            <w:r/>
            <w:r>
              <w:rPr>
                <w:rFonts w:ascii="Arial" w:hAnsi="Arial"/>
                <w:sz w:val="20"/>
              </w:rPr>
              <w:t>$531.399</w:t>
            </w:r>
          </w:p>
        </w:tc>
        <w:tc>
          <w:tcPr>
            <w:tcW w:type="dxa" w:w="1520"/>
          </w:tcPr>
          <w:p>
            <w:r/>
            <w:r>
              <w:rPr>
                <w:rFonts w:ascii="Arial" w:hAnsi="Arial"/>
                <w:sz w:val="20"/>
              </w:rPr>
              <w:t>$95.651.820,00</w:t>
            </w:r>
          </w:p>
        </w:tc>
        <w:tc>
          <w:tcPr>
            <w:tcW w:type="dxa" w:w="1520"/>
          </w:tcPr>
          <w:p>
            <w:r/>
            <w:r>
              <w:rPr>
                <w:rFonts w:ascii="Arial" w:hAnsi="Arial"/>
                <w:sz w:val="20"/>
              </w:rPr>
              <w:t>145,00 / 128,27</w:t>
            </w:r>
          </w:p>
        </w:tc>
        <w:tc>
          <w:tcPr>
            <w:tcW w:type="dxa" w:w="1520"/>
          </w:tcPr>
          <w:p>
            <w:r/>
            <w:r>
              <w:rPr>
                <w:rFonts w:ascii="Arial" w:hAnsi="Arial"/>
                <w:sz w:val="20"/>
              </w:rPr>
              <w:t>$108.127.495,91</w:t>
            </w:r>
          </w:p>
        </w:tc>
      </w:tr>
      <w:tr>
        <w:tc>
          <w:tcPr>
            <w:tcW w:type="dxa" w:w="1520"/>
          </w:tcPr>
          <w:p>
            <w:r/>
            <w:r>
              <w:rPr>
                <w:rFonts w:ascii="Arial" w:hAnsi="Arial"/>
                <w:sz w:val="20"/>
              </w:rPr>
              <w:t>TOTAL LUCRO CESANTE (estimación provisional)</w:t>
            </w:r>
          </w:p>
        </w:tc>
        <w:tc>
          <w:tcPr>
            <w:tcW w:type="dxa" w:w="1520"/>
          </w:tcPr>
          <w:p>
            <w:r/>
            <w:r>
              <w:rPr>
                <w:rFonts w:ascii="Arial" w:hAnsi="Arial"/>
                <w:sz w:val="20"/>
              </w:rPr>
              <w:t>211</w:t>
            </w:r>
          </w:p>
        </w:tc>
        <w:tc>
          <w:tcPr>
            <w:tcW w:type="dxa" w:w="1520"/>
          </w:tcPr>
          <w:p>
            <w:r/>
            <w:r>
              <w:rPr>
                <w:rFonts w:ascii="Arial" w:hAnsi="Arial"/>
                <w:sz w:val="20"/>
              </w:rPr>
            </w:r>
          </w:p>
        </w:tc>
        <w:tc>
          <w:tcPr>
            <w:tcW w:type="dxa" w:w="1520"/>
          </w:tcPr>
          <w:p>
            <w:r/>
            <w:r>
              <w:rPr>
                <w:rFonts w:ascii="Arial" w:hAnsi="Arial"/>
                <w:sz w:val="20"/>
              </w:rPr>
              <w:t>$110.214.566,00</w:t>
            </w:r>
          </w:p>
        </w:tc>
        <w:tc>
          <w:tcPr>
            <w:tcW w:type="dxa" w:w="1520"/>
          </w:tcPr>
          <w:p>
            <w:r/>
            <w:r>
              <w:rPr>
                <w:rFonts w:ascii="Arial" w:hAnsi="Arial"/>
                <w:sz w:val="20"/>
              </w:rPr>
            </w:r>
          </w:p>
        </w:tc>
        <w:tc>
          <w:tcPr>
            <w:tcW w:type="dxa" w:w="1520"/>
          </w:tcPr>
          <w:p>
            <w:r/>
            <w:r>
              <w:rPr>
                <w:rFonts w:ascii="Arial" w:hAnsi="Arial"/>
                <w:sz w:val="20"/>
              </w:rPr>
              <w:t>$126.569.401,32</w:t>
            </w:r>
          </w:p>
        </w:tc>
      </w:tr>
    </w:tbl>
    <w:p>
      <w:pPr>
        <w:spacing w:after="80"/>
      </w:pPr>
    </w:p>
    <w:p>
      <w:pPr>
        <w:spacing w:after="160"/>
        <w:jc w:val="both"/>
      </w:pPr>
      <w:r>
        <w:rPr>
          <w:b w:val="0"/>
          <w:i w:val="0"/>
          <w:sz w:val="22"/>
        </w:rPr>
        <w:t>Subtotal de perjuicios materiales: CIENTO CINCUENTA Y UN MILLONES QUINIENTOS SESENTA Y NUEVE MIL CUATROCIENTOS UN PESOS CON TREINTA Y DOS CENTAVOS ($151.569.401,32).</w:t>
      </w:r>
    </w:p>
    <w:p>
      <w:pPr>
        <w:spacing w:after="80"/>
        <w:jc w:val="left"/>
      </w:pPr>
      <w:r>
        <w:rPr>
          <w:b/>
          <w:i w:val="0"/>
          <w:sz w:val="22"/>
        </w:rPr>
        <w:t>B. Perjuicios inmateriales:</w:t>
      </w:r>
    </w:p>
    <w:p>
      <w:pPr>
        <w:spacing w:after="160"/>
        <w:jc w:val="both"/>
      </w:pPr>
      <w:r>
        <w:rPr>
          <w:b w:val="0"/>
          <w:i w:val="0"/>
          <w:sz w:val="22"/>
        </w:rPr>
        <w:t>B.1. Daño moral, dentro de los topes de las sentencias de unificación de la Sección Tercera del Consejo de Estado del 28 de agosto de 2014, como pretensión máxima o en la suma que el juez fije en ejercicio del arbitrio iudicis conforme a la gravedad probada, tasado en SMLMV vigentes a la fecha de la sentencia (valores indicativos con el SMLMV de 2026, $1.576.500):</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rFonts w:ascii="Arial" w:hAnsi="Arial"/>
                <w:b/>
                <w:sz w:val="20"/>
              </w:rPr>
              <w:t>Demandante</w:t>
            </w:r>
          </w:p>
        </w:tc>
        <w:tc>
          <w:tcPr>
            <w:tcW w:type="dxa" w:w="2280"/>
          </w:tcPr>
          <w:p>
            <w:r/>
            <w:r>
              <w:rPr>
                <w:rFonts w:ascii="Arial" w:hAnsi="Arial"/>
                <w:b/>
                <w:sz w:val="20"/>
              </w:rPr>
              <w:t>Calidad</w:t>
            </w:r>
          </w:p>
        </w:tc>
        <w:tc>
          <w:tcPr>
            <w:tcW w:type="dxa" w:w="2280"/>
          </w:tcPr>
          <w:p>
            <w:r/>
            <w:r>
              <w:rPr>
                <w:rFonts w:ascii="Arial" w:hAnsi="Arial"/>
                <w:b/>
                <w:sz w:val="20"/>
              </w:rPr>
              <w:t>SMLMV</w:t>
            </w:r>
          </w:p>
        </w:tc>
        <w:tc>
          <w:tcPr>
            <w:tcW w:type="dxa" w:w="2280"/>
          </w:tcPr>
          <w:p>
            <w:r/>
            <w:r>
              <w:rPr>
                <w:rFonts w:ascii="Arial" w:hAnsi="Arial"/>
                <w:b/>
                <w:sz w:val="20"/>
              </w:rPr>
              <w:t>Valor indicativo</w:t>
            </w:r>
          </w:p>
        </w:tc>
      </w:tr>
      <w:tr>
        <w:tc>
          <w:tcPr>
            <w:tcW w:type="dxa" w:w="2280"/>
          </w:tcPr>
          <w:p>
            <w:r/>
            <w:r>
              <w:rPr>
                <w:rFonts w:ascii="Arial" w:hAnsi="Arial"/>
                <w:sz w:val="20"/>
              </w:rPr>
              <w:t>Óscar Darío Arias Agudelo</w:t>
            </w:r>
          </w:p>
        </w:tc>
        <w:tc>
          <w:tcPr>
            <w:tcW w:type="dxa" w:w="2280"/>
          </w:tcPr>
          <w:p>
            <w:r/>
            <w:r>
              <w:rPr>
                <w:rFonts w:ascii="Arial" w:hAnsi="Arial"/>
                <w:sz w:val="20"/>
              </w:rPr>
              <w:t>Víctima directa</w:t>
            </w:r>
          </w:p>
        </w:tc>
        <w:tc>
          <w:tcPr>
            <w:tcW w:type="dxa" w:w="2280"/>
          </w:tcPr>
          <w:p>
            <w:r/>
            <w:r>
              <w:rPr>
                <w:rFonts w:ascii="Arial" w:hAnsi="Arial"/>
                <w:sz w:val="20"/>
              </w:rPr>
              <w:t>100</w:t>
            </w:r>
          </w:p>
        </w:tc>
        <w:tc>
          <w:tcPr>
            <w:tcW w:type="dxa" w:w="2280"/>
          </w:tcPr>
          <w:p>
            <w:r/>
            <w:r>
              <w:rPr>
                <w:rFonts w:ascii="Arial" w:hAnsi="Arial"/>
                <w:sz w:val="20"/>
              </w:rPr>
              <w:t>$157.650.000</w:t>
            </w:r>
          </w:p>
        </w:tc>
      </w:tr>
      <w:tr>
        <w:tc>
          <w:tcPr>
            <w:tcW w:type="dxa" w:w="2280"/>
          </w:tcPr>
          <w:p>
            <w:r/>
            <w:r>
              <w:rPr>
                <w:rFonts w:ascii="Arial" w:hAnsi="Arial"/>
                <w:sz w:val="20"/>
              </w:rPr>
              <w:t>Doris Elena Restrepo Giraldo</w:t>
            </w:r>
          </w:p>
        </w:tc>
        <w:tc>
          <w:tcPr>
            <w:tcW w:type="dxa" w:w="2280"/>
          </w:tcPr>
          <w:p>
            <w:r/>
            <w:r>
              <w:rPr>
                <w:rFonts w:ascii="Arial" w:hAnsi="Arial"/>
                <w:sz w:val="20"/>
              </w:rPr>
              <w:t>Cónyuge</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María Mercedes Agudelo Ospina</w:t>
            </w:r>
          </w:p>
        </w:tc>
        <w:tc>
          <w:tcPr>
            <w:tcW w:type="dxa" w:w="2280"/>
          </w:tcPr>
          <w:p>
            <w:r/>
            <w:r>
              <w:rPr>
                <w:rFonts w:ascii="Arial" w:hAnsi="Arial"/>
                <w:sz w:val="20"/>
              </w:rPr>
              <w:t>Madre</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Chris Alvin Arias Restrepo</w:t>
            </w:r>
          </w:p>
        </w:tc>
        <w:tc>
          <w:tcPr>
            <w:tcW w:type="dxa" w:w="2280"/>
          </w:tcPr>
          <w:p>
            <w:r/>
            <w:r>
              <w:rPr>
                <w:rFonts w:ascii="Arial" w:hAnsi="Arial"/>
                <w:sz w:val="20"/>
              </w:rPr>
              <w:t>Hijo</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Luz Mery Arias Agudelo</w:t>
            </w:r>
          </w:p>
        </w:tc>
        <w:tc>
          <w:tcPr>
            <w:tcW w:type="dxa" w:w="2280"/>
          </w:tcPr>
          <w:p>
            <w:r/>
            <w:r>
              <w:rPr>
                <w:rFonts w:ascii="Arial" w:hAnsi="Arial"/>
                <w:sz w:val="20"/>
              </w:rPr>
              <w:t>Hermana (convive con la víctima)</w:t>
            </w:r>
          </w:p>
        </w:tc>
        <w:tc>
          <w:tcPr>
            <w:tcW w:type="dxa" w:w="2280"/>
          </w:tcPr>
          <w:p>
            <w:r/>
            <w:r>
              <w:rPr>
                <w:rFonts w:ascii="Arial" w:hAnsi="Arial"/>
                <w:sz w:val="20"/>
              </w:rPr>
              <w:t>25</w:t>
            </w:r>
          </w:p>
        </w:tc>
        <w:tc>
          <w:tcPr>
            <w:tcW w:type="dxa" w:w="2280"/>
          </w:tcPr>
          <w:p>
            <w:r/>
            <w:r>
              <w:rPr>
                <w:rFonts w:ascii="Arial" w:hAnsi="Arial"/>
                <w:sz w:val="20"/>
              </w:rPr>
              <w:t>$39.412.500</w:t>
            </w:r>
          </w:p>
        </w:tc>
      </w:tr>
      <w:tr>
        <w:tc>
          <w:tcPr>
            <w:tcW w:type="dxa" w:w="2280"/>
          </w:tcPr>
          <w:p>
            <w:r/>
            <w:r>
              <w:rPr>
                <w:rFonts w:ascii="Arial" w:hAnsi="Arial"/>
                <w:sz w:val="20"/>
              </w:rPr>
              <w:t>Nubia Ledy Arias Agudelo</w:t>
            </w:r>
          </w:p>
        </w:tc>
        <w:tc>
          <w:tcPr>
            <w:tcW w:type="dxa" w:w="2280"/>
          </w:tcPr>
          <w:p>
            <w:r/>
            <w:r>
              <w:rPr>
                <w:rFonts w:ascii="Arial" w:hAnsi="Arial"/>
                <w:sz w:val="20"/>
              </w:rPr>
              <w:t>Hermana (convive con la víctima)</w:t>
            </w:r>
          </w:p>
        </w:tc>
        <w:tc>
          <w:tcPr>
            <w:tcW w:type="dxa" w:w="2280"/>
          </w:tcPr>
          <w:p>
            <w:r/>
            <w:r>
              <w:rPr>
                <w:rFonts w:ascii="Arial" w:hAnsi="Arial"/>
                <w:sz w:val="20"/>
              </w:rPr>
              <w:t>25</w:t>
            </w:r>
          </w:p>
        </w:tc>
        <w:tc>
          <w:tcPr>
            <w:tcW w:type="dxa" w:w="2280"/>
          </w:tcPr>
          <w:p>
            <w:r/>
            <w:r>
              <w:rPr>
                <w:rFonts w:ascii="Arial" w:hAnsi="Arial"/>
                <w:sz w:val="20"/>
              </w:rPr>
              <w:t>$39.412.500</w:t>
            </w:r>
          </w:p>
        </w:tc>
      </w:tr>
      <w:tr>
        <w:tc>
          <w:tcPr>
            <w:tcW w:type="dxa" w:w="2280"/>
          </w:tcPr>
          <w:p>
            <w:r/>
            <w:r>
              <w:rPr>
                <w:rFonts w:ascii="Arial" w:hAnsi="Arial"/>
                <w:sz w:val="20"/>
              </w:rPr>
              <w:t>TOTAL DAÑO MORAL</w:t>
            </w:r>
          </w:p>
        </w:tc>
        <w:tc>
          <w:tcPr>
            <w:tcW w:type="dxa" w:w="2280"/>
          </w:tcPr>
          <w:p>
            <w:r/>
            <w:r>
              <w:rPr>
                <w:rFonts w:ascii="Arial" w:hAnsi="Arial"/>
                <w:sz w:val="20"/>
              </w:rPr>
            </w:r>
          </w:p>
        </w:tc>
        <w:tc>
          <w:tcPr>
            <w:tcW w:type="dxa" w:w="2280"/>
          </w:tcPr>
          <w:p>
            <w:r/>
            <w:r>
              <w:rPr>
                <w:rFonts w:ascii="Arial" w:hAnsi="Arial"/>
                <w:sz w:val="20"/>
              </w:rPr>
              <w:t>300</w:t>
            </w:r>
          </w:p>
        </w:tc>
        <w:tc>
          <w:tcPr>
            <w:tcW w:type="dxa" w:w="2280"/>
          </w:tcPr>
          <w:p>
            <w:r/>
            <w:r>
              <w:rPr>
                <w:rFonts w:ascii="Arial" w:hAnsi="Arial"/>
                <w:sz w:val="20"/>
              </w:rPr>
              <w:t>$472.950.000</w:t>
            </w:r>
          </w:p>
        </w:tc>
      </w:tr>
    </w:tbl>
    <w:p>
      <w:pPr>
        <w:spacing w:after="80"/>
      </w:pPr>
    </w:p>
    <w:p>
      <w:pPr>
        <w:spacing w:after="160"/>
        <w:jc w:val="both"/>
      </w:pPr>
      <w:r>
        <w:rPr>
          <w:b w:val="0"/>
          <w:i w:val="0"/>
          <w:sz w:val="22"/>
        </w:rPr>
        <w:t>B.2. Daño a bienes constitucional y convencionalmente protegidos, a favor de la víctima directa: CIEN (100) SMLMV (valor indicativo: $157.650.000). Este rubro repara la dimensión objetiva y autónoma de los derechos políticos del demandante — amparados expresamente por la SU-501 de 2024 (derecho a elegir y ser elegido: artículo 40 de la Constitución y artículo 23 de la Convención Americana) —, materializada en la pérdida irreversible de catorce meses de representación política efectiva, dimensión distinta e inconfundible de la aflicción subjetiva que repara el daño moral y de la rehabilitación del buen nombre que persiguen las medidas de satisfacción, por lo que su reconocimiento concurrente no constituye doble reparación. En subsidio, se solicita la suma menor que el juez estime o el reconocimiento mediante medidas no pecuniarias reforzadas.</w:t>
      </w:r>
    </w:p>
    <w:p>
      <w:pPr>
        <w:spacing w:after="160"/>
        <w:jc w:val="both"/>
      </w:pPr>
      <w:r>
        <w:rPr>
          <w:b w:val="0"/>
          <w:i w:val="0"/>
          <w:sz w:val="22"/>
        </w:rPr>
        <w:t>Subtotal de perjuicios inmateriales (valor indicativo): SEISCIENTOS TREINTA MILLONES SEISCIENTOS MIL PESOS ($630.600.000).</w:t>
      </w:r>
    </w:p>
    <w:p>
      <w:pPr>
        <w:spacing w:after="80"/>
        <w:jc w:val="left"/>
      </w:pPr>
      <w:r>
        <w:rPr>
          <w:b/>
          <w:i w:val="0"/>
          <w:sz w:val="22"/>
        </w:rPr>
        <w:t>C. Resumen (valores indicativos a SMLMV de 2026, sin efecto sobre la cuantía competencial):</w:t>
      </w:r>
    </w:p>
    <w:tbl>
      <w:tblPr>
        <w:tblStyle w:val="TableGrid"/>
        <w:tblW w:type="auto" w:w="0"/>
        <w:jc w:val="center"/>
        <w:tblLook w:firstColumn="1" w:firstRow="1" w:lastColumn="0" w:lastRow="0" w:noHBand="0" w:noVBand="1" w:val="04A0"/>
      </w:tblPr>
      <w:tblGrid>
        <w:gridCol w:w="4561"/>
        <w:gridCol w:w="4561"/>
      </w:tblGrid>
      <w:tr>
        <w:tc>
          <w:tcPr>
            <w:tcW w:type="dxa" w:w="4561"/>
          </w:tcPr>
          <w:p>
            <w:r/>
            <w:r>
              <w:rPr>
                <w:rFonts w:ascii="Arial" w:hAnsi="Arial"/>
                <w:b/>
                <w:sz w:val="20"/>
              </w:rPr>
              <w:t>Concepto</w:t>
            </w:r>
          </w:p>
        </w:tc>
        <w:tc>
          <w:tcPr>
            <w:tcW w:type="dxa" w:w="4561"/>
          </w:tcPr>
          <w:p>
            <w:r/>
            <w:r>
              <w:rPr>
                <w:rFonts w:ascii="Arial" w:hAnsi="Arial"/>
                <w:b/>
                <w:sz w:val="20"/>
              </w:rPr>
              <w:t>Valor</w:t>
            </w:r>
          </w:p>
        </w:tc>
      </w:tr>
      <w:tr>
        <w:tc>
          <w:tcPr>
            <w:tcW w:type="dxa" w:w="4561"/>
          </w:tcPr>
          <w:p>
            <w:r/>
            <w:r>
              <w:rPr>
                <w:rFonts w:ascii="Arial" w:hAnsi="Arial"/>
                <w:sz w:val="20"/>
              </w:rPr>
              <w:t>Daño emergente (honorarios de defensa)</w:t>
            </w:r>
          </w:p>
        </w:tc>
        <w:tc>
          <w:tcPr>
            <w:tcW w:type="dxa" w:w="4561"/>
          </w:tcPr>
          <w:p>
            <w:r/>
            <w:r>
              <w:rPr>
                <w:rFonts w:ascii="Arial" w:hAnsi="Arial"/>
                <w:sz w:val="20"/>
              </w:rPr>
              <w:t>$25.000.000,00</w:t>
            </w:r>
          </w:p>
        </w:tc>
      </w:tr>
      <w:tr>
        <w:tc>
          <w:tcPr>
            <w:tcW w:type="dxa" w:w="4561"/>
          </w:tcPr>
          <w:p>
            <w:r/>
            <w:r>
              <w:rPr>
                <w:rFonts w:ascii="Arial" w:hAnsi="Arial"/>
                <w:sz w:val="20"/>
              </w:rPr>
              <w:t>Lucro cesante consolidado (estimación provisional)</w:t>
            </w:r>
          </w:p>
        </w:tc>
        <w:tc>
          <w:tcPr>
            <w:tcW w:type="dxa" w:w="4561"/>
          </w:tcPr>
          <w:p>
            <w:r/>
            <w:r>
              <w:rPr>
                <w:rFonts w:ascii="Arial" w:hAnsi="Arial"/>
                <w:sz w:val="20"/>
              </w:rPr>
              <w:t>$126.569.401,32</w:t>
            </w:r>
          </w:p>
        </w:tc>
      </w:tr>
      <w:tr>
        <w:tc>
          <w:tcPr>
            <w:tcW w:type="dxa" w:w="4561"/>
          </w:tcPr>
          <w:p>
            <w:r/>
            <w:r>
              <w:rPr>
                <w:rFonts w:ascii="Arial" w:hAnsi="Arial"/>
                <w:sz w:val="20"/>
              </w:rPr>
              <w:t>Subtotal perjuicios materiales</w:t>
            </w:r>
          </w:p>
        </w:tc>
        <w:tc>
          <w:tcPr>
            <w:tcW w:type="dxa" w:w="4561"/>
          </w:tcPr>
          <w:p>
            <w:r/>
            <w:r>
              <w:rPr>
                <w:rFonts w:ascii="Arial" w:hAnsi="Arial"/>
                <w:sz w:val="20"/>
              </w:rPr>
              <w:t>$151.569.401,32</w:t>
            </w:r>
          </w:p>
        </w:tc>
      </w:tr>
      <w:tr>
        <w:tc>
          <w:tcPr>
            <w:tcW w:type="dxa" w:w="4561"/>
          </w:tcPr>
          <w:p>
            <w:r/>
            <w:r>
              <w:rPr>
                <w:rFonts w:ascii="Arial" w:hAnsi="Arial"/>
                <w:sz w:val="20"/>
              </w:rPr>
              <w:t>Daño moral (300 SMLMV)</w:t>
            </w:r>
          </w:p>
        </w:tc>
        <w:tc>
          <w:tcPr>
            <w:tcW w:type="dxa" w:w="4561"/>
          </w:tcPr>
          <w:p>
            <w:r/>
            <w:r>
              <w:rPr>
                <w:rFonts w:ascii="Arial" w:hAnsi="Arial"/>
                <w:sz w:val="20"/>
              </w:rPr>
              <w:t>$472.950.000,00</w:t>
            </w:r>
          </w:p>
        </w:tc>
      </w:tr>
      <w:tr>
        <w:tc>
          <w:tcPr>
            <w:tcW w:type="dxa" w:w="4561"/>
          </w:tcPr>
          <w:p>
            <w:r/>
            <w:r>
              <w:rPr>
                <w:rFonts w:ascii="Arial" w:hAnsi="Arial"/>
                <w:sz w:val="20"/>
              </w:rPr>
              <w:t>Daño a bienes constitucionales (100 SMLMV)</w:t>
            </w:r>
          </w:p>
        </w:tc>
        <w:tc>
          <w:tcPr>
            <w:tcW w:type="dxa" w:w="4561"/>
          </w:tcPr>
          <w:p>
            <w:r/>
            <w:r>
              <w:rPr>
                <w:rFonts w:ascii="Arial" w:hAnsi="Arial"/>
                <w:sz w:val="20"/>
              </w:rPr>
              <w:t>$157.650.000,00</w:t>
            </w:r>
          </w:p>
        </w:tc>
      </w:tr>
      <w:tr>
        <w:tc>
          <w:tcPr>
            <w:tcW w:type="dxa" w:w="4561"/>
          </w:tcPr>
          <w:p>
            <w:r/>
            <w:r>
              <w:rPr>
                <w:rFonts w:ascii="Arial" w:hAnsi="Arial"/>
                <w:sz w:val="20"/>
              </w:rPr>
              <w:t>Subtotal perjuicios inmateriales</w:t>
            </w:r>
          </w:p>
        </w:tc>
        <w:tc>
          <w:tcPr>
            <w:tcW w:type="dxa" w:w="4561"/>
          </w:tcPr>
          <w:p>
            <w:r/>
            <w:r>
              <w:rPr>
                <w:rFonts w:ascii="Arial" w:hAnsi="Arial"/>
                <w:sz w:val="20"/>
              </w:rPr>
              <w:t>$630.600.000,00</w:t>
            </w:r>
          </w:p>
        </w:tc>
      </w:tr>
      <w:tr>
        <w:tc>
          <w:tcPr>
            <w:tcW w:type="dxa" w:w="4561"/>
          </w:tcPr>
          <w:p>
            <w:r/>
            <w:r>
              <w:rPr>
                <w:rFonts w:ascii="Arial" w:hAnsi="Arial"/>
                <w:sz w:val="20"/>
              </w:rPr>
              <w:t>TOTAL</w:t>
            </w:r>
          </w:p>
        </w:tc>
        <w:tc>
          <w:tcPr>
            <w:tcW w:type="dxa" w:w="4561"/>
          </w:tcPr>
          <w:p>
            <w:r/>
            <w:r>
              <w:rPr>
                <w:rFonts w:ascii="Arial" w:hAnsi="Arial"/>
                <w:sz w:val="20"/>
              </w:rPr>
              <w:t>$782.169.401,32</w:t>
            </w:r>
          </w:p>
        </w:tc>
      </w:tr>
    </w:tbl>
    <w:p>
      <w:pPr>
        <w:spacing w:after="80"/>
      </w:pPr>
    </w:p>
    <w:p>
      <w:pPr>
        <w:spacing w:after="80"/>
        <w:jc w:val="left"/>
      </w:pPr>
      <w:r>
        <w:rPr>
          <w:b/>
          <w:i w:val="0"/>
          <w:sz w:val="22"/>
        </w:rPr>
        <w:t>CUARTA — Medidas de satisfacción y garantías de no repetición.</w:t>
      </w:r>
    </w:p>
    <w:p>
      <w:pPr>
        <w:spacing w:after="160"/>
        <w:jc w:val="both"/>
      </w:pPr>
      <w:r>
        <w:rPr>
          <w:b w:val="0"/>
          <w:i w:val="0"/>
          <w:sz w:val="22"/>
        </w:rPr>
        <w:t>Que se ordene: (i) un acto público de reconocimiento de responsabilidad y desagravio en el municipio de Bello, realizado por conducto de los representantes legales de las entidades condenadas o sus delegados, en el que se reconozca el error jurisdiccional declarado por la SU-501 de 2024 y la plena rehabilitación del buen nombre del señor Arias Agudelo; (ii) la publicación de la sentencia SU-501 de 2024 y de la sentencia de reemplazo del 8 de mayo de 2025, con un comunicado de rectificación, en los portales institucionales de la Rama Judicial y del Concejo Municipal de Bello, con despliegue equivalente al que tuvo la decisión anulada; y (iii) EXHORTAR respetuosamente a la Nación – Rama Judicial para que, en el marco de su autonomía, divulgue entre las corporaciones competentes en procesos de pérdida de investidura — a través de la Escuela Judicial "Rodrigo Lara Bonilla" o del medio que estime idóneo — los criterios vinculantes de la sentencia SU-501 de 2024, como garantía de no repetición.</w:t>
      </w:r>
    </w:p>
    <w:p>
      <w:pPr>
        <w:spacing w:after="80"/>
        <w:jc w:val="left"/>
      </w:pPr>
      <w:r>
        <w:rPr>
          <w:b/>
          <w:i w:val="0"/>
          <w:sz w:val="22"/>
        </w:rPr>
        <w:t>QUINTA — Actualización e intereses.</w:t>
      </w:r>
    </w:p>
    <w:p>
      <w:pPr>
        <w:spacing w:after="160"/>
        <w:jc w:val="both"/>
      </w:pPr>
      <w:r>
        <w:rPr>
          <w:b w:val="0"/>
          <w:i w:val="0"/>
          <w:sz w:val="22"/>
        </w:rPr>
        <w:t>Que todas las condenas se actualicen conforme al artículo 187 del CPACA hasta la fecha de la providencia que ponga fin al proceso, y que sobre ellas se reconozcan los intereses previstos en el artículo 192 del CPACA desde la ejecutoria de la sentencia y hasta el pago efectivo.</w:t>
      </w:r>
    </w:p>
    <w:p>
      <w:pPr>
        <w:spacing w:after="80"/>
        <w:jc w:val="left"/>
      </w:pPr>
      <w:r>
        <w:rPr>
          <w:b/>
          <w:i w:val="0"/>
          <w:sz w:val="22"/>
        </w:rPr>
        <w:t>SEXTA — Costas y agencias en derecho.</w:t>
      </w:r>
    </w:p>
    <w:p>
      <w:pPr>
        <w:spacing w:after="160"/>
        <w:jc w:val="both"/>
      </w:pPr>
      <w:r>
        <w:rPr>
          <w:b w:val="0"/>
          <w:i w:val="0"/>
          <w:sz w:val="22"/>
        </w:rPr>
        <w:t>Que se condene en costas y agencias en derecho a las entidades vencidas, liquidadas conforme al artículo 188 del CPACA y a las tarifas vigentes, para lo cual se solicita valorar la conducta procesal de las demandadas (artículo 365, numeral 1, del CGP), incluida su actitud en la etapa conciliatoria.</w:t>
      </w:r>
    </w:p>
    <w:p>
      <w:pPr>
        <w:spacing w:after="200"/>
        <w:jc w:val="left"/>
      </w:pPr>
      <w:r>
        <w:rPr>
          <w:b/>
          <w:i w:val="0"/>
          <w:sz w:val="24"/>
        </w:rPr>
        <w:t>III. HECHOS</w:t>
      </w:r>
    </w:p>
    <w:p>
      <w:pPr>
        <w:jc w:val="both"/>
      </w:pPr>
      <w:r>
        <w:rPr>
          <w:b/>
        </w:rPr>
        <w:t xml:space="preserve">PRIMERO: </w:t>
      </w:r>
      <w:r>
        <w:rPr>
          <w:b w:val="0"/>
        </w:rPr>
        <w:t>El 27 de octubre de 2019, el ciudadano Óscar Darío Arias Agudelo, docente de la Institución Educativa Carlos Pérez Mejía de Bello, fue elegido concejal del Municipio de Bello, Antioquia, para el período constitucional 2020-2023, con el aval del Partido Alianza Verde, según la credencial expedida con fundamento en el formulario E-26 de la Registraduría Nacional del Estado Civil, y tomó posesión oportunamente.</w:t>
      </w:r>
    </w:p>
    <w:p>
      <w:pPr>
        <w:jc w:val="both"/>
      </w:pPr>
      <w:r>
        <w:rPr>
          <w:b/>
        </w:rPr>
        <w:t xml:space="preserve">SEGUNDO: </w:t>
      </w:r>
      <w:r>
        <w:rPr>
          <w:b w:val="0"/>
        </w:rPr>
        <w:t>Entre el 19 de abril de 2018 y el 6 de marzo de 2019, el señor Arias Agudelo fue representante de los docentes ante el consejo directivo de dicha institución educativa oficial, por elección de sus pares, en desarrollo del esquema participativo del gobierno escolar (artículos 142 a 144 de la Ley 115 de 1994; Decreto 1075 de 2015). Ese órgano es colegiado, de participación y coordinación, y la ordenación del gasto del Fondo de Servicios Educativos corresponde exclusivamente al rector (artículo 182 de la Ley 115 de 1994; Decreto 4791 de 2008).</w:t>
      </w:r>
    </w:p>
    <w:p>
      <w:pPr>
        <w:jc w:val="both"/>
      </w:pPr>
      <w:r>
        <w:rPr>
          <w:b/>
        </w:rPr>
        <w:t xml:space="preserve">TERCERO: </w:t>
      </w:r>
      <w:r>
        <w:rPr>
          <w:b w:val="0"/>
        </w:rPr>
        <w:t>El ciudadano Juan Felipe Cano Marín presentó demanda de pérdida de investidura contra el señor Arias Agudelo (radicado 05001-23-33-000-2020-02441-00), invocando la causal del numeral 2 del artículo 55 de la Ley 136 de 1994, por la supuesta inhabilidad del numeral 2 del artículo 43 ibidem, modificado por el numeral 2 del artículo 40 de la Ley 617 de 2000: ejercicio de autoridad administrativa dentro de los doce (12) meses anteriores a la elección, derivado de su pertenencia al consejo directivo.</w:t>
      </w:r>
    </w:p>
    <w:p>
      <w:pPr>
        <w:jc w:val="both"/>
      </w:pPr>
      <w:r>
        <w:rPr>
          <w:b/>
        </w:rPr>
        <w:t xml:space="preserve">CUARTO: </w:t>
      </w:r>
      <w:r>
        <w:rPr>
          <w:b w:val="0"/>
        </w:rPr>
        <w:t>Mediante sentencia del 26 de noviembre de 2020, la Sala Plena del Tribunal Administrativo de Antioquia DENEGÓ la pérdida de investidura: los miembros del consejo directivo de un establecimiento educativo estatal no ejercen autoridad administrativa ni son ordenadores del gasto, y no se probó dolo ni culpa grave (sentencia SU-424 de 2016).</w:t>
      </w:r>
    </w:p>
    <w:p>
      <w:pPr>
        <w:jc w:val="both"/>
      </w:pPr>
      <w:r>
        <w:rPr>
          <w:b/>
        </w:rPr>
        <w:t xml:space="preserve">QUINTO: </w:t>
      </w:r>
      <w:r>
        <w:rPr>
          <w:b w:val="0"/>
        </w:rPr>
        <w:t>Apelada la decisión por el solicitante, la Sección Primera del Consejo de Estado, mediante sentencia del 25 de agosto de 2022 (radicado 05001-23-33-000-2020-02441-01, C.P. Oswaldo Giraldo López), REVOCÓ la sentencia de primera instancia y DECRETÓ la pérdida de investidura, con salvamento de voto de la consejera Nubia Margoth Peña Garzón. A esta providencia se atribuye en esta demanda el daño cuya reparación se pide.</w:t>
      </w:r>
    </w:p>
    <w:p>
      <w:pPr>
        <w:jc w:val="both"/>
      </w:pPr>
      <w:r>
        <w:rPr>
          <w:b/>
        </w:rPr>
        <w:t xml:space="preserve">SEXTO: </w:t>
      </w:r>
      <w:r>
        <w:rPr>
          <w:b w:val="0"/>
        </w:rPr>
        <w:t>La sentencia del 25 de agosto de 2022 quedó ejecutoriada el 26 de octubre de 2022, según la constancia secretarial contenida en el oficio 2637 del 27 de octubre de 2022, que certifica la ejecutoria ocurrida el 26 de octubre de 2022 (notificaciones por estado del 1 de septiembre y del 21 de octubre de 2022; auto del 10 de octubre de 2022 que resolvió la solicitud de aclaración).</w:t>
      </w:r>
    </w:p>
    <w:p>
      <w:pPr>
        <w:jc w:val="both"/>
      </w:pPr>
      <w:r>
        <w:rPr>
          <w:b/>
        </w:rPr>
        <w:t xml:space="preserve">SÉPTIMO: </w:t>
      </w:r>
      <w:r>
        <w:rPr>
          <w:b w:val="0"/>
        </w:rPr>
        <w:t>Mediante oficio del 28 de octubre de 2022, el Presidente del Concejo Municipal de Bello comunicó al señor Arias Agudelo que, recibida la ejecutoria, "no será llamado en el orden del día a partir de la fecha". Desde ese momento cesó total y definitivamente la percepción de sus honorarios. La separación de la curul se formalizó el 24 de enero de 2023, faltando más de once (11) meses para la terminación del período. Se precisa que dicha exclusión fue cumplimiento reglado de una sentencia en firme, sin margen de apreciación, por lo que el único hecho causalmente eficiente del daño inicial es la providencia judicial errada; la vinculación del Municipio de Bello no se funda en ese acto de ejecución sino en su conducta posterior (hecho DECIMOQUINTO).</w:t>
      </w:r>
    </w:p>
    <w:p>
      <w:pPr>
        <w:jc w:val="both"/>
      </w:pPr>
      <w:r>
        <w:rPr>
          <w:b/>
        </w:rPr>
        <w:t xml:space="preserve">OCTAVO: </w:t>
      </w:r>
      <w:r>
        <w:rPr>
          <w:b w:val="0"/>
        </w:rPr>
        <w:t>El 12 de septiembre de 2022 el señor Arias Agudelo interpuso acción de tutela contra la sentencia del 25 de agosto de 2022, por defecto sustantivo y defecto fáctico (radicado 11001-03-15-000-2022-04916-00). La Sección Quinta del Consejo de Estado, en sentencia del 27 de octubre de 2022, la declaró IMPROCEDENTE por supuesta falta de relevancia constitucional; impugnada, la Sección Tercera – Subsección C, en sentencia del 27 de enero de 2023, CONFIRMÓ la improcedencia. Con ello el afectado agotó los mecanismos a su alcance contra la providencia dañosa.</w:t>
      </w:r>
    </w:p>
    <w:p>
      <w:pPr>
        <w:jc w:val="both"/>
      </w:pPr>
      <w:r>
        <w:rPr>
          <w:b/>
        </w:rPr>
        <w:t xml:space="preserve">NOVENO: </w:t>
      </w:r>
      <w:r>
        <w:rPr>
          <w:b w:val="0"/>
        </w:rPr>
        <w:t>Seleccionado el asunto para revisión (expedientes T-9.321.704 y T-9.344.130 acumulados), la Sala Plena de la Corte Constitucional profirió la sentencia de unificación SU-501 de 2024 (28 de noviembre de 2024, M.P. Juan Carlos Cortés González), en la cual: (i) revocó los fallos de tutela de instancia; (ii) AMPARÓ los derechos fundamentales al debido proceso, a elegir y ser elegido y al ejercicio de cargos públicos del señor Arias Agudelo; (iii) DEJÓ SIN EFECTOS la sentencia del 25 de agosto de 2022; y (iv) ordenó a la Sección Primera dictar sentencia de reemplazo en treinta (30) días hábiles.</w:t>
      </w:r>
    </w:p>
    <w:p>
      <w:pPr>
        <w:jc w:val="both"/>
      </w:pPr>
      <w:r>
        <w:rPr>
          <w:b/>
        </w:rPr>
        <w:t xml:space="preserve">DÉCIMO: </w:t>
      </w:r>
      <w:r>
        <w:rPr>
          <w:b w:val="0"/>
        </w:rPr>
        <w:t>La Corte Constitucional declaró que la sentencia anulada incurrió en DEFECTO SUSTANTIVO — interpretación extensiva, incompatible con la Constitución, del concepto de "autoridad administrativa" del artículo 190 de la Ley 136 de 1994: la coordinación del consejo directivo con el rector no traslada la ordenación del gasto, la autorización de contratos no equivale a su celebración y el representante docente carece de autonomía decisoria — y en DEFECTO FÁCTICO: del Acta No. 1 del 29 de enero de 2019 "es imposible derivar cualquier tipo de justificación para decretar la pérdida de investidura", por lo que se dio por probado, erradamente, el elemento temporal de la inhabilidad.</w:t>
      </w:r>
    </w:p>
    <w:p>
      <w:pPr>
        <w:jc w:val="both"/>
      </w:pPr>
      <w:r>
        <w:rPr>
          <w:b/>
        </w:rPr>
        <w:t xml:space="preserve">UNDÉCIMO: </w:t>
      </w:r>
      <w:r>
        <w:rPr>
          <w:b w:val="0"/>
        </w:rPr>
        <w:t>En cumplimiento de la SU-501 de 2024, la Sección Primera del Consejo de Estado profirió la sentencia de reemplazo del 8 de mayo de 2025 (C.P. Oswaldo Giraldo López), que CONFIRMÓ la sentencia denegatoria del 26 de noviembre de 2020. Es cosa juzgada que el señor Arias Agudelo NO incurrió en causal alguna de pérdida de investidura. El consejero ponente aclaró su voto el 20 de mayo de 2025.</w:t>
      </w:r>
    </w:p>
    <w:p>
      <w:pPr>
        <w:jc w:val="both"/>
      </w:pPr>
      <w:r>
        <w:rPr>
          <w:b/>
        </w:rPr>
        <w:t xml:space="preserve">DUODÉCIMO: </w:t>
      </w:r>
      <w:r>
        <w:rPr>
          <w:b w:val="0"/>
        </w:rPr>
        <w:t>La reparación in natura resultó imposible: la absolución definitiva llegó cuando el período constitucional 2020-2023 había expirado. El tiempo de ejercicio del cargo, la representación política y los honorarios correspondientes se perdieron irreversiblemente; el daño quedó consumado y solo es reparable por equivalente pecuniario.</w:t>
      </w:r>
    </w:p>
    <w:p>
      <w:pPr>
        <w:jc w:val="both"/>
      </w:pPr>
      <w:r>
        <w:rPr>
          <w:b/>
        </w:rPr>
        <w:t xml:space="preserve">DECIMOTERCERO: </w:t>
      </w:r>
      <w:r>
        <w:rPr>
          <w:b w:val="0"/>
        </w:rPr>
        <w:t>Durante la vigencia de la sanción — del 26 de octubre de 2022 hasta la SU-501 de 2024 — el señor Arias Agudelo estuvo además cobijado por la inhabilidad derivada de la pérdida de investidura, con el consiguiente escarnio público en el municipio donde ejerce como docente, la afectación de su honra y buen nombre ante la comunidad educativa y política que lo eligió, y la frustración de su proyecto de vida político; padecimientos que se extendieron a su cónyuge, a su madre, a su hijo y a sus hermanas Luz Mery y Nubia Ledy, quienes residen en el mismo inmueble de la Carrera 65A No. 76-48 de Bello y comparten con la víctima comunidad de vida, como se acreditará con las declaraciones que se practiquen.</w:t>
      </w:r>
    </w:p>
    <w:p>
      <w:pPr>
        <w:jc w:val="both"/>
      </w:pPr>
      <w:r>
        <w:rPr>
          <w:b/>
        </w:rPr>
        <w:t xml:space="preserve">DECIMOCUARTO: </w:t>
      </w:r>
      <w:r>
        <w:rPr>
          <w:b w:val="0"/>
        </w:rPr>
        <w:t>Durante todo el período constitucional el señor Arias Agudelo ejerció simultáneamente su cátedra docente y la curul de concejal, actividades legalmente compatibles. Su salario docente — percibido sin solución de continuidad antes, durante y después de la separación — no es un ingreso sustitutivo sino concurrente y, por tanto, no es deducible del lucro cesante; el demandante no percibió ingreso alguno que ocupara el lugar de los honorarios perdidos.</w:t>
      </w:r>
    </w:p>
    <w:p>
      <w:pPr>
        <w:jc w:val="both"/>
      </w:pPr>
      <w:r>
        <w:rPr>
          <w:b/>
        </w:rPr>
        <w:t xml:space="preserve">DECIMOQUINTO: </w:t>
      </w:r>
      <w:r>
        <w:rPr>
          <w:b w:val="0"/>
        </w:rPr>
        <w:t>La Secretaría General del Concejo Municipal de Bello certificó el 4 de febrero de 2026 el valor de los honorarios por sesión ($469.766 en 2022 y $531.399 en 2023) y el no pago de honorarios al señor Arias Agudelo desde su separación. Pese a la notificación de la SU-501 de 2024 y de la sentencia de reemplazo, ni el Concejo ni el Municipio de Bello adoptaron medida alguna de restablecimiento o reparación a su alcance, conducta omisiva en la que se funda la pretensión declarativa subsidiaria.</w:t>
      </w:r>
    </w:p>
    <w:p>
      <w:pPr>
        <w:jc w:val="both"/>
      </w:pPr>
      <w:r>
        <w:rPr>
          <w:b/>
        </w:rPr>
        <w:t xml:space="preserve">DECIMOSEXTO: </w:t>
      </w:r>
      <w:r>
        <w:rPr>
          <w:b w:val="0"/>
        </w:rPr>
        <w:t>El nexo causal es directo y exclusivo. No medió culpa de la víctima: su conducta fue declarada lícita con fuerza de cosa juzgada, de modo que ningún reproche de exposición imprudente puede construirse sobre el ejercicio legítimo de la participación en el gobierno escolar. Tampoco hecho determinante de tercero: la solicitud ciudadana de pérdida de investidura es un mecanismo legítimo de participación desprovisto de eficacia causal autónoma — no separa del cargo ni produce efecto adverso alguno, tanto que la primera instancia la denegó —; el único hecho con idoneidad para causar el daño fue la decisión jurisdiccional errada. No hubo fuerza mayor.</w:t>
      </w:r>
    </w:p>
    <w:p>
      <w:pPr>
        <w:jc w:val="both"/>
      </w:pPr>
      <w:r>
        <w:rPr>
          <w:b/>
        </w:rPr>
        <w:t xml:space="preserve">DECIMOSÉPTIMO: </w:t>
      </w:r>
      <w:r>
        <w:rPr>
          <w:b w:val="0"/>
        </w:rPr>
        <w:t>Como consecuencia directa del error, el señor Arias Agudelo sufragó la defensa técnica de la segunda instancia del proceso de pérdida de investidura y del trámite constitucional: VEINTICINCO MILLONES DE PESOS ($25.000.000) pagados al abogado Hugo de Jesús Henao Longas, según recibo y paz y salvo del 1 de diciembre de 2025, expedido al culminar la gestión encomendada conforme a la modalidad de pago pactada.</w:t>
      </w:r>
    </w:p>
    <w:p>
      <w:pPr>
        <w:jc w:val="both"/>
      </w:pPr>
      <w:r>
        <w:rPr>
          <w:b/>
        </w:rPr>
        <w:t xml:space="preserve">DECIMOCTAVO: </w:t>
      </w:r>
      <w:r>
        <w:rPr>
          <w:b w:val="0"/>
        </w:rPr>
        <w:t>Sobre la oportunidad de la demanda (artículo 164, numeral 2, literal i, del CPACA). Esta parte NO invoca suspensión ni interrupción del término de caducidad por el ejercicio de la acción de tutela — regla que conoce y no discute —, sino la hipótesis legal expresa del conocimiento posterior: el término corre desde cuando el demandante "tuvo o debió tener conocimiento" del daño, si fue posterior a su ocurrencia y se prueba la imposibilidad de conocerlo antes. La imposibilidad aquí no es fáctica sino jurídica y está probada con el propio expediente: mientras la sentencia del 25 de agosto de 2022 estuvo amparada por la presunción de legalidad y la cosa juzgada — mantenidas por dos fallos de tutela que declararon improcedente el amparo —, una demanda de reparación directa carecía del presupuesto de la providencia "contraria a la ley" (artículo 66 de la Ley 270 de 1996) y estaba condenada al fracaso; exigirla habría impuesto una carga procesal inútil, contraria al artículo 229 constitucional. La alegación del error en sede de tutela no equivale al conocimiento de un daño antijurídico: era precisamente la búsqueda de la declaración que lo convirtiera en tal. El término solo pudo iniciar con la sentencia SU-501 de 2024 — proferida el 28 de noviembre de 2024, cuya fecha exacta de notificación se acreditará mediante el oficio pedido a la Corte Constitucional, sin que ello afecte la oportunidad, pues aun contando desde la fecha de la providencia el término vence el 28 de noviembre de 2026 — o, a lo sumo, con la ejecutoria de la sentencia de reemplazo del 8 de mayo de 2025 (vencimiento: 8 de mayo de 2027).</w:t>
      </w:r>
    </w:p>
    <w:p>
      <w:pPr>
        <w:jc w:val="both"/>
      </w:pPr>
      <w:r>
        <w:rPr>
          <w:b/>
        </w:rPr>
        <w:t xml:space="preserve">DECIMONOVENO: </w:t>
      </w:r>
      <w:r>
        <w:rPr>
          <w:b w:val="0"/>
        </w:rPr>
        <w:t>Agotamiento del requisito de procedibilidad (artículo 161, numeral 1, del CPACA, modificado por la Ley 2080 de 2021; Ley 2220 de 2022). El 29 de mayo de 2026, los seis demandantes de este proceso radicaron solicitud de conciliación extrajudicial (IUS E-2026-302190, IUC I-2026-4360943) contra la Nación – Rama Judicial y contra el Municipio de Bello – Concejo Municipal de Bello, por las mismas pretensiones indemnizatorias de esta demanda; fue admitida por auto del 3 de junio de 2026 y tramitada por la Procuraduría 193 Judicial I para Asuntos Administrativos de Medellín, que citó a las convocadas a sus buzones judiciales oficiales. En la audiencia del 9 de julio de 2026: (i) la Nación – Rama Judicial, por conducto de apoderado de la Dirección Seccional de Administración Judicial de Medellín, manifestó concepto desfavorable adoptado por el Comité Seccional de Defensa y Conciliación de la Rama Judicial (sesión ordinaria 21 del 8 de julio de 2026, certificado 181, que se anexa), invocando caducidad; y (ii) la corporación municipal convocada NO compareció pese a estar debidamente citada en su buzón judicial. La audiencia se declaró fallida y se expidió la constancia de los artículos 110 y 112 de la Ley 2220 de 2022, que se anexa y en la que consta su fecha, hasta la cual estuvo suspendido el término de caducidad desde el 29 de mayo de 2026.</w:t>
      </w:r>
    </w:p>
    <w:p>
      <w:pPr>
        <w:jc w:val="both"/>
      </w:pPr>
      <w:r>
        <w:rPr>
          <w:b/>
        </w:rPr>
        <w:t xml:space="preserve">VIGÉSIMO: </w:t>
      </w:r>
      <w:r>
        <w:rPr>
          <w:b w:val="0"/>
        </w:rPr>
        <w:t>No se ha adelantado ningún otro trámite conciliatorio relacionado con estos hechos.</w:t>
      </w:r>
    </w:p>
    <w:p>
      <w:pPr>
        <w:spacing w:after="200"/>
        <w:jc w:val="left"/>
      </w:pPr>
      <w:r>
        <w:rPr>
          <w:b/>
          <w:i w:val="0"/>
          <w:sz w:val="24"/>
        </w:rPr>
        <w:t>IV. FUNDAMENTOS DE DERECHO</w:t>
      </w:r>
    </w:p>
    <w:p>
      <w:pPr>
        <w:spacing w:after="80"/>
        <w:jc w:val="left"/>
      </w:pPr>
      <w:r>
        <w:rPr>
          <w:b/>
          <w:i w:val="0"/>
          <w:sz w:val="22"/>
        </w:rPr>
        <w:t>1. Título de imputación: error jurisdiccional declarado con fuerza de cosa juzgada constitucional.</w:t>
      </w:r>
    </w:p>
    <w:p>
      <w:pPr>
        <w:spacing w:after="160"/>
        <w:jc w:val="both"/>
      </w:pPr>
      <w:r>
        <w:rPr>
          <w:b w:val="0"/>
          <w:i w:val="0"/>
          <w:sz w:val="22"/>
        </w:rPr>
        <w:t>El artículo 90 de la Constitución consagra la cláusula general de responsabilidad patrimonial del Estado; los artículos 65, 66 y 67 de la Ley 270 de 1996 desarrollan el error jurisdiccional: providencia contraria a la ley, proferida en ejercicio de función jurisdiccional, en firme y respecto de la cual el afectado interpuso los recursos de ley. La sentencia C-037 de 1996 precisó que, frente a las altas corporaciones, el error se configura cuando la providencia constituye una vía de hecho. Ese estándar está satisfecho por declaración de la propia Corte Constitucional: la SU-501 de 2024 estableció, con efectos de cosa juzgada constitucional (artículo 243 superior) y como precedente de unificación, que la sentencia del 25 de agosto de 2022 incurrió concurrentemente en defecto sustantivo y en defecto fáctico — las categorías que la jurisprudencia constitucional identifica, precisamente, como vía de hecho. La aclaración de voto del consejero ponente a la sentencia de reemplazo no revive la tesis anulada ni degrada el error a mera divergencia interpretativa: la Sala Plena de la Corte declaró que de la prueba obrante "es imposible derivar cualquier tipo de justificación para decretar la pérdida de investidura", juicio que excluye de plano la razonabilidad de la decisión. El juez de la reparación no puede, sin desconocer la cosa juzgada constitucional, recalificar como interpretación plausible lo que la Corte declaró constitutivo de defecto; su labor se contrae a constatar la declaración y a cuantificar el perjuicio.</w:t>
      </w:r>
    </w:p>
    <w:p>
      <w:pPr>
        <w:spacing w:after="160"/>
        <w:jc w:val="both"/>
      </w:pPr>
      <w:r>
        <w:rPr>
          <w:b w:val="0"/>
          <w:i w:val="0"/>
          <w:sz w:val="22"/>
        </w:rPr>
        <w:t>En cuanto al presupuesto del artículo 67: contra la sentencia de segunda instancia de pérdida de investidura de concejal no procedía recurso ordinario alguno; el recurso extraordinario de revisión del artículo 248 del CPACA no era exigible, pues ninguna de sus causales taxativas (artículo 250) comprende el defecto sustantivo o fáctico aquí configurado, y el recurso extraordinario especial de revisión previsto para la pérdida de investidura de congresistas (Ley 144 de 1994 y Ley 1881 de 2018) es inaplicable a los concejales. El afectado agotó, en cambio, todos los mecanismos idóneos: solicitud de aclaración (resuelta el 10 de octubre de 2022) y acción de tutela en dos instancias hasta obtener la revisión de la Corte, diligencia que excede el estándar legal.</w:t>
      </w:r>
    </w:p>
    <w:p>
      <w:pPr>
        <w:spacing w:after="80"/>
        <w:jc w:val="left"/>
      </w:pPr>
      <w:r>
        <w:rPr>
          <w:b/>
          <w:i w:val="0"/>
          <w:sz w:val="22"/>
        </w:rPr>
        <w:t>2. El daño antijurídico y su extensión.</w:t>
      </w:r>
    </w:p>
    <w:p>
      <w:pPr>
        <w:spacing w:after="160"/>
        <w:jc w:val="both"/>
      </w:pPr>
      <w:r>
        <w:rPr>
          <w:b w:val="0"/>
          <w:i w:val="0"/>
          <w:sz w:val="22"/>
        </w:rPr>
        <w:t>La separación de la curul — declarada contraria a derecho — produjo: (i) lucro cesante por los honorarios dejados de percibir entre el 29 de octubre de 2022 y el 31 de diciembre de 2023; (ii) daño emergente por los gastos de defensa necesarios para remover la providencia errada; y (iii) perjuicios inmateriales: daño moral y afectación autónoma de bienes constitucional y convencionalmente protegidos (derechos políticos, honra, buen nombre, proyecto de vida), extendidos al núcleo familiar conforme a las presunciones derivadas del parentesco y de la convivencia acreditada.</w:t>
      </w:r>
    </w:p>
    <w:p>
      <w:pPr>
        <w:spacing w:after="80"/>
        <w:jc w:val="left"/>
      </w:pPr>
      <w:r>
        <w:rPr>
          <w:b/>
          <w:i w:val="0"/>
          <w:sz w:val="22"/>
        </w:rPr>
        <w:t>3. Oportunidad: cómputo de la caducidad.</w:t>
      </w:r>
    </w:p>
    <w:p>
      <w:pPr>
        <w:spacing w:after="160"/>
        <w:jc w:val="both"/>
      </w:pPr>
      <w:r>
        <w:rPr>
          <w:b w:val="0"/>
          <w:i w:val="0"/>
          <w:sz w:val="22"/>
        </w:rPr>
        <w:t>Se reitera y desarrolla el hecho DECIMOCTAVO. El artículo 164, numeral 2, literal i, del CPACA contempla expresamente el cómputo desde el conocimiento posterior del daño con imposibilidad probada de conocimiento anterior. En el error jurisdiccional, el daño solo adquiere carácter antijurídico-cognoscible cuando una decisión remueve la presunción de legalidad y la cosa juzgada de la providencia que lo causó. La misma lógica sustenta la sentencia de unificación de la Sala Plena de la Sección Tercera del Consejo de Estado del 29 de enero de 2020 (radicación 85001-33-33-002-2016-00114-01, expediente 61033), que en la privación injusta de la libertad computa la caducidad desde la ejecutoria de la providencia que consolida la certeza del carácter injusto del daño — aquí, la SU-501 de 2024 o, a lo sumo, la sentencia de reemplazo del 8 de mayo de 2025, su equivalente funcional. A ello se suma la suspensión durante el trámite conciliatorio (del 29 de mayo de 2026 a la fecha de la constancia anexa, dentro del límite trimestral legal). La demanda es oportuna bajo cualquiera de las hipótesis propias: vencimientos el 28 de noviembre de 2026 o el 8 de mayo de 2027, más la suspensión.</w:t>
      </w:r>
    </w:p>
    <w:p>
      <w:pPr>
        <w:spacing w:after="80"/>
        <w:jc w:val="left"/>
      </w:pPr>
      <w:r>
        <w:rPr>
          <w:b/>
          <w:i w:val="0"/>
          <w:sz w:val="22"/>
        </w:rPr>
        <w:t>4. Requisito de procedibilidad.</w:t>
      </w:r>
    </w:p>
    <w:p>
      <w:pPr>
        <w:spacing w:after="160"/>
        <w:jc w:val="both"/>
      </w:pPr>
      <w:r>
        <w:rPr>
          <w:b w:val="0"/>
          <w:i w:val="0"/>
          <w:sz w:val="22"/>
        </w:rPr>
        <w:t>Agotado conforme al hecho DECIMONOVENO frente a ambas demandadas, con identidad de partes y de pretensiones entre el trámite conciliatorio y esta demanda, según la constancia anexa.</w:t>
      </w:r>
    </w:p>
    <w:p>
      <w:pPr>
        <w:spacing w:after="80"/>
        <w:jc w:val="left"/>
      </w:pPr>
      <w:r>
        <w:rPr>
          <w:b/>
          <w:i w:val="0"/>
          <w:sz w:val="22"/>
        </w:rPr>
        <w:t>5. Régimen de perjuicios inmateriales.</w:t>
      </w:r>
    </w:p>
    <w:p>
      <w:pPr>
        <w:spacing w:after="160"/>
        <w:jc w:val="both"/>
      </w:pPr>
      <w:r>
        <w:rPr>
          <w:b w:val="0"/>
          <w:i w:val="0"/>
          <w:sz w:val="22"/>
        </w:rPr>
        <w:t>Las sentencias de unificación del 28 de agosto de 2014 (Sección Tercera) estructuran el daño moral por niveles de cercanía con topes máximos, y el daño a bienes constitucional y convencionalmente protegidos con preferencia por medidas no pecuniarias e indemnización de hasta 100 SMLMV cuando aquellas resulten insuficientes. Las sumas pedidas respetan los topes y se formulan como pretensión máxima sujeta al arbitrio iudicis. Los perjuicios inmateriales no integran el juramento estimatorio, pues su tasación corresponde al prudente arbitrio judicial.</w:t>
      </w:r>
    </w:p>
    <w:p>
      <w:pPr>
        <w:spacing w:after="80"/>
        <w:jc w:val="left"/>
      </w:pPr>
      <w:r>
        <w:rPr>
          <w:b/>
          <w:i w:val="0"/>
          <w:sz w:val="22"/>
        </w:rPr>
        <w:t>6. Competencia y cuantía.</w:t>
      </w:r>
    </w:p>
    <w:p>
      <w:pPr>
        <w:spacing w:after="160"/>
        <w:jc w:val="both"/>
      </w:pPr>
      <w:r>
        <w:rPr>
          <w:b w:val="0"/>
          <w:i w:val="0"/>
          <w:sz w:val="22"/>
        </w:rPr>
        <w:t>Conforme al artículo 155, numeral 6, del CPACA (texto vigente conforme a la modificación de la Ley 2080 de 2021), los juzgados administrativos conocen en primera instancia de los procesos de reparación directa, "inclusive aquellos provenientes de la acción u omisión de los agentes judiciales", cuando la cuantía no exceda de mil (1.000) SMLMV — equivalentes en 2026 a MIL QUINIENTOS SETENTA Y SEIS MILLONES QUINIENTOS MIL PESOS ($1.576.500.000). Según el artículo 157 ibidem, la cuantía se determina por la estimación razonada de los perjuicios, "sin que en ella pueda considerarse la estimación de los perjuicios inmateriales, salvo que estos últimos sean los únicos que se reclamen", por la pretensión mayor en caso de acumulación, y con el SMLMV vigente a la presentación de la demanda. La pretensión mayor — los perjuicios materiales de la víctima directa — asciende a $151.569.401,32, equivalentes a 96,14 SMLMV de 2026: la competencia corresponde a los Juzgados Administrativos del Circuito de Medellín. Territorialmente (artículo 156 del CPACA), el daño se concretó en Bello, municipio del Circuito Judicial de Medellín, donde además tiene su sede la entidad territorial demandada.</w:t>
      </w:r>
    </w:p>
    <w:p>
      <w:pPr>
        <w:spacing w:after="200"/>
        <w:jc w:val="left"/>
      </w:pPr>
      <w:r>
        <w:rPr>
          <w:b/>
          <w:i w:val="0"/>
          <w:sz w:val="24"/>
        </w:rPr>
        <w:t>V. PRUEBAS</w:t>
      </w:r>
    </w:p>
    <w:p>
      <w:pPr>
        <w:spacing w:after="80"/>
        <w:jc w:val="left"/>
      </w:pPr>
      <w:r>
        <w:rPr>
          <w:b/>
          <w:i w:val="0"/>
          <w:sz w:val="22"/>
        </w:rPr>
        <w:t>Documentales (se anexan):</w:t>
      </w:r>
    </w:p>
    <w:p>
      <w:pPr>
        <w:jc w:val="both"/>
      </w:pPr>
      <w:r>
        <w:rPr>
          <w:b/>
        </w:rPr>
        <w:t xml:space="preserve">1. </w:t>
      </w:r>
      <w:r>
        <w:rPr>
          <w:b w:val="0"/>
        </w:rPr>
        <w:t>Sentencia de unificación SU-501 de 2024 de la Corte Constitucional.</w:t>
      </w:r>
    </w:p>
    <w:p>
      <w:pPr>
        <w:jc w:val="both"/>
      </w:pPr>
      <w:r>
        <w:rPr>
          <w:b/>
        </w:rPr>
        <w:t xml:space="preserve">2. </w:t>
      </w:r>
      <w:r>
        <w:rPr>
          <w:b w:val="0"/>
        </w:rPr>
        <w:t>Sentencia de reemplazo del 8 de mayo de 2025 (Sección Primera, rad. 05001-23-33-000-2020-02441-01) y su aclaración de voto del 20 de mayo de 2025, con constancia de ejecutoria.</w:t>
      </w:r>
    </w:p>
    <w:p>
      <w:pPr>
        <w:jc w:val="both"/>
      </w:pPr>
      <w:r>
        <w:rPr>
          <w:b/>
        </w:rPr>
        <w:t xml:space="preserve">3. </w:t>
      </w:r>
      <w:r>
        <w:rPr>
          <w:b w:val="0"/>
        </w:rPr>
        <w:t>Sentencia del 25 de agosto de 2022, salvamento de voto, y constancia secretarial de ejecutoria contenida en el oficio 2637 del 27 de octubre de 2022 (ejecutoria: 26 de octubre de 2022).</w:t>
      </w:r>
    </w:p>
    <w:p>
      <w:pPr>
        <w:jc w:val="both"/>
      </w:pPr>
      <w:r>
        <w:rPr>
          <w:b/>
        </w:rPr>
        <w:t xml:space="preserve">4. </w:t>
      </w:r>
      <w:r>
        <w:rPr>
          <w:b w:val="0"/>
        </w:rPr>
        <w:t>Sentencia del 26 de noviembre de 2020 del Tribunal Administrativo de Antioquia.</w:t>
      </w:r>
    </w:p>
    <w:p>
      <w:pPr>
        <w:jc w:val="both"/>
      </w:pPr>
      <w:r>
        <w:rPr>
          <w:b/>
        </w:rPr>
        <w:t xml:space="preserve">5. </w:t>
      </w:r>
      <w:r>
        <w:rPr>
          <w:b w:val="0"/>
        </w:rPr>
        <w:t>Sentencias de tutela del 27 de octubre de 2022 (Sección Quinta) y del 27 de enero de 2023 (Sección Tercera – Subsección C), rad. 11001-03-15-000-2022-04916.</w:t>
      </w:r>
    </w:p>
    <w:p>
      <w:pPr>
        <w:jc w:val="both"/>
      </w:pPr>
      <w:r>
        <w:rPr>
          <w:b/>
        </w:rPr>
        <w:t xml:space="preserve">6. </w:t>
      </w:r>
      <w:r>
        <w:rPr>
          <w:b w:val="0"/>
        </w:rPr>
        <w:t>Oficio del Concejo Municipal de Bello del 28 de octubre de 2022 y acto de formalización de la separación de la curul del 24 de enero de 2023.</w:t>
      </w:r>
    </w:p>
    <w:p>
      <w:pPr>
        <w:jc w:val="both"/>
      </w:pPr>
      <w:r>
        <w:rPr>
          <w:b/>
        </w:rPr>
        <w:t xml:space="preserve">7. </w:t>
      </w:r>
      <w:r>
        <w:rPr>
          <w:b w:val="0"/>
        </w:rPr>
        <w:t>Certificaciones de la Secretaría General del Concejo Municipal de Bello del 4 de febrero de 2026 y respuesta del 12 de febrero de 2026 al derecho de petición.</w:t>
      </w:r>
    </w:p>
    <w:p>
      <w:pPr>
        <w:jc w:val="both"/>
      </w:pPr>
      <w:r>
        <w:rPr>
          <w:b/>
        </w:rPr>
        <w:t xml:space="preserve">8. </w:t>
      </w:r>
      <w:r>
        <w:rPr>
          <w:b w:val="0"/>
        </w:rPr>
        <w:t>Credencial de concejal expedida con fundamento en el formulario E-26 y acta de posesión.</w:t>
      </w:r>
    </w:p>
    <w:p>
      <w:pPr>
        <w:jc w:val="both"/>
      </w:pPr>
      <w:r>
        <w:rPr>
          <w:b/>
        </w:rPr>
        <w:t xml:space="preserve">9. </w:t>
      </w:r>
      <w:r>
        <w:rPr>
          <w:b w:val="0"/>
        </w:rPr>
        <w:t>Recibo de pago y paz y salvo del 1 de diciembre de 2025 suscrito por el abogado Hugo de Jesús Henao Longas.</w:t>
      </w:r>
    </w:p>
    <w:p>
      <w:pPr>
        <w:jc w:val="both"/>
      </w:pPr>
      <w:r>
        <w:rPr>
          <w:b/>
        </w:rPr>
        <w:t xml:space="preserve">10. </w:t>
      </w:r>
      <w:r>
        <w:rPr>
          <w:b w:val="0"/>
        </w:rPr>
        <w:t>Registros civiles de nacimiento (víctima directa, hijo, hermanas y el que acredita la maternidad) y registro civil de matrimonio; copias de las cédulas de los demandantes.</w:t>
      </w:r>
    </w:p>
    <w:p>
      <w:pPr>
        <w:jc w:val="both"/>
      </w:pPr>
      <w:r>
        <w:rPr>
          <w:b/>
        </w:rPr>
        <w:t xml:space="preserve">11. </w:t>
      </w:r>
      <w:r>
        <w:rPr>
          <w:b w:val="0"/>
        </w:rPr>
        <w:t>Solicitud de conciliación del 29 de mayo de 2026 (IUS E-2026-302190) con anexos; auto admisorio del 3 de junio de 2026; acta de audiencia del 9 de julio de 2026; certificado 181 del Comité Seccional de Defensa y Conciliación de la Rama Judicial; constancia de agotamiento del requisito de procedibilidad.</w:t>
      </w:r>
    </w:p>
    <w:p>
      <w:pPr>
        <w:jc w:val="both"/>
      </w:pPr>
      <w:r>
        <w:rPr>
          <w:b/>
        </w:rPr>
        <w:t xml:space="preserve">12. </w:t>
      </w:r>
      <w:r>
        <w:rPr>
          <w:b w:val="0"/>
        </w:rPr>
        <w:t>Anexo A de esta demanda: liquidación técnica del lucro cesante, con la certificación DANE de los índices IPC empleados.</w:t>
      </w:r>
    </w:p>
    <w:p>
      <w:pPr>
        <w:spacing w:after="80"/>
        <w:jc w:val="left"/>
      </w:pPr>
      <w:r>
        <w:rPr>
          <w:b/>
          <w:i w:val="0"/>
          <w:sz w:val="22"/>
        </w:rPr>
        <w:t>Exhibición (art. 265 CGP):</w:t>
      </w:r>
    </w:p>
    <w:p>
      <w:pPr>
        <w:spacing w:after="160"/>
        <w:jc w:val="both"/>
      </w:pPr>
      <w:r>
        <w:rPr>
          <w:b w:val="0"/>
          <w:i w:val="0"/>
          <w:sz w:val="22"/>
        </w:rPr>
        <w:t>Que se ordene al abogado Hugo de Jesús Henao Longas la exhibición del contrato de prestación de servicios profesionales suscrito con el demandante, cuyo original reposa en su poder, junto con la certificación discriminada de sus honorarios por etapas procesales.</w:t>
      </w:r>
    </w:p>
    <w:p>
      <w:pPr>
        <w:spacing w:after="80"/>
        <w:jc w:val="left"/>
      </w:pPr>
      <w:r>
        <w:rPr>
          <w:b/>
          <w:i w:val="0"/>
          <w:sz w:val="22"/>
        </w:rPr>
        <w:t>Por oficio:</w:t>
      </w:r>
    </w:p>
    <w:p>
      <w:pPr>
        <w:spacing w:after="160"/>
        <w:jc w:val="both"/>
      </w:pPr>
      <w:r>
        <w:rPr>
          <w:b w:val="0"/>
          <w:i w:val="0"/>
          <w:sz w:val="22"/>
        </w:rPr>
        <w:t>1. A la Secretaría General del Concejo Municipal de Bello: certificar (i) el número de sesiones ordinarias y extraordinarias efectivamente realizadas y pagadas a los concejales desde el 28 de octubre de 2022 (inclusive) hasta el 31 de diciembre de 2023, con sus valores; (ii) la fecha de la última sesión pagada al señor Arias Agudelo; (iii) el acto mediante el cual se proveyó su reemplazo; y (iv) la categoría del municipio de Bello para las vigencias 2022 y 2023 (artículo 6 de la Ley 617 de 2000). 2. A la Corte Constitucional: certificar la fecha de notificación de la sentencia SU-501 de 2024. 3. A la Secretaría de la Sección Primera del Consejo de Estado y al Tribunal Administrativo de Antioquia: remitir copia digital íntegra del expediente del proceso de pérdida de investidura rad. 05001-23-33-000-2020-02441-00/01, como prueba trasladada.</w:t>
      </w:r>
    </w:p>
    <w:p>
      <w:pPr>
        <w:spacing w:after="80"/>
        <w:jc w:val="left"/>
      </w:pPr>
      <w:r>
        <w:rPr>
          <w:b/>
          <w:i w:val="0"/>
          <w:sz w:val="22"/>
        </w:rPr>
        <w:t>Declaraciones:</w:t>
      </w:r>
    </w:p>
    <w:p>
      <w:pPr>
        <w:spacing w:after="160"/>
        <w:jc w:val="both"/>
      </w:pPr>
      <w:r>
        <w:rPr>
          <w:b w:val="0"/>
          <w:i w:val="0"/>
          <w:sz w:val="22"/>
        </w:rPr>
        <w:t>Declaración de parte de los seis demandantes sobre la afectación moral y familiar. Informe escrito bajo juramento de las entidades demandadas (artículo 195 del CGP) sobre los hechos SÉPTIMO, DECIMOQUINTO y DECIMONOVENO.</w:t>
      </w:r>
    </w:p>
    <w:p>
      <w:pPr>
        <w:spacing w:after="200"/>
        <w:jc w:val="left"/>
      </w:pPr>
      <w:r>
        <w:rPr>
          <w:b/>
          <w:i w:val="0"/>
          <w:sz w:val="24"/>
        </w:rPr>
        <w:t>VI. JURAMENTO ESTIMATORIO</w:t>
      </w:r>
    </w:p>
    <w:p>
      <w:pPr>
        <w:spacing w:after="160"/>
        <w:jc w:val="both"/>
      </w:pPr>
      <w:r>
        <w:rPr>
          <w:b w:val="0"/>
          <w:i w:val="0"/>
          <w:sz w:val="22"/>
        </w:rPr>
        <w:t>En cumplimiento del artículo 206 del CGP, aplicable por remisión del artículo 306 del CPACA, manifiesto bajo la gravedad del juramento que la estimación de los perjuicios materiales reclamados — CIENTO CINCUENTA Y UN MILLONES QUINIENTOS SESENTA Y NUEVE MIL CUATROCIENTOS UN PESOS CON TREINTA Y DOS CENTAVOS ($151.569.401,32) — es razonada, se discrimina por conceptos en el capítulo de pretensiones y en el Anexo A, y se soporta en las certificaciones y recibos anexos. La estimación del lucro cesante sobre el criterio provisional del tope legal de sesiones es de buena fe, ante la imposibilidad actual de acceder a la certificación oficial del número real de sesiones — pedida como prueba por oficio —, por lo que el eventual ajuste derivado de esa certificación no constituye la sobrestimación que sanciona el artículo 206 del CGP, conforme a la jurisprudencia que excluye la sanción cuando la diferencia proviene de circunstancias no imputables a la parte (sentencia C-157 de 2013). Los perjuicios inmateriales no integran este juramento, pues su tasación corresponde al arbitrio judicial dentro de los topes de la unificación del 28 de agosto de 2014.</w:t>
      </w:r>
    </w:p>
    <w:p>
      <w:pPr>
        <w:spacing w:after="200"/>
        <w:jc w:val="left"/>
      </w:pPr>
      <w:r>
        <w:rPr>
          <w:b/>
          <w:i w:val="0"/>
          <w:sz w:val="24"/>
        </w:rPr>
        <w:t>VII. ANEXOS</w:t>
      </w:r>
    </w:p>
    <w:p>
      <w:pPr>
        <w:spacing w:after="160"/>
        <w:jc w:val="both"/>
      </w:pPr>
      <w:r>
        <w:rPr>
          <w:b w:val="0"/>
          <w:i w:val="0"/>
          <w:sz w:val="22"/>
        </w:rPr>
        <w:t>1. Poderes especiales de los seis demandantes, con facultades expresas para conciliar, demandar, recibir, transigir y sustituir, que comprenden a las dos entidades demandadas. 2. Los documentos relacionados en el capítulo de pruebas. 3. Anexos técnicos A (liquidación del lucro cesante), B (daño emergente), C (perjuicios inmateriales) y D (relación de anexos documentales), que forman parte integrante de esta demanda. 4. Constancia de remisión simultánea del escrito y sus anexos a los buzones judiciales de las demandadas y de la ANDJE (artículo 6 de la Ley 2213 de 2022). 5. Copias para traslados y archivo, conforme al artículo 166 del CPACA, incluidas las destinadas al Ministerio Público y a la ANDJE.</w:t>
      </w:r>
    </w:p>
    <w:p>
      <w:pPr>
        <w:spacing w:after="200"/>
        <w:jc w:val="left"/>
      </w:pPr>
      <w:r>
        <w:rPr>
          <w:b/>
          <w:i w:val="0"/>
          <w:sz w:val="24"/>
        </w:rPr>
        <w:t>VIII. NOTIFICACIONES</w:t>
      </w:r>
    </w:p>
    <w:p>
      <w:pPr>
        <w:spacing w:after="160"/>
        <w:jc w:val="both"/>
      </w:pPr>
      <w:r>
        <w:rPr>
          <w:b w:val="0"/>
          <w:i w:val="0"/>
          <w:sz w:val="22"/>
        </w:rPr>
        <w:t>Demandadas: La Nación – Rama Judicial, Dirección Ejecutiva de Administración Judicial: Carrera 7 No. 27-18, Bogotá D.C., deajnotif@deaj.ramajudicial.gov.co. Consejo de Estado – Sección Primera (vinculado): ces1secr@consejodeestado.gov.co. Tribunal Administrativo de Antioquia (vinculado): demandastaant@cendoj.ramajudicial.gov.co. Municipio de Bello: Alcaldía Municipal, Palacio Municipal, Parque Principal de Bello, buzón oficial de notificaciones judiciales de la Alcaldía (verificado al momento de la radicación); Concejo Municipal de Bello: Carrera 50 No. 51-00, Bello, notificaciones.judiciales@concejodebello.gov.co e info@concejodebello.gov.co. ANDJE: Calle 70 No. 4-60, Bogotá D.C., notificacionesjudiciales@defensajuridica.gov.co.</w:t>
      </w:r>
    </w:p>
    <w:p>
      <w:pPr>
        <w:spacing w:after="160"/>
        <w:jc w:val="both"/>
      </w:pPr>
      <w:r>
        <w:rPr>
          <w:b w:val="0"/>
          <w:i w:val="0"/>
          <w:sz w:val="22"/>
        </w:rPr>
        <w:t>Demandantes: en los domicilios indicados en el capítulo I y en los correos: oscar1ab@hotmail.com (Óscar Darío y María Mercedes y Nubia Ledy, quienes lo autorizan como canal); chrisol21@hotmail.com (Doris Elena y Chris Alvin); luzmery0108@hotmail.com (Luz Mery).</w:t>
      </w:r>
    </w:p>
    <w:p>
      <w:pPr>
        <w:spacing w:after="160"/>
        <w:jc w:val="both"/>
      </w:pPr>
      <w:r>
        <w:rPr>
          <w:b w:val="0"/>
          <w:i w:val="0"/>
          <w:sz w:val="22"/>
        </w:rPr>
        <w:t>Apoderada: Calle 27B No. 58A-16, Bello, Antioquia; anapatriciao@hotmail.com. Apoderado sustituto: abogadojr@aliado.co.</w:t>
      </w:r>
    </w:p>
    <w:p>
      <w:pPr>
        <w:spacing w:after="160"/>
        <w:jc w:val="left"/>
      </w:pPr>
      <w:r>
        <w:rPr>
          <w:b w:val="0"/>
          <w:i w:val="0"/>
          <w:sz w:val="22"/>
        </w:rPr>
        <w:t>Del señor Juez, atentamente,</w:t>
      </w:r>
    </w:p>
    <w:p/>
    <w:p/>
    <w:p>
      <w:pPr>
        <w:spacing w:after="0"/>
        <w:jc w:val="left"/>
      </w:pPr>
      <w:r>
        <w:rPr>
          <w:b w:val="0"/>
          <w:i w:val="0"/>
          <w:sz w:val="22"/>
        </w:rPr>
        <w:t>________________________________________</w:t>
      </w:r>
    </w:p>
    <w:p>
      <w:pPr>
        <w:spacing w:after="0"/>
        <w:jc w:val="left"/>
      </w:pPr>
      <w:r>
        <w:rPr>
          <w:b/>
          <w:i w:val="0"/>
          <w:sz w:val="22"/>
        </w:rPr>
        <w:t>ANA PATRICIA OCHOA PELÁEZ</w:t>
      </w:r>
    </w:p>
    <w:p>
      <w:pPr>
        <w:spacing w:after="0"/>
        <w:jc w:val="left"/>
      </w:pPr>
      <w:r>
        <w:rPr>
          <w:b w:val="0"/>
          <w:i w:val="0"/>
          <w:sz w:val="22"/>
        </w:rPr>
        <w:t>T.P. 367.180 del Consejo Superior de la Judicatura — C.C. 43.439.471 de Bello</w:t>
      </w:r>
    </w:p>
    <w:p>
      <w:pPr>
        <w:spacing w:after="160"/>
        <w:jc w:val="left"/>
      </w:pPr>
      <w:r>
        <w:rPr>
          <w:b w:val="0"/>
          <w:i w:val="0"/>
          <w:sz w:val="22"/>
        </w:rPr>
        <w:t>Apoderada judicial</w:t>
      </w:r>
    </w:p>
    <w:p>
      <w:r>
        <w:br w:type="page"/>
      </w:r>
    </w:p>
    <w:p>
      <w:pPr>
        <w:spacing w:after="40"/>
        <w:jc w:val="center"/>
      </w:pPr>
      <w:r>
        <w:rPr>
          <w:b/>
          <w:i w:val="0"/>
          <w:sz w:val="28"/>
        </w:rPr>
        <w:t>ANEXO A</w:t>
      </w:r>
    </w:p>
    <w:p>
      <w:pPr>
        <w:spacing w:after="160"/>
        <w:jc w:val="center"/>
      </w:pPr>
      <w:r>
        <w:rPr>
          <w:b/>
          <w:i w:val="0"/>
          <w:sz w:val="24"/>
        </w:rPr>
        <w:t>LIQUIDACIÓN TÉCNICA DEL LUCRO CESANTE CONSOLIDADO</w:t>
      </w:r>
    </w:p>
    <w:p>
      <w:pPr>
        <w:spacing w:after="200"/>
        <w:jc w:val="left"/>
      </w:pPr>
      <w:r>
        <w:rPr>
          <w:b/>
          <w:i w:val="0"/>
          <w:sz w:val="24"/>
        </w:rPr>
        <w:t>A.1. Marco normativo</w:t>
      </w:r>
    </w:p>
    <w:tbl>
      <w:tblPr>
        <w:tblStyle w:val="TableGrid"/>
        <w:tblW w:type="auto" w:w="0"/>
        <w:jc w:val="center"/>
        <w:tblLook w:firstColumn="1" w:firstRow="1" w:lastColumn="0" w:lastRow="0" w:noHBand="0" w:noVBand="1" w:val="04A0"/>
      </w:tblPr>
      <w:tblGrid>
        <w:gridCol w:w="4561"/>
        <w:gridCol w:w="4561"/>
      </w:tblGrid>
      <w:tr>
        <w:tc>
          <w:tcPr>
            <w:tcW w:type="dxa" w:w="4561"/>
          </w:tcPr>
          <w:p>
            <w:r/>
            <w:r>
              <w:rPr>
                <w:rFonts w:ascii="Arial" w:hAnsi="Arial"/>
                <w:b/>
                <w:sz w:val="20"/>
              </w:rPr>
              <w:t>Fuente</w:t>
            </w:r>
          </w:p>
        </w:tc>
        <w:tc>
          <w:tcPr>
            <w:tcW w:type="dxa" w:w="4561"/>
          </w:tcPr>
          <w:p>
            <w:r/>
            <w:r>
              <w:rPr>
                <w:rFonts w:ascii="Arial" w:hAnsi="Arial"/>
                <w:b/>
                <w:sz w:val="20"/>
              </w:rPr>
              <w:t>Contenido</w:t>
            </w:r>
          </w:p>
        </w:tc>
      </w:tr>
      <w:tr>
        <w:tc>
          <w:tcPr>
            <w:tcW w:type="dxa" w:w="4561"/>
          </w:tcPr>
          <w:p>
            <w:r/>
            <w:r>
              <w:rPr>
                <w:rFonts w:ascii="Arial" w:hAnsi="Arial"/>
                <w:sz w:val="20"/>
              </w:rPr>
              <w:t>Art. 6, Ley 617 de 2000 (categorización municipal)</w:t>
            </w:r>
          </w:p>
        </w:tc>
        <w:tc>
          <w:tcPr>
            <w:tcW w:type="dxa" w:w="4561"/>
          </w:tcPr>
          <w:p>
            <w:r/>
            <w:r>
              <w:rPr>
                <w:rFonts w:ascii="Arial" w:hAnsi="Arial"/>
                <w:sz w:val="20"/>
              </w:rPr>
              <w:t>Bello, Antioquia: municipio de primera categoría (certificación pedida por oficio).</w:t>
            </w:r>
          </w:p>
        </w:tc>
      </w:tr>
      <w:tr>
        <w:tc>
          <w:tcPr>
            <w:tcW w:type="dxa" w:w="4561"/>
          </w:tcPr>
          <w:p>
            <w:r/>
            <w:r>
              <w:rPr>
                <w:rFonts w:ascii="Arial" w:hAnsi="Arial"/>
                <w:sz w:val="20"/>
              </w:rPr>
              <w:t>Art. 66, Ley 136 de 1994, mod. art. 1, Ley 1368 de 2009</w:t>
            </w:r>
          </w:p>
        </w:tc>
        <w:tc>
          <w:tcPr>
            <w:tcW w:type="dxa" w:w="4561"/>
          </w:tcPr>
          <w:p>
            <w:r/>
            <w:r>
              <w:rPr>
                <w:rFonts w:ascii="Arial" w:hAnsi="Arial"/>
                <w:sz w:val="20"/>
              </w:rPr>
              <w:t>Máximo remunerable en municipios de categoría especial, primera y segunda: 150 sesiones ordinarias y 30 extraordinarias al año (180).</w:t>
            </w:r>
          </w:p>
        </w:tc>
      </w:tr>
      <w:tr>
        <w:tc>
          <w:tcPr>
            <w:tcW w:type="dxa" w:w="4561"/>
          </w:tcPr>
          <w:p>
            <w:r/>
            <w:r>
              <w:rPr>
                <w:rFonts w:ascii="Arial" w:hAnsi="Arial"/>
                <w:sz w:val="20"/>
              </w:rPr>
              <w:t>Certificación Concejo de Bello, 04-feb-2026</w:t>
            </w:r>
          </w:p>
        </w:tc>
        <w:tc>
          <w:tcPr>
            <w:tcW w:type="dxa" w:w="4561"/>
          </w:tcPr>
          <w:p>
            <w:r/>
            <w:r>
              <w:rPr>
                <w:rFonts w:ascii="Arial" w:hAnsi="Arial"/>
                <w:sz w:val="20"/>
              </w:rPr>
              <w:t>Valor por sesión: $469.766 (2022) y $531.399 (2023); no pago de honorarios al demandante desde su separación.</w:t>
            </w:r>
          </w:p>
        </w:tc>
      </w:tr>
      <w:tr>
        <w:tc>
          <w:tcPr>
            <w:tcW w:type="dxa" w:w="4561"/>
          </w:tcPr>
          <w:p>
            <w:r/>
            <w:r>
              <w:rPr>
                <w:rFonts w:ascii="Arial" w:hAnsi="Arial"/>
                <w:sz w:val="20"/>
              </w:rPr>
              <w:t>Art. 187, inciso final, CPACA</w:t>
            </w:r>
          </w:p>
        </w:tc>
        <w:tc>
          <w:tcPr>
            <w:tcW w:type="dxa" w:w="4561"/>
          </w:tcPr>
          <w:p>
            <w:r/>
            <w:r>
              <w:rPr>
                <w:rFonts w:ascii="Arial" w:hAnsi="Arial"/>
                <w:sz w:val="20"/>
              </w:rPr>
              <w:t>Ajuste de condenas con el IPC certificado por el DANE.</w:t>
            </w:r>
          </w:p>
        </w:tc>
      </w:tr>
      <w:tr>
        <w:tc>
          <w:tcPr>
            <w:tcW w:type="dxa" w:w="4561"/>
          </w:tcPr>
          <w:p>
            <w:r/>
            <w:r>
              <w:rPr>
                <w:rFonts w:ascii="Arial" w:hAnsi="Arial"/>
                <w:sz w:val="20"/>
              </w:rPr>
              <w:t>Jurisprudencia Sección Tercera</w:t>
            </w:r>
          </w:p>
        </w:tc>
        <w:tc>
          <w:tcPr>
            <w:tcW w:type="dxa" w:w="4561"/>
          </w:tcPr>
          <w:p>
            <w:r/>
            <w:r>
              <w:rPr>
                <w:rFonts w:ascii="Arial" w:hAnsi="Arial"/>
                <w:sz w:val="20"/>
              </w:rPr>
              <w:t>Fórmula de actualización: Ra = Rh × (IPC final ÷ IPC inicial).</w:t>
            </w:r>
          </w:p>
        </w:tc>
      </w:tr>
    </w:tbl>
    <w:p>
      <w:pPr>
        <w:spacing w:after="80"/>
      </w:pPr>
    </w:p>
    <w:p>
      <w:pPr>
        <w:spacing w:after="200"/>
        <w:jc w:val="left"/>
      </w:pPr>
      <w:r>
        <w:rPr>
          <w:b/>
          <w:i w:val="0"/>
          <w:sz w:val="24"/>
        </w:rPr>
        <w:t>A.2. Jerarquía de criterios</w:t>
      </w:r>
    </w:p>
    <w:p>
      <w:pPr>
        <w:spacing w:after="160"/>
        <w:jc w:val="both"/>
      </w:pPr>
      <w:r>
        <w:rPr>
          <w:b w:val="0"/>
          <w:i w:val="0"/>
          <w:sz w:val="22"/>
        </w:rPr>
        <w:t>Criterio principal: número de sesiones efectivamente realizadas y pagadas a los demás concejales de Bello entre el 29-oct-2022 y el 31-dic-2023, según certificación decretada como prueba; la suma definitiva será la que resulte probada, aun si es inferior a la estimada. Criterio provisional y subsidiario (el aquí liquidado): tope legal de sesiones remuneradas, prorrateado con redondeo a la baja para la fracción de 2022, empleado únicamente ante la imposibilidad actual de acceder a la certificación oficial.</w:t>
      </w:r>
    </w:p>
    <w:p>
      <w:pPr>
        <w:spacing w:after="200"/>
        <w:jc w:val="left"/>
      </w:pPr>
      <w:r>
        <w:rPr>
          <w:b/>
          <w:i w:val="0"/>
          <w:sz w:val="24"/>
        </w:rPr>
        <w:t>A.3. Período 1: 29-oct-2022 a 31-dic-2022</w:t>
      </w:r>
    </w:p>
    <w:p>
      <w:pPr>
        <w:spacing w:after="160"/>
        <w:jc w:val="both"/>
      </w:pPr>
      <w:r>
        <w:rPr>
          <w:b w:val="0"/>
          <w:i w:val="0"/>
          <w:sz w:val="22"/>
        </w:rPr>
        <w:t>Duración: 64 días = 2,10 meses (64 ÷ 30,42). Sesiones estimadas: 15 sesiones/mes × (64 ÷ 30,42) = 31,56, redondeadas A LA BAJA a 31 en aplicación del criterio conservador.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Concepto</w:t>
            </w:r>
          </w:p>
        </w:tc>
        <w:tc>
          <w:tcPr>
            <w:tcW w:type="dxa" w:w="3041"/>
          </w:tcPr>
          <w:p>
            <w:r/>
            <w:r>
              <w:rPr>
                <w:rFonts w:ascii="Arial" w:hAnsi="Arial"/>
                <w:b/>
                <w:sz w:val="20"/>
              </w:rPr>
              <w:t>Operación</w:t>
            </w:r>
          </w:p>
        </w:tc>
        <w:tc>
          <w:tcPr>
            <w:tcW w:type="dxa" w:w="3041"/>
          </w:tcPr>
          <w:p>
            <w:r/>
            <w:r>
              <w:rPr>
                <w:rFonts w:ascii="Arial" w:hAnsi="Arial"/>
                <w:b/>
                <w:sz w:val="20"/>
              </w:rPr>
              <w:t>Resultado</w:t>
            </w:r>
          </w:p>
        </w:tc>
      </w:tr>
      <w:tr>
        <w:tc>
          <w:tcPr>
            <w:tcW w:type="dxa" w:w="3041"/>
          </w:tcPr>
          <w:p>
            <w:r/>
            <w:r>
              <w:rPr>
                <w:rFonts w:ascii="Arial" w:hAnsi="Arial"/>
                <w:sz w:val="20"/>
              </w:rPr>
              <w:t>Sesiones estimadas</w:t>
            </w:r>
          </w:p>
        </w:tc>
        <w:tc>
          <w:tcPr>
            <w:tcW w:type="dxa" w:w="3041"/>
          </w:tcPr>
          <w:p>
            <w:r/>
            <w:r>
              <w:rPr>
                <w:rFonts w:ascii="Arial" w:hAnsi="Arial"/>
                <w:sz w:val="20"/>
              </w:rPr>
              <w:t>15 × (64 ÷ 30,42) = 31,56 → redondeo a la baja</w:t>
            </w:r>
          </w:p>
        </w:tc>
        <w:tc>
          <w:tcPr>
            <w:tcW w:type="dxa" w:w="3041"/>
          </w:tcPr>
          <w:p>
            <w:r/>
            <w:r>
              <w:rPr>
                <w:rFonts w:ascii="Arial" w:hAnsi="Arial"/>
                <w:sz w:val="20"/>
              </w:rPr>
              <w:t>31</w:t>
            </w:r>
          </w:p>
        </w:tc>
      </w:tr>
      <w:tr>
        <w:tc>
          <w:tcPr>
            <w:tcW w:type="dxa" w:w="3041"/>
          </w:tcPr>
          <w:p>
            <w:r/>
            <w:r>
              <w:rPr>
                <w:rFonts w:ascii="Arial" w:hAnsi="Arial"/>
                <w:sz w:val="20"/>
              </w:rPr>
              <w:t>Capital histórico (Rh)</w:t>
            </w:r>
          </w:p>
        </w:tc>
        <w:tc>
          <w:tcPr>
            <w:tcW w:type="dxa" w:w="3041"/>
          </w:tcPr>
          <w:p>
            <w:r/>
            <w:r>
              <w:rPr>
                <w:rFonts w:ascii="Arial" w:hAnsi="Arial"/>
                <w:sz w:val="20"/>
              </w:rPr>
              <w:t>31 × $469.766</w:t>
            </w:r>
          </w:p>
        </w:tc>
        <w:tc>
          <w:tcPr>
            <w:tcW w:type="dxa" w:w="3041"/>
          </w:tcPr>
          <w:p>
            <w:r/>
            <w:r>
              <w:rPr>
                <w:rFonts w:ascii="Arial" w:hAnsi="Arial"/>
                <w:sz w:val="20"/>
              </w:rPr>
              <w:t>$14.562.746,00</w:t>
            </w:r>
          </w:p>
        </w:tc>
      </w:tr>
      <w:tr>
        <w:tc>
          <w:tcPr>
            <w:tcW w:type="dxa" w:w="3041"/>
          </w:tcPr>
          <w:p>
            <w:r/>
            <w:r>
              <w:rPr>
                <w:rFonts w:ascii="Arial" w:hAnsi="Arial"/>
                <w:sz w:val="20"/>
              </w:rPr>
              <w:t>Factor de actualización</w:t>
            </w:r>
          </w:p>
        </w:tc>
        <w:tc>
          <w:tcPr>
            <w:tcW w:type="dxa" w:w="3041"/>
          </w:tcPr>
          <w:p>
            <w:r/>
            <w:r>
              <w:rPr>
                <w:rFonts w:ascii="Arial" w:hAnsi="Arial"/>
                <w:sz w:val="20"/>
              </w:rPr>
              <w:t>145,00 ÷ 114,50 (fracción completa)</w:t>
            </w:r>
          </w:p>
        </w:tc>
        <w:tc>
          <w:tcPr>
            <w:tcW w:type="dxa" w:w="3041"/>
          </w:tcPr>
          <w:p>
            <w:r/>
            <w:r>
              <w:rPr>
                <w:rFonts w:ascii="Arial" w:hAnsi="Arial"/>
                <w:sz w:val="20"/>
              </w:rPr>
              <w:t>1,26638*</w:t>
            </w:r>
          </w:p>
        </w:tc>
      </w:tr>
      <w:tr>
        <w:tc>
          <w:tcPr>
            <w:tcW w:type="dxa" w:w="3041"/>
          </w:tcPr>
          <w:p>
            <w:r/>
            <w:r>
              <w:rPr>
                <w:rFonts w:ascii="Arial" w:hAnsi="Arial"/>
                <w:sz w:val="20"/>
              </w:rPr>
              <w:t>Valor actualizado (Ra)</w:t>
            </w:r>
          </w:p>
        </w:tc>
        <w:tc>
          <w:tcPr>
            <w:tcW w:type="dxa" w:w="3041"/>
          </w:tcPr>
          <w:p>
            <w:r/>
            <w:r>
              <w:rPr>
                <w:rFonts w:ascii="Arial" w:hAnsi="Arial"/>
                <w:sz w:val="20"/>
              </w:rPr>
              <w:t>$14.562.746,00 × (145,00 ÷ 114,50)</w:t>
            </w:r>
          </w:p>
        </w:tc>
        <w:tc>
          <w:tcPr>
            <w:tcW w:type="dxa" w:w="3041"/>
          </w:tcPr>
          <w:p>
            <w:r/>
            <w:r>
              <w:rPr>
                <w:rFonts w:ascii="Arial" w:hAnsi="Arial"/>
                <w:sz w:val="20"/>
              </w:rPr>
              <w:t>$18.441.905,41</w:t>
            </w:r>
          </w:p>
        </w:tc>
      </w:tr>
    </w:tbl>
    <w:p>
      <w:pPr>
        <w:spacing w:after="80"/>
      </w:pPr>
    </w:p>
    <w:p>
      <w:pPr>
        <w:spacing w:after="200"/>
        <w:jc w:val="left"/>
      </w:pPr>
      <w:r>
        <w:rPr>
          <w:b/>
          <w:i w:val="0"/>
          <w:sz w:val="24"/>
        </w:rPr>
        <w:t>A.4. Período 2: 01-ene-2023 a 31-dic-2023</w:t>
      </w:r>
    </w:p>
    <w:p>
      <w:pPr>
        <w:spacing w:after="160"/>
        <w:jc w:val="both"/>
      </w:pPr>
      <w:r>
        <w:rPr>
          <w:b w:val="0"/>
          <w:i w:val="0"/>
          <w:sz w:val="22"/>
        </w:rPr>
        <w:t>Año completo: tope legal de 180 sesiones. Por tratarse de una renta percibida a lo largo de toda la vigencia, se emplea como IPC inicial el índice promedio del año 2023, criterio aceptado por la jurisprudencia de la Sección Tercera para flujos anuales.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Concepto</w:t>
            </w:r>
          </w:p>
        </w:tc>
        <w:tc>
          <w:tcPr>
            <w:tcW w:type="dxa" w:w="3041"/>
          </w:tcPr>
          <w:p>
            <w:r/>
            <w:r>
              <w:rPr>
                <w:rFonts w:ascii="Arial" w:hAnsi="Arial"/>
                <w:b/>
                <w:sz w:val="20"/>
              </w:rPr>
              <w:t>Operación</w:t>
            </w:r>
          </w:p>
        </w:tc>
        <w:tc>
          <w:tcPr>
            <w:tcW w:type="dxa" w:w="3041"/>
          </w:tcPr>
          <w:p>
            <w:r/>
            <w:r>
              <w:rPr>
                <w:rFonts w:ascii="Arial" w:hAnsi="Arial"/>
                <w:b/>
                <w:sz w:val="20"/>
              </w:rPr>
              <w:t>Resultado</w:t>
            </w:r>
          </w:p>
        </w:tc>
      </w:tr>
      <w:tr>
        <w:tc>
          <w:tcPr>
            <w:tcW w:type="dxa" w:w="3041"/>
          </w:tcPr>
          <w:p>
            <w:r/>
            <w:r>
              <w:rPr>
                <w:rFonts w:ascii="Arial" w:hAnsi="Arial"/>
                <w:sz w:val="20"/>
              </w:rPr>
              <w:t>Sesiones estimadas</w:t>
            </w:r>
          </w:p>
        </w:tc>
        <w:tc>
          <w:tcPr>
            <w:tcW w:type="dxa" w:w="3041"/>
          </w:tcPr>
          <w:p>
            <w:r/>
            <w:r>
              <w:rPr>
                <w:rFonts w:ascii="Arial" w:hAnsi="Arial"/>
                <w:sz w:val="20"/>
              </w:rPr>
              <w:t>150 ordinarias + 30 extraordinarias</w:t>
            </w:r>
          </w:p>
        </w:tc>
        <w:tc>
          <w:tcPr>
            <w:tcW w:type="dxa" w:w="3041"/>
          </w:tcPr>
          <w:p>
            <w:r/>
            <w:r>
              <w:rPr>
                <w:rFonts w:ascii="Arial" w:hAnsi="Arial"/>
                <w:sz w:val="20"/>
              </w:rPr>
              <w:t>180</w:t>
            </w:r>
          </w:p>
        </w:tc>
      </w:tr>
      <w:tr>
        <w:tc>
          <w:tcPr>
            <w:tcW w:type="dxa" w:w="3041"/>
          </w:tcPr>
          <w:p>
            <w:r/>
            <w:r>
              <w:rPr>
                <w:rFonts w:ascii="Arial" w:hAnsi="Arial"/>
                <w:sz w:val="20"/>
              </w:rPr>
              <w:t>Capital histórico (Rh)</w:t>
            </w:r>
          </w:p>
        </w:tc>
        <w:tc>
          <w:tcPr>
            <w:tcW w:type="dxa" w:w="3041"/>
          </w:tcPr>
          <w:p>
            <w:r/>
            <w:r>
              <w:rPr>
                <w:rFonts w:ascii="Arial" w:hAnsi="Arial"/>
                <w:sz w:val="20"/>
              </w:rPr>
              <w:t>180 × $531.399</w:t>
            </w:r>
          </w:p>
        </w:tc>
        <w:tc>
          <w:tcPr>
            <w:tcW w:type="dxa" w:w="3041"/>
          </w:tcPr>
          <w:p>
            <w:r/>
            <w:r>
              <w:rPr>
                <w:rFonts w:ascii="Arial" w:hAnsi="Arial"/>
                <w:sz w:val="20"/>
              </w:rPr>
              <w:t>$95.651.820,00</w:t>
            </w:r>
          </w:p>
        </w:tc>
      </w:tr>
      <w:tr>
        <w:tc>
          <w:tcPr>
            <w:tcW w:type="dxa" w:w="3041"/>
          </w:tcPr>
          <w:p>
            <w:r/>
            <w:r>
              <w:rPr>
                <w:rFonts w:ascii="Arial" w:hAnsi="Arial"/>
                <w:sz w:val="20"/>
              </w:rPr>
              <w:t>Factor de actualización</w:t>
            </w:r>
          </w:p>
        </w:tc>
        <w:tc>
          <w:tcPr>
            <w:tcW w:type="dxa" w:w="3041"/>
          </w:tcPr>
          <w:p>
            <w:r/>
            <w:r>
              <w:rPr>
                <w:rFonts w:ascii="Arial" w:hAnsi="Arial"/>
                <w:sz w:val="20"/>
              </w:rPr>
              <w:t>145,00 ÷ 128,27 (fracción completa)</w:t>
            </w:r>
          </w:p>
        </w:tc>
        <w:tc>
          <w:tcPr>
            <w:tcW w:type="dxa" w:w="3041"/>
          </w:tcPr>
          <w:p>
            <w:r/>
            <w:r>
              <w:rPr>
                <w:rFonts w:ascii="Arial" w:hAnsi="Arial"/>
                <w:sz w:val="20"/>
              </w:rPr>
              <w:t>1,13043*</w:t>
            </w:r>
          </w:p>
        </w:tc>
      </w:tr>
      <w:tr>
        <w:tc>
          <w:tcPr>
            <w:tcW w:type="dxa" w:w="3041"/>
          </w:tcPr>
          <w:p>
            <w:r/>
            <w:r>
              <w:rPr>
                <w:rFonts w:ascii="Arial" w:hAnsi="Arial"/>
                <w:sz w:val="20"/>
              </w:rPr>
              <w:t>Valor actualizado (Ra)</w:t>
            </w:r>
          </w:p>
        </w:tc>
        <w:tc>
          <w:tcPr>
            <w:tcW w:type="dxa" w:w="3041"/>
          </w:tcPr>
          <w:p>
            <w:r/>
            <w:r>
              <w:rPr>
                <w:rFonts w:ascii="Arial" w:hAnsi="Arial"/>
                <w:sz w:val="20"/>
              </w:rPr>
              <w:t>$95.651.820,00 × (145,00 ÷ 128,27)</w:t>
            </w:r>
          </w:p>
        </w:tc>
        <w:tc>
          <w:tcPr>
            <w:tcW w:type="dxa" w:w="3041"/>
          </w:tcPr>
          <w:p>
            <w:r/>
            <w:r>
              <w:rPr>
                <w:rFonts w:ascii="Arial" w:hAnsi="Arial"/>
                <w:sz w:val="20"/>
              </w:rPr>
              <w:t>$108.127.495,91</w:t>
            </w:r>
          </w:p>
        </w:tc>
      </w:tr>
    </w:tbl>
    <w:p>
      <w:pPr>
        <w:spacing w:after="80"/>
      </w:pPr>
    </w:p>
    <w:p>
      <w:pPr>
        <w:spacing w:after="160"/>
        <w:jc w:val="both"/>
      </w:pPr>
      <w:r>
        <w:rPr>
          <w:b w:val="0"/>
          <w:i/>
          <w:sz w:val="18"/>
        </w:rPr>
        <w:t>* Los factores se muestran redondeados a cinco decimales; los cálculos se efectuaron con la fracción completa, por lo que los productos difieren levemente de la multiplicación por el factor redondeado.</w:t>
      </w:r>
    </w:p>
    <w:p>
      <w:pPr>
        <w:spacing w:after="200"/>
        <w:jc w:val="left"/>
      </w:pPr>
      <w:r>
        <w:rPr>
          <w:b/>
          <w:i w:val="0"/>
          <w:sz w:val="24"/>
        </w:rPr>
        <w:t>A.5. Resumen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rFonts w:ascii="Arial" w:hAnsi="Arial"/>
                <w:b/>
                <w:sz w:val="20"/>
              </w:rPr>
              <w:t>Período</w:t>
            </w:r>
          </w:p>
        </w:tc>
        <w:tc>
          <w:tcPr>
            <w:tcW w:type="dxa" w:w="2280"/>
          </w:tcPr>
          <w:p>
            <w:r/>
            <w:r>
              <w:rPr>
                <w:rFonts w:ascii="Arial" w:hAnsi="Arial"/>
                <w:b/>
                <w:sz w:val="20"/>
              </w:rPr>
              <w:t>Sesiones</w:t>
            </w:r>
          </w:p>
        </w:tc>
        <w:tc>
          <w:tcPr>
            <w:tcW w:type="dxa" w:w="2280"/>
          </w:tcPr>
          <w:p>
            <w:r/>
            <w:r>
              <w:rPr>
                <w:rFonts w:ascii="Arial" w:hAnsi="Arial"/>
                <w:b/>
                <w:sz w:val="20"/>
              </w:rPr>
              <w:t>Capital histórico</w:t>
            </w:r>
          </w:p>
        </w:tc>
        <w:tc>
          <w:tcPr>
            <w:tcW w:type="dxa" w:w="2280"/>
          </w:tcPr>
          <w:p>
            <w:r/>
            <w:r>
              <w:rPr>
                <w:rFonts w:ascii="Arial" w:hAnsi="Arial"/>
                <w:b/>
                <w:sz w:val="20"/>
              </w:rPr>
              <w:t>Valor actualizado</w:t>
            </w:r>
          </w:p>
        </w:tc>
      </w:tr>
      <w:tr>
        <w:tc>
          <w:tcPr>
            <w:tcW w:type="dxa" w:w="2280"/>
          </w:tcPr>
          <w:p>
            <w:r/>
            <w:r>
              <w:rPr>
                <w:rFonts w:ascii="Arial" w:hAnsi="Arial"/>
                <w:sz w:val="20"/>
              </w:rPr>
              <w:t>29-oct-2022 a 31-dic-2022</w:t>
            </w:r>
          </w:p>
        </w:tc>
        <w:tc>
          <w:tcPr>
            <w:tcW w:type="dxa" w:w="2280"/>
          </w:tcPr>
          <w:p>
            <w:r/>
            <w:r>
              <w:rPr>
                <w:rFonts w:ascii="Arial" w:hAnsi="Arial"/>
                <w:sz w:val="20"/>
              </w:rPr>
              <w:t>31</w:t>
            </w:r>
          </w:p>
        </w:tc>
        <w:tc>
          <w:tcPr>
            <w:tcW w:type="dxa" w:w="2280"/>
          </w:tcPr>
          <w:p>
            <w:r/>
            <w:r>
              <w:rPr>
                <w:rFonts w:ascii="Arial" w:hAnsi="Arial"/>
                <w:sz w:val="20"/>
              </w:rPr>
              <w:t>$14.562.746,00</w:t>
            </w:r>
          </w:p>
        </w:tc>
        <w:tc>
          <w:tcPr>
            <w:tcW w:type="dxa" w:w="2280"/>
          </w:tcPr>
          <w:p>
            <w:r/>
            <w:r>
              <w:rPr>
                <w:rFonts w:ascii="Arial" w:hAnsi="Arial"/>
                <w:sz w:val="20"/>
              </w:rPr>
              <w:t>$18.441.905,41</w:t>
            </w:r>
          </w:p>
        </w:tc>
      </w:tr>
      <w:tr>
        <w:tc>
          <w:tcPr>
            <w:tcW w:type="dxa" w:w="2280"/>
          </w:tcPr>
          <w:p>
            <w:r/>
            <w:r>
              <w:rPr>
                <w:rFonts w:ascii="Arial" w:hAnsi="Arial"/>
                <w:sz w:val="20"/>
              </w:rPr>
              <w:t>01-ene-2023 a 31-dic-2023</w:t>
            </w:r>
          </w:p>
        </w:tc>
        <w:tc>
          <w:tcPr>
            <w:tcW w:type="dxa" w:w="2280"/>
          </w:tcPr>
          <w:p>
            <w:r/>
            <w:r>
              <w:rPr>
                <w:rFonts w:ascii="Arial" w:hAnsi="Arial"/>
                <w:sz w:val="20"/>
              </w:rPr>
              <w:t>180</w:t>
            </w:r>
          </w:p>
        </w:tc>
        <w:tc>
          <w:tcPr>
            <w:tcW w:type="dxa" w:w="2280"/>
          </w:tcPr>
          <w:p>
            <w:r/>
            <w:r>
              <w:rPr>
                <w:rFonts w:ascii="Arial" w:hAnsi="Arial"/>
                <w:sz w:val="20"/>
              </w:rPr>
              <w:t>$95.651.820,00</w:t>
            </w:r>
          </w:p>
        </w:tc>
        <w:tc>
          <w:tcPr>
            <w:tcW w:type="dxa" w:w="2280"/>
          </w:tcPr>
          <w:p>
            <w:r/>
            <w:r>
              <w:rPr>
                <w:rFonts w:ascii="Arial" w:hAnsi="Arial"/>
                <w:sz w:val="20"/>
              </w:rPr>
              <w:t>$108.127.495,91</w:t>
            </w:r>
          </w:p>
        </w:tc>
      </w:tr>
      <w:tr>
        <w:tc>
          <w:tcPr>
            <w:tcW w:type="dxa" w:w="2280"/>
          </w:tcPr>
          <w:p>
            <w:r/>
            <w:r>
              <w:rPr>
                <w:rFonts w:ascii="Arial" w:hAnsi="Arial"/>
                <w:sz w:val="20"/>
              </w:rPr>
              <w:t>TOTAL</w:t>
            </w:r>
          </w:p>
        </w:tc>
        <w:tc>
          <w:tcPr>
            <w:tcW w:type="dxa" w:w="2280"/>
          </w:tcPr>
          <w:p>
            <w:r/>
            <w:r>
              <w:rPr>
                <w:rFonts w:ascii="Arial" w:hAnsi="Arial"/>
                <w:sz w:val="20"/>
              </w:rPr>
              <w:t>211</w:t>
            </w:r>
          </w:p>
        </w:tc>
        <w:tc>
          <w:tcPr>
            <w:tcW w:type="dxa" w:w="2280"/>
          </w:tcPr>
          <w:p>
            <w:r/>
            <w:r>
              <w:rPr>
                <w:rFonts w:ascii="Arial" w:hAnsi="Arial"/>
                <w:sz w:val="20"/>
              </w:rPr>
              <w:t>$110.214.566,00</w:t>
            </w:r>
          </w:p>
        </w:tc>
        <w:tc>
          <w:tcPr>
            <w:tcW w:type="dxa" w:w="2280"/>
          </w:tcPr>
          <w:p>
            <w:r/>
            <w:r>
              <w:rPr>
                <w:rFonts w:ascii="Arial" w:hAnsi="Arial"/>
                <w:sz w:val="20"/>
              </w:rPr>
              <w:t>$126.569.401,32</w:t>
            </w:r>
          </w:p>
        </w:tc>
      </w:tr>
    </w:tbl>
    <w:p>
      <w:pPr>
        <w:spacing w:after="80"/>
      </w:pPr>
    </w:p>
    <w:p>
      <w:pPr>
        <w:spacing w:after="160"/>
        <w:jc w:val="both"/>
      </w:pPr>
      <w:r>
        <w:rPr>
          <w:b/>
          <w:i w:val="0"/>
          <w:sz w:val="22"/>
        </w:rPr>
        <w:t>TOTAL LUCRO CESANTE CONSOLIDADO (estimación provisional): CIENTO VEINTISÉIS MILLONES QUINIENTOS SESENTA Y NUEVE MIL CUATROCIENTOS UN PESOS CON TREINTA Y DOS CENTAVOS ($126.569.401,32).</w:t>
      </w:r>
    </w:p>
    <w:p>
      <w:pPr>
        <w:spacing w:after="200"/>
        <w:jc w:val="left"/>
      </w:pPr>
      <w:r>
        <w:rPr>
          <w:b/>
          <w:i w:val="0"/>
          <w:sz w:val="24"/>
        </w:rPr>
        <w:t>A.6. Identificación de los índices IPC y reglas de ajuste</w:t>
      </w:r>
    </w:p>
    <w:p>
      <w:pPr>
        <w:spacing w:after="160"/>
        <w:jc w:val="both"/>
      </w:pPr>
      <w:r>
        <w:rPr>
          <w:b w:val="0"/>
          <w:i w:val="0"/>
          <w:sz w:val="22"/>
        </w:rPr>
        <w:t>Los índices empleados (inicial 2022: 114,50 — octubre de 2022; inicial 2023: 128,27 — promedio del año 2023; final: 145,00) corresponden a la serie del IPC del DANE utilizada en la liquidación del trámite conciliatorio; con la radicación se anexa la certificación DANE de la serie (base diciembre de 2018 = 100) y el índice final se re-expresa con el del mes anterior a la presentación de la demanda. En la sentencia, la actualización se hará a la fecha del fallo (art. 187 CPACA). La fecha inicial (29-oct-2022) corresponde al día siguiente a la exclusión del orden del día; si la certificación acredita pagos posteriores, el período se ajustará desde la última sesión efectivamente pagada. Esta liquidación no incluye el daño emergente, los perjuicios inmateriales, los intereses del art. 192 CPACA (corren desde la ejecutoria del fallo) ni aportes a seguridad social, que no se reclaman. Los honorarios de concejal son renta cierta y periódica; su indemnizabilidad no depende de que el reemplazo los haya percibido (no opera la compensatio lucri cum damno respecto de terceros), y el salario docente del demandante fue ingreso concurrente, no sustitutivo, por lo que no es deducible.</w:t>
      </w:r>
    </w:p>
    <w:p>
      <w:r>
        <w:br w:type="page"/>
      </w:r>
    </w:p>
    <w:p>
      <w:pPr>
        <w:spacing w:after="40"/>
        <w:jc w:val="center"/>
      </w:pPr>
      <w:r>
        <w:rPr>
          <w:b/>
          <w:i w:val="0"/>
          <w:sz w:val="28"/>
        </w:rPr>
        <w:t>ANEXO B</w:t>
      </w:r>
    </w:p>
    <w:p>
      <w:pPr>
        <w:spacing w:after="160"/>
        <w:jc w:val="center"/>
      </w:pPr>
      <w:r>
        <w:rPr>
          <w:b/>
          <w:i w:val="0"/>
          <w:sz w:val="24"/>
        </w:rPr>
        <w:t>SOPORTE DEL DAÑO EMERGENTE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Concepto</w:t>
            </w:r>
          </w:p>
        </w:tc>
        <w:tc>
          <w:tcPr>
            <w:tcW w:type="dxa" w:w="3041"/>
          </w:tcPr>
          <w:p>
            <w:r/>
            <w:r>
              <w:rPr>
                <w:rFonts w:ascii="Arial" w:hAnsi="Arial"/>
                <w:b/>
                <w:sz w:val="20"/>
              </w:rPr>
              <w:t>Soporte</w:t>
            </w:r>
          </w:p>
        </w:tc>
        <w:tc>
          <w:tcPr>
            <w:tcW w:type="dxa" w:w="3041"/>
          </w:tcPr>
          <w:p>
            <w:r/>
            <w:r>
              <w:rPr>
                <w:rFonts w:ascii="Arial" w:hAnsi="Arial"/>
                <w:b/>
                <w:sz w:val="20"/>
              </w:rPr>
              <w:t>Valor</w:t>
            </w:r>
          </w:p>
        </w:tc>
      </w:tr>
      <w:tr>
        <w:tc>
          <w:tcPr>
            <w:tcW w:type="dxa" w:w="3041"/>
          </w:tcPr>
          <w:p>
            <w:r/>
            <w:r>
              <w:rPr>
                <w:rFonts w:ascii="Arial" w:hAnsi="Arial"/>
                <w:sz w:val="20"/>
              </w:rPr>
              <w:t>Honorarios de defensa técnica (2ª instancia PI + tutela en dos instancias + revisión Corte Constitucional) — abogado Hugo de Jesús Henao Longas (C.C. 98.494.587, T.P. 77.412)</w:t>
            </w:r>
          </w:p>
        </w:tc>
        <w:tc>
          <w:tcPr>
            <w:tcW w:type="dxa" w:w="3041"/>
          </w:tcPr>
          <w:p>
            <w:r/>
            <w:r>
              <w:rPr>
                <w:rFonts w:ascii="Arial" w:hAnsi="Arial"/>
                <w:sz w:val="20"/>
              </w:rPr>
              <w:t>Recibo y paz y salvo del 01-dic-2025; contrato cuya exhibición se solicita (art. 265 CGP); certificación discriminada por etapas pedida como prueba</w:t>
            </w:r>
          </w:p>
        </w:tc>
        <w:tc>
          <w:tcPr>
            <w:tcW w:type="dxa" w:w="3041"/>
          </w:tcPr>
          <w:p>
            <w:r/>
            <w:r>
              <w:rPr>
                <w:rFonts w:ascii="Arial" w:hAnsi="Arial"/>
                <w:sz w:val="20"/>
              </w:rPr>
              <w:t>$25.000.000,00</w:t>
            </w:r>
          </w:p>
        </w:tc>
      </w:tr>
      <w:tr>
        <w:tc>
          <w:tcPr>
            <w:tcW w:type="dxa" w:w="3041"/>
          </w:tcPr>
          <w:p>
            <w:r/>
            <w:r>
              <w:rPr>
                <w:rFonts w:ascii="Arial" w:hAnsi="Arial"/>
                <w:sz w:val="20"/>
              </w:rPr>
              <w:t>Gastos procesales y administrativos conexos</w:t>
            </w:r>
          </w:p>
        </w:tc>
        <w:tc>
          <w:tcPr>
            <w:tcW w:type="dxa" w:w="3041"/>
          </w:tcPr>
          <w:p>
            <w:r/>
            <w:r>
              <w:rPr>
                <w:rFonts w:ascii="Arial" w:hAnsi="Arial"/>
                <w:sz w:val="20"/>
              </w:rPr>
              <w:t>Los que resulten probados en el proceso (no se cuantifican ni integran el juramento estimatorio)</w:t>
            </w:r>
          </w:p>
        </w:tc>
        <w:tc>
          <w:tcPr>
            <w:tcW w:type="dxa" w:w="3041"/>
          </w:tcPr>
          <w:p>
            <w:r/>
            <w:r>
              <w:rPr>
                <w:rFonts w:ascii="Arial" w:hAnsi="Arial"/>
                <w:sz w:val="20"/>
              </w:rPr>
              <w:t>Lo que resulte probado</w:t>
            </w:r>
          </w:p>
        </w:tc>
      </w:tr>
      <w:tr>
        <w:tc>
          <w:tcPr>
            <w:tcW w:type="dxa" w:w="3041"/>
          </w:tcPr>
          <w:p>
            <w:r/>
            <w:r>
              <w:rPr>
                <w:rFonts w:ascii="Arial" w:hAnsi="Arial"/>
                <w:sz w:val="20"/>
              </w:rPr>
              <w:t>TOTAL DAÑO EMERGENTE JURADO</w:t>
            </w:r>
          </w:p>
        </w:tc>
        <w:tc>
          <w:tcPr>
            <w:tcW w:type="dxa" w:w="3041"/>
          </w:tcPr>
          <w:p>
            <w:r/>
            <w:r>
              <w:rPr>
                <w:rFonts w:ascii="Arial" w:hAnsi="Arial"/>
                <w:sz w:val="20"/>
              </w:rPr>
            </w:r>
          </w:p>
        </w:tc>
        <w:tc>
          <w:tcPr>
            <w:tcW w:type="dxa" w:w="3041"/>
          </w:tcPr>
          <w:p>
            <w:r/>
            <w:r>
              <w:rPr>
                <w:rFonts w:ascii="Arial" w:hAnsi="Arial"/>
                <w:sz w:val="20"/>
              </w:rPr>
              <w:t>$25.000.000,00</w:t>
            </w:r>
          </w:p>
        </w:tc>
      </w:tr>
    </w:tbl>
    <w:p>
      <w:pPr>
        <w:spacing w:after="80"/>
      </w:pPr>
    </w:p>
    <w:p>
      <w:pPr>
        <w:spacing w:after="160"/>
        <w:jc w:val="both"/>
      </w:pPr>
      <w:r>
        <w:rPr>
          <w:b w:val="0"/>
          <w:i w:val="0"/>
          <w:sz w:val="22"/>
        </w:rPr>
        <w:t>Notas: (i) no se reclaman los honorarios de la primera instancia del proceso de pérdida de investidura, carga ordinaria que el demandante asume, lo que delimita el nexo causal del rubro con la providencia errada; (ii) el pago del 01-dic-2025 corresponde a la modalidad pactada de pago al culminar la gestión, cerrada con la ejecutoria de la sentencia de reemplazo; (iii) la suma se actualizará conforme al art. 187 CPACA desde la fecha del pago.</w:t>
      </w:r>
    </w:p>
    <w:p>
      <w:r>
        <w:br w:type="page"/>
      </w:r>
    </w:p>
    <w:p>
      <w:pPr>
        <w:spacing w:after="40"/>
        <w:jc w:val="center"/>
      </w:pPr>
      <w:r>
        <w:rPr>
          <w:b/>
          <w:i w:val="0"/>
          <w:sz w:val="28"/>
        </w:rPr>
        <w:t>ANEXO C</w:t>
      </w:r>
    </w:p>
    <w:p>
      <w:pPr>
        <w:spacing w:after="160"/>
        <w:jc w:val="center"/>
      </w:pPr>
      <w:r>
        <w:rPr>
          <w:b/>
          <w:i w:val="0"/>
          <w:sz w:val="24"/>
        </w:rPr>
        <w:t>CUADRO DE PERJUICIOS INMATERIALES</w:t>
      </w:r>
    </w:p>
    <w:p>
      <w:pPr>
        <w:spacing w:after="160"/>
        <w:jc w:val="both"/>
      </w:pPr>
      <w:r>
        <w:rPr>
          <w:b w:val="0"/>
          <w:i w:val="0"/>
          <w:sz w:val="22"/>
        </w:rPr>
        <w:t>Marco: sentencias de unificación de la Sección Tercera del Consejo de Estado del 28 de agosto de 2014 (daño moral por niveles con topes máximos; daño a bienes constitucional y convencionalmente protegidos hasta 100 SMLMV, con preferencia de medidas no pecuniarias). Las sumas se piden como pretensión máxima, sujetas al arbitrio iudicis, y NO integran el juramento estimatorio. Valores indicativos con SMLMV 2026 ($1.576.500); la tasación definitiva se hará en SMLMV vigentes a la fecha de la sentencia.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
              <w:rPr>
                <w:rFonts w:ascii="Arial" w:hAnsi="Arial"/>
                <w:b/>
                <w:sz w:val="20"/>
              </w:rPr>
              <w:t>Demandante</w:t>
            </w:r>
          </w:p>
        </w:tc>
        <w:tc>
          <w:tcPr>
            <w:tcW w:type="dxa" w:w="1824"/>
          </w:tcPr>
          <w:p>
            <w:r/>
            <w:r>
              <w:rPr>
                <w:rFonts w:ascii="Arial" w:hAnsi="Arial"/>
                <w:b/>
                <w:sz w:val="20"/>
              </w:rPr>
              <w:t>Calidad / Nivel</w:t>
            </w:r>
          </w:p>
        </w:tc>
        <w:tc>
          <w:tcPr>
            <w:tcW w:type="dxa" w:w="1824"/>
          </w:tcPr>
          <w:p>
            <w:r/>
            <w:r>
              <w:rPr>
                <w:rFonts w:ascii="Arial" w:hAnsi="Arial"/>
                <w:b/>
                <w:sz w:val="20"/>
              </w:rPr>
              <w:t>Fundamento de la aflicción</w:t>
            </w:r>
          </w:p>
        </w:tc>
        <w:tc>
          <w:tcPr>
            <w:tcW w:type="dxa" w:w="1824"/>
          </w:tcPr>
          <w:p>
            <w:r/>
            <w:r>
              <w:rPr>
                <w:rFonts w:ascii="Arial" w:hAnsi="Arial"/>
                <w:b/>
                <w:sz w:val="20"/>
              </w:rPr>
              <w:t>SMLMV</w:t>
            </w:r>
          </w:p>
        </w:tc>
        <w:tc>
          <w:tcPr>
            <w:tcW w:type="dxa" w:w="1824"/>
          </w:tcPr>
          <w:p>
            <w:r/>
            <w:r>
              <w:rPr>
                <w:rFonts w:ascii="Arial" w:hAnsi="Arial"/>
                <w:b/>
                <w:sz w:val="20"/>
              </w:rPr>
              <w:t>Valor indicativo</w:t>
            </w:r>
          </w:p>
        </w:tc>
      </w:tr>
      <w:tr>
        <w:tc>
          <w:tcPr>
            <w:tcW w:type="dxa" w:w="1824"/>
          </w:tcPr>
          <w:p>
            <w:r/>
            <w:r>
              <w:rPr>
                <w:rFonts w:ascii="Arial" w:hAnsi="Arial"/>
                <w:sz w:val="20"/>
              </w:rPr>
              <w:t>Óscar Darío Arias Agudelo</w:t>
            </w:r>
          </w:p>
        </w:tc>
        <w:tc>
          <w:tcPr>
            <w:tcW w:type="dxa" w:w="1824"/>
          </w:tcPr>
          <w:p>
            <w:r/>
            <w:r>
              <w:rPr>
                <w:rFonts w:ascii="Arial" w:hAnsi="Arial"/>
                <w:sz w:val="20"/>
              </w:rPr>
              <w:t>Víctima directa (Nivel 1)</w:t>
            </w:r>
          </w:p>
        </w:tc>
        <w:tc>
          <w:tcPr>
            <w:tcW w:type="dxa" w:w="1824"/>
          </w:tcPr>
          <w:p>
            <w:r/>
            <w:r>
              <w:rPr>
                <w:rFonts w:ascii="Arial" w:hAnsi="Arial"/>
                <w:sz w:val="20"/>
              </w:rPr>
              <w:t>Separación injusta de la curul por 14 meses; inhabilidad; escarnio público en su municipio y comunidad educativa; frustración del proyecto político</w:t>
            </w:r>
          </w:p>
        </w:tc>
        <w:tc>
          <w:tcPr>
            <w:tcW w:type="dxa" w:w="1824"/>
          </w:tcPr>
          <w:p>
            <w:r/>
            <w:r>
              <w:rPr>
                <w:rFonts w:ascii="Arial" w:hAnsi="Arial"/>
                <w:sz w:val="20"/>
              </w:rPr>
              <w:t>100</w:t>
            </w:r>
          </w:p>
        </w:tc>
        <w:tc>
          <w:tcPr>
            <w:tcW w:type="dxa" w:w="1824"/>
          </w:tcPr>
          <w:p>
            <w:r/>
            <w:r>
              <w:rPr>
                <w:rFonts w:ascii="Arial" w:hAnsi="Arial"/>
                <w:sz w:val="20"/>
              </w:rPr>
              <w:t>$157.650.000</w:t>
            </w:r>
          </w:p>
        </w:tc>
      </w:tr>
      <w:tr>
        <w:tc>
          <w:tcPr>
            <w:tcW w:type="dxa" w:w="1824"/>
          </w:tcPr>
          <w:p>
            <w:r/>
            <w:r>
              <w:rPr>
                <w:rFonts w:ascii="Arial" w:hAnsi="Arial"/>
                <w:sz w:val="20"/>
              </w:rPr>
              <w:t>Doris Elena Restrepo Giraldo</w:t>
            </w:r>
          </w:p>
        </w:tc>
        <w:tc>
          <w:tcPr>
            <w:tcW w:type="dxa" w:w="1824"/>
          </w:tcPr>
          <w:p>
            <w:r/>
            <w:r>
              <w:rPr>
                <w:rFonts w:ascii="Arial" w:hAnsi="Arial"/>
                <w:sz w:val="20"/>
              </w:rPr>
              <w:t>Cónyuge (Nivel 1)</w:t>
            </w:r>
          </w:p>
        </w:tc>
        <w:tc>
          <w:tcPr>
            <w:tcW w:type="dxa" w:w="1824"/>
          </w:tcPr>
          <w:p>
            <w:r/>
            <w:r>
              <w:rPr>
                <w:rFonts w:ascii="Arial" w:hAnsi="Arial"/>
                <w:sz w:val="20"/>
              </w:rPr>
              <w:t>Presunción por vínculo conyugal (registro civil de matrimonio); afectación del hogar</w:t>
            </w:r>
          </w:p>
        </w:tc>
        <w:tc>
          <w:tcPr>
            <w:tcW w:type="dxa" w:w="1824"/>
          </w:tcPr>
          <w:p>
            <w:r/>
            <w:r>
              <w:rPr>
                <w:rFonts w:ascii="Arial" w:hAnsi="Arial"/>
                <w:sz w:val="20"/>
              </w:rPr>
              <w:t>50</w:t>
            </w:r>
          </w:p>
        </w:tc>
        <w:tc>
          <w:tcPr>
            <w:tcW w:type="dxa" w:w="1824"/>
          </w:tcPr>
          <w:p>
            <w:r/>
            <w:r>
              <w:rPr>
                <w:rFonts w:ascii="Arial" w:hAnsi="Arial"/>
                <w:sz w:val="20"/>
              </w:rPr>
              <w:t>$78.825.000</w:t>
            </w:r>
          </w:p>
        </w:tc>
      </w:tr>
      <w:tr>
        <w:tc>
          <w:tcPr>
            <w:tcW w:type="dxa" w:w="1824"/>
          </w:tcPr>
          <w:p>
            <w:r/>
            <w:r>
              <w:rPr>
                <w:rFonts w:ascii="Arial" w:hAnsi="Arial"/>
                <w:sz w:val="20"/>
              </w:rPr>
              <w:t>María Mercedes Agudelo Ospina</w:t>
            </w:r>
          </w:p>
        </w:tc>
        <w:tc>
          <w:tcPr>
            <w:tcW w:type="dxa" w:w="1824"/>
          </w:tcPr>
          <w:p>
            <w:r/>
            <w:r>
              <w:rPr>
                <w:rFonts w:ascii="Arial" w:hAnsi="Arial"/>
                <w:sz w:val="20"/>
              </w:rPr>
              <w:t>Madre (Nivel 1)</w:t>
            </w:r>
          </w:p>
        </w:tc>
        <w:tc>
          <w:tcPr>
            <w:tcW w:type="dxa" w:w="1824"/>
          </w:tcPr>
          <w:p>
            <w:r/>
            <w:r>
              <w:rPr>
                <w:rFonts w:ascii="Arial" w:hAnsi="Arial"/>
                <w:sz w:val="20"/>
              </w:rPr>
              <w:t>Presunción por parentesco (registros civiles); convivencia con la víctima</w:t>
            </w:r>
          </w:p>
        </w:tc>
        <w:tc>
          <w:tcPr>
            <w:tcW w:type="dxa" w:w="1824"/>
          </w:tcPr>
          <w:p>
            <w:r/>
            <w:r>
              <w:rPr>
                <w:rFonts w:ascii="Arial" w:hAnsi="Arial"/>
                <w:sz w:val="20"/>
              </w:rPr>
              <w:t>50</w:t>
            </w:r>
          </w:p>
        </w:tc>
        <w:tc>
          <w:tcPr>
            <w:tcW w:type="dxa" w:w="1824"/>
          </w:tcPr>
          <w:p>
            <w:r/>
            <w:r>
              <w:rPr>
                <w:rFonts w:ascii="Arial" w:hAnsi="Arial"/>
                <w:sz w:val="20"/>
              </w:rPr>
              <w:t>$78.825.000</w:t>
            </w:r>
          </w:p>
        </w:tc>
      </w:tr>
      <w:tr>
        <w:tc>
          <w:tcPr>
            <w:tcW w:type="dxa" w:w="1824"/>
          </w:tcPr>
          <w:p>
            <w:r/>
            <w:r>
              <w:rPr>
                <w:rFonts w:ascii="Arial" w:hAnsi="Arial"/>
                <w:sz w:val="20"/>
              </w:rPr>
              <w:t>Chris Alvin Arias Restrepo</w:t>
            </w:r>
          </w:p>
        </w:tc>
        <w:tc>
          <w:tcPr>
            <w:tcW w:type="dxa" w:w="1824"/>
          </w:tcPr>
          <w:p>
            <w:r/>
            <w:r>
              <w:rPr>
                <w:rFonts w:ascii="Arial" w:hAnsi="Arial"/>
                <w:sz w:val="20"/>
              </w:rPr>
              <w:t>Hijo (Nivel 1)</w:t>
            </w:r>
          </w:p>
        </w:tc>
        <w:tc>
          <w:tcPr>
            <w:tcW w:type="dxa" w:w="1824"/>
          </w:tcPr>
          <w:p>
            <w:r/>
            <w:r>
              <w:rPr>
                <w:rFonts w:ascii="Arial" w:hAnsi="Arial"/>
                <w:sz w:val="20"/>
              </w:rPr>
              <w:t>Presunción por parentesco (registro civil)</w:t>
            </w:r>
          </w:p>
        </w:tc>
        <w:tc>
          <w:tcPr>
            <w:tcW w:type="dxa" w:w="1824"/>
          </w:tcPr>
          <w:p>
            <w:r/>
            <w:r>
              <w:rPr>
                <w:rFonts w:ascii="Arial" w:hAnsi="Arial"/>
                <w:sz w:val="20"/>
              </w:rPr>
              <w:t>50</w:t>
            </w:r>
          </w:p>
        </w:tc>
        <w:tc>
          <w:tcPr>
            <w:tcW w:type="dxa" w:w="1824"/>
          </w:tcPr>
          <w:p>
            <w:r/>
            <w:r>
              <w:rPr>
                <w:rFonts w:ascii="Arial" w:hAnsi="Arial"/>
                <w:sz w:val="20"/>
              </w:rPr>
              <w:t>$78.825.000</w:t>
            </w:r>
          </w:p>
        </w:tc>
      </w:tr>
      <w:tr>
        <w:tc>
          <w:tcPr>
            <w:tcW w:type="dxa" w:w="1824"/>
          </w:tcPr>
          <w:p>
            <w:r/>
            <w:r>
              <w:rPr>
                <w:rFonts w:ascii="Arial" w:hAnsi="Arial"/>
                <w:sz w:val="20"/>
              </w:rPr>
              <w:t>Luz Mery Arias Agudelo</w:t>
            </w:r>
          </w:p>
        </w:tc>
        <w:tc>
          <w:tcPr>
            <w:tcW w:type="dxa" w:w="1824"/>
          </w:tcPr>
          <w:p>
            <w:r/>
            <w:r>
              <w:rPr>
                <w:rFonts w:ascii="Arial" w:hAnsi="Arial"/>
                <w:sz w:val="20"/>
              </w:rPr>
              <w:t>Hermana (Nivel 2)</w:t>
            </w:r>
          </w:p>
        </w:tc>
        <w:tc>
          <w:tcPr>
            <w:tcW w:type="dxa" w:w="1824"/>
          </w:tcPr>
          <w:p>
            <w:r/>
            <w:r>
              <w:rPr>
                <w:rFonts w:ascii="Arial" w:hAnsi="Arial"/>
                <w:sz w:val="20"/>
              </w:rPr>
              <w:t>Parentesco + convivencia acreditable en el mismo inmueble (Cra. 65A No. 76-48)</w:t>
            </w:r>
          </w:p>
        </w:tc>
        <w:tc>
          <w:tcPr>
            <w:tcW w:type="dxa" w:w="1824"/>
          </w:tcPr>
          <w:p>
            <w:r/>
            <w:r>
              <w:rPr>
                <w:rFonts w:ascii="Arial" w:hAnsi="Arial"/>
                <w:sz w:val="20"/>
              </w:rPr>
              <w:t>25</w:t>
            </w:r>
          </w:p>
        </w:tc>
        <w:tc>
          <w:tcPr>
            <w:tcW w:type="dxa" w:w="1824"/>
          </w:tcPr>
          <w:p>
            <w:r/>
            <w:r>
              <w:rPr>
                <w:rFonts w:ascii="Arial" w:hAnsi="Arial"/>
                <w:sz w:val="20"/>
              </w:rPr>
              <w:t>$39.412.500</w:t>
            </w:r>
          </w:p>
        </w:tc>
      </w:tr>
      <w:tr>
        <w:tc>
          <w:tcPr>
            <w:tcW w:type="dxa" w:w="1824"/>
          </w:tcPr>
          <w:p>
            <w:r/>
            <w:r>
              <w:rPr>
                <w:rFonts w:ascii="Arial" w:hAnsi="Arial"/>
                <w:sz w:val="20"/>
              </w:rPr>
              <w:t>Nubia Ledy Arias Agudelo</w:t>
            </w:r>
          </w:p>
        </w:tc>
        <w:tc>
          <w:tcPr>
            <w:tcW w:type="dxa" w:w="1824"/>
          </w:tcPr>
          <w:p>
            <w:r/>
            <w:r>
              <w:rPr>
                <w:rFonts w:ascii="Arial" w:hAnsi="Arial"/>
                <w:sz w:val="20"/>
              </w:rPr>
              <w:t>Hermana (Nivel 2)</w:t>
            </w:r>
          </w:p>
        </w:tc>
        <w:tc>
          <w:tcPr>
            <w:tcW w:type="dxa" w:w="1824"/>
          </w:tcPr>
          <w:p>
            <w:r/>
            <w:r>
              <w:rPr>
                <w:rFonts w:ascii="Arial" w:hAnsi="Arial"/>
                <w:sz w:val="20"/>
              </w:rPr>
              <w:t>Parentesco + convivencia acreditable en el mismo inmueble (Cra. 65A No. 76-48)</w:t>
            </w:r>
          </w:p>
        </w:tc>
        <w:tc>
          <w:tcPr>
            <w:tcW w:type="dxa" w:w="1824"/>
          </w:tcPr>
          <w:p>
            <w:r/>
            <w:r>
              <w:rPr>
                <w:rFonts w:ascii="Arial" w:hAnsi="Arial"/>
                <w:sz w:val="20"/>
              </w:rPr>
              <w:t>25</w:t>
            </w:r>
          </w:p>
        </w:tc>
        <w:tc>
          <w:tcPr>
            <w:tcW w:type="dxa" w:w="1824"/>
          </w:tcPr>
          <w:p>
            <w:r/>
            <w:r>
              <w:rPr>
                <w:rFonts w:ascii="Arial" w:hAnsi="Arial"/>
                <w:sz w:val="20"/>
              </w:rPr>
              <w:t>$39.412.500</w:t>
            </w:r>
          </w:p>
        </w:tc>
      </w:tr>
      <w:tr>
        <w:tc>
          <w:tcPr>
            <w:tcW w:type="dxa" w:w="1824"/>
          </w:tcPr>
          <w:p>
            <w:r/>
            <w:r>
              <w:rPr>
                <w:rFonts w:ascii="Arial" w:hAnsi="Arial"/>
                <w:sz w:val="20"/>
              </w:rPr>
              <w:t>Subtotal daño moral</w:t>
            </w:r>
          </w:p>
        </w:tc>
        <w:tc>
          <w:tcPr>
            <w:tcW w:type="dxa" w:w="1824"/>
          </w:tcPr>
          <w:p>
            <w:r/>
            <w:r>
              <w:rPr>
                <w:rFonts w:ascii="Arial" w:hAnsi="Arial"/>
                <w:sz w:val="20"/>
              </w:rPr>
            </w:r>
          </w:p>
        </w:tc>
        <w:tc>
          <w:tcPr>
            <w:tcW w:type="dxa" w:w="1824"/>
          </w:tcPr>
          <w:p>
            <w:r/>
            <w:r>
              <w:rPr>
                <w:rFonts w:ascii="Arial" w:hAnsi="Arial"/>
                <w:sz w:val="20"/>
              </w:rPr>
            </w:r>
          </w:p>
        </w:tc>
        <w:tc>
          <w:tcPr>
            <w:tcW w:type="dxa" w:w="1824"/>
          </w:tcPr>
          <w:p>
            <w:r/>
            <w:r>
              <w:rPr>
                <w:rFonts w:ascii="Arial" w:hAnsi="Arial"/>
                <w:sz w:val="20"/>
              </w:rPr>
              <w:t>300</w:t>
            </w:r>
          </w:p>
        </w:tc>
        <w:tc>
          <w:tcPr>
            <w:tcW w:type="dxa" w:w="1824"/>
          </w:tcPr>
          <w:p>
            <w:r/>
            <w:r>
              <w:rPr>
                <w:rFonts w:ascii="Arial" w:hAnsi="Arial"/>
                <w:sz w:val="20"/>
              </w:rPr>
              <w:t>$472.950.000</w:t>
            </w:r>
          </w:p>
        </w:tc>
      </w:tr>
      <w:tr>
        <w:tc>
          <w:tcPr>
            <w:tcW w:type="dxa" w:w="1824"/>
          </w:tcPr>
          <w:p>
            <w:r/>
            <w:r>
              <w:rPr>
                <w:rFonts w:ascii="Arial" w:hAnsi="Arial"/>
                <w:sz w:val="20"/>
              </w:rPr>
              <w:t>Óscar Darío Arias Agudelo</w:t>
            </w:r>
          </w:p>
        </w:tc>
        <w:tc>
          <w:tcPr>
            <w:tcW w:type="dxa" w:w="1824"/>
          </w:tcPr>
          <w:p>
            <w:r/>
            <w:r>
              <w:rPr>
                <w:rFonts w:ascii="Arial" w:hAnsi="Arial"/>
                <w:sz w:val="20"/>
              </w:rPr>
              <w:t>Bienes constitucional y convencionalmente protegidos</w:t>
            </w:r>
          </w:p>
        </w:tc>
        <w:tc>
          <w:tcPr>
            <w:tcW w:type="dxa" w:w="1824"/>
          </w:tcPr>
          <w:p>
            <w:r/>
            <w:r>
              <w:rPr>
                <w:rFonts w:ascii="Arial" w:hAnsi="Arial"/>
                <w:sz w:val="20"/>
              </w:rPr>
              <w:t>Dimensión objetiva y autónoma de los derechos políticos (art. 40 CP; art. 23 CADH), amparados por la SU-501 de 2024</w:t>
            </w:r>
          </w:p>
        </w:tc>
        <w:tc>
          <w:tcPr>
            <w:tcW w:type="dxa" w:w="1824"/>
          </w:tcPr>
          <w:p>
            <w:r/>
            <w:r>
              <w:rPr>
                <w:rFonts w:ascii="Arial" w:hAnsi="Arial"/>
                <w:sz w:val="20"/>
              </w:rPr>
              <w:t>100</w:t>
            </w:r>
          </w:p>
        </w:tc>
        <w:tc>
          <w:tcPr>
            <w:tcW w:type="dxa" w:w="1824"/>
          </w:tcPr>
          <w:p>
            <w:r/>
            <w:r>
              <w:rPr>
                <w:rFonts w:ascii="Arial" w:hAnsi="Arial"/>
                <w:sz w:val="20"/>
              </w:rPr>
              <w:t>$157.650.000</w:t>
            </w:r>
          </w:p>
        </w:tc>
      </w:tr>
      <w:tr>
        <w:tc>
          <w:tcPr>
            <w:tcW w:type="dxa" w:w="1824"/>
          </w:tcPr>
          <w:p>
            <w:r/>
            <w:r>
              <w:rPr>
                <w:rFonts w:ascii="Arial" w:hAnsi="Arial"/>
                <w:sz w:val="20"/>
              </w:rPr>
              <w:t>TOTAL PERJUICIOS INMATERIALES</w:t>
            </w:r>
          </w:p>
        </w:tc>
        <w:tc>
          <w:tcPr>
            <w:tcW w:type="dxa" w:w="1824"/>
          </w:tcPr>
          <w:p>
            <w:r/>
            <w:r>
              <w:rPr>
                <w:rFonts w:ascii="Arial" w:hAnsi="Arial"/>
                <w:sz w:val="20"/>
              </w:rPr>
            </w:r>
          </w:p>
        </w:tc>
        <w:tc>
          <w:tcPr>
            <w:tcW w:type="dxa" w:w="1824"/>
          </w:tcPr>
          <w:p>
            <w:r/>
            <w:r>
              <w:rPr>
                <w:rFonts w:ascii="Arial" w:hAnsi="Arial"/>
                <w:sz w:val="20"/>
              </w:rPr>
            </w:r>
          </w:p>
        </w:tc>
        <w:tc>
          <w:tcPr>
            <w:tcW w:type="dxa" w:w="1824"/>
          </w:tcPr>
          <w:p>
            <w:r/>
            <w:r>
              <w:rPr>
                <w:rFonts w:ascii="Arial" w:hAnsi="Arial"/>
                <w:sz w:val="20"/>
              </w:rPr>
              <w:t>400</w:t>
            </w:r>
          </w:p>
        </w:tc>
        <w:tc>
          <w:tcPr>
            <w:tcW w:type="dxa" w:w="1824"/>
          </w:tcPr>
          <w:p>
            <w:r/>
            <w:r>
              <w:rPr>
                <w:rFonts w:ascii="Arial" w:hAnsi="Arial"/>
                <w:sz w:val="20"/>
              </w:rPr>
              <w:t>$630.600.000</w:t>
            </w:r>
          </w:p>
        </w:tc>
      </w:tr>
    </w:tbl>
    <w:p>
      <w:pPr>
        <w:spacing w:after="80"/>
      </w:pPr>
    </w:p>
    <w:p>
      <w:r>
        <w:br w:type="page"/>
      </w:r>
    </w:p>
    <w:p>
      <w:pPr>
        <w:spacing w:after="40"/>
        <w:jc w:val="center"/>
      </w:pPr>
      <w:r>
        <w:rPr>
          <w:b/>
          <w:i w:val="0"/>
          <w:sz w:val="28"/>
        </w:rPr>
        <w:t>ANEXO D</w:t>
      </w:r>
    </w:p>
    <w:p>
      <w:pPr>
        <w:spacing w:after="160"/>
        <w:jc w:val="center"/>
      </w:pPr>
      <w:r>
        <w:rPr>
          <w:b/>
          <w:i w:val="0"/>
          <w:sz w:val="24"/>
        </w:rPr>
        <w:t>RELACIÓN DE ANEXOS DOCUMENTALES DE LA DEMANDA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w:t>
            </w:r>
          </w:p>
        </w:tc>
        <w:tc>
          <w:tcPr>
            <w:tcW w:type="dxa" w:w="3041"/>
          </w:tcPr>
          <w:p>
            <w:r/>
            <w:r>
              <w:rPr>
                <w:rFonts w:ascii="Arial" w:hAnsi="Arial"/>
                <w:b/>
                <w:sz w:val="20"/>
              </w:rPr>
              <w:t>Documento</w:t>
            </w:r>
          </w:p>
        </w:tc>
        <w:tc>
          <w:tcPr>
            <w:tcW w:type="dxa" w:w="3041"/>
          </w:tcPr>
          <w:p>
            <w:r/>
            <w:r>
              <w:rPr>
                <w:rFonts w:ascii="Arial" w:hAnsi="Arial"/>
                <w:b/>
                <w:sz w:val="20"/>
              </w:rPr>
              <w:t>Acredita</w:t>
            </w:r>
          </w:p>
        </w:tc>
      </w:tr>
      <w:tr>
        <w:tc>
          <w:tcPr>
            <w:tcW w:type="dxa" w:w="3041"/>
          </w:tcPr>
          <w:p>
            <w:r/>
            <w:r>
              <w:rPr>
                <w:rFonts w:ascii="Arial" w:hAnsi="Arial"/>
                <w:sz w:val="20"/>
              </w:rPr>
              <w:t>1</w:t>
            </w:r>
          </w:p>
        </w:tc>
        <w:tc>
          <w:tcPr>
            <w:tcW w:type="dxa" w:w="3041"/>
          </w:tcPr>
          <w:p>
            <w:r/>
            <w:r>
              <w:rPr>
                <w:rFonts w:ascii="Arial" w:hAnsi="Arial"/>
                <w:sz w:val="20"/>
              </w:rPr>
              <w:t>Poderes especiales (6), con facultades expresas</w:t>
            </w:r>
          </w:p>
        </w:tc>
        <w:tc>
          <w:tcPr>
            <w:tcW w:type="dxa" w:w="3041"/>
          </w:tcPr>
          <w:p>
            <w:r/>
            <w:r>
              <w:rPr>
                <w:rFonts w:ascii="Arial" w:hAnsi="Arial"/>
                <w:sz w:val="20"/>
              </w:rPr>
              <w:t>Representación judicial (art. 74-75 CGP)</w:t>
            </w:r>
          </w:p>
        </w:tc>
      </w:tr>
      <w:tr>
        <w:tc>
          <w:tcPr>
            <w:tcW w:type="dxa" w:w="3041"/>
          </w:tcPr>
          <w:p>
            <w:r/>
            <w:r>
              <w:rPr>
                <w:rFonts w:ascii="Arial" w:hAnsi="Arial"/>
                <w:sz w:val="20"/>
              </w:rPr>
              <w:t>2</w:t>
            </w:r>
          </w:p>
        </w:tc>
        <w:tc>
          <w:tcPr>
            <w:tcW w:type="dxa" w:w="3041"/>
          </w:tcPr>
          <w:p>
            <w:r/>
            <w:r>
              <w:rPr>
                <w:rFonts w:ascii="Arial" w:hAnsi="Arial"/>
                <w:sz w:val="20"/>
              </w:rPr>
              <w:t>Sentencia SU-501 de 2024 (Corte Constitucional)</w:t>
            </w:r>
          </w:p>
        </w:tc>
        <w:tc>
          <w:tcPr>
            <w:tcW w:type="dxa" w:w="3041"/>
          </w:tcPr>
          <w:p>
            <w:r/>
            <w:r>
              <w:rPr>
                <w:rFonts w:ascii="Arial" w:hAnsi="Arial"/>
                <w:sz w:val="20"/>
              </w:rPr>
              <w:t>Error jurisdiccional declarado; dies a quo de caducidad</w:t>
            </w:r>
          </w:p>
        </w:tc>
      </w:tr>
      <w:tr>
        <w:tc>
          <w:tcPr>
            <w:tcW w:type="dxa" w:w="3041"/>
          </w:tcPr>
          <w:p>
            <w:r/>
            <w:r>
              <w:rPr>
                <w:rFonts w:ascii="Arial" w:hAnsi="Arial"/>
                <w:sz w:val="20"/>
              </w:rPr>
              <w:t>3</w:t>
            </w:r>
          </w:p>
        </w:tc>
        <w:tc>
          <w:tcPr>
            <w:tcW w:type="dxa" w:w="3041"/>
          </w:tcPr>
          <w:p>
            <w:r/>
            <w:r>
              <w:rPr>
                <w:rFonts w:ascii="Arial" w:hAnsi="Arial"/>
                <w:sz w:val="20"/>
              </w:rPr>
              <w:t>Sentencia de reemplazo 08-may-2025 + aclaración de voto + ejecutoria</w:t>
            </w:r>
          </w:p>
        </w:tc>
        <w:tc>
          <w:tcPr>
            <w:tcW w:type="dxa" w:w="3041"/>
          </w:tcPr>
          <w:p>
            <w:r/>
            <w:r>
              <w:rPr>
                <w:rFonts w:ascii="Arial" w:hAnsi="Arial"/>
                <w:sz w:val="20"/>
              </w:rPr>
              <w:t>Cosa juzgada de la absolución; consolidación del daño</w:t>
            </w:r>
          </w:p>
        </w:tc>
      </w:tr>
      <w:tr>
        <w:tc>
          <w:tcPr>
            <w:tcW w:type="dxa" w:w="3041"/>
          </w:tcPr>
          <w:p>
            <w:r/>
            <w:r>
              <w:rPr>
                <w:rFonts w:ascii="Arial" w:hAnsi="Arial"/>
                <w:sz w:val="20"/>
              </w:rPr>
              <w:t>4</w:t>
            </w:r>
          </w:p>
        </w:tc>
        <w:tc>
          <w:tcPr>
            <w:tcW w:type="dxa" w:w="3041"/>
          </w:tcPr>
          <w:p>
            <w:r/>
            <w:r>
              <w:rPr>
                <w:rFonts w:ascii="Arial" w:hAnsi="Arial"/>
                <w:sz w:val="20"/>
              </w:rPr>
              <w:t>Sentencia 25-ago-2022 + salvamento de voto + oficio 2637 (ejecutoria 26-oct-2022)</w:t>
            </w:r>
          </w:p>
        </w:tc>
        <w:tc>
          <w:tcPr>
            <w:tcW w:type="dxa" w:w="3041"/>
          </w:tcPr>
          <w:p>
            <w:r/>
            <w:r>
              <w:rPr>
                <w:rFonts w:ascii="Arial" w:hAnsi="Arial"/>
                <w:sz w:val="20"/>
              </w:rPr>
              <w:t>Providencia generadora del daño y su firmeza</w:t>
            </w:r>
          </w:p>
        </w:tc>
      </w:tr>
      <w:tr>
        <w:tc>
          <w:tcPr>
            <w:tcW w:type="dxa" w:w="3041"/>
          </w:tcPr>
          <w:p>
            <w:r/>
            <w:r>
              <w:rPr>
                <w:rFonts w:ascii="Arial" w:hAnsi="Arial"/>
                <w:sz w:val="20"/>
              </w:rPr>
              <w:t>5</w:t>
            </w:r>
          </w:p>
        </w:tc>
        <w:tc>
          <w:tcPr>
            <w:tcW w:type="dxa" w:w="3041"/>
          </w:tcPr>
          <w:p>
            <w:r/>
            <w:r>
              <w:rPr>
                <w:rFonts w:ascii="Arial" w:hAnsi="Arial"/>
                <w:sz w:val="20"/>
              </w:rPr>
              <w:t>Sentencia 26-nov-2020 (Tribunal Administrativo de Antioquia)</w:t>
            </w:r>
          </w:p>
        </w:tc>
        <w:tc>
          <w:tcPr>
            <w:tcW w:type="dxa" w:w="3041"/>
          </w:tcPr>
          <w:p>
            <w:r/>
            <w:r>
              <w:rPr>
                <w:rFonts w:ascii="Arial" w:hAnsi="Arial"/>
                <w:sz w:val="20"/>
              </w:rPr>
              <w:t>Absolución de primera instancia</w:t>
            </w:r>
          </w:p>
        </w:tc>
      </w:tr>
      <w:tr>
        <w:tc>
          <w:tcPr>
            <w:tcW w:type="dxa" w:w="3041"/>
          </w:tcPr>
          <w:p>
            <w:r/>
            <w:r>
              <w:rPr>
                <w:rFonts w:ascii="Arial" w:hAnsi="Arial"/>
                <w:sz w:val="20"/>
              </w:rPr>
              <w:t>6</w:t>
            </w:r>
          </w:p>
        </w:tc>
        <w:tc>
          <w:tcPr>
            <w:tcW w:type="dxa" w:w="3041"/>
          </w:tcPr>
          <w:p>
            <w:r/>
            <w:r>
              <w:rPr>
                <w:rFonts w:ascii="Arial" w:hAnsi="Arial"/>
                <w:sz w:val="20"/>
              </w:rPr>
              <w:t>Sentencias de tutela 27-oct-2022 y 27-ene-2023</w:t>
            </w:r>
          </w:p>
        </w:tc>
        <w:tc>
          <w:tcPr>
            <w:tcW w:type="dxa" w:w="3041"/>
          </w:tcPr>
          <w:p>
            <w:r/>
            <w:r>
              <w:rPr>
                <w:rFonts w:ascii="Arial" w:hAnsi="Arial"/>
                <w:sz w:val="20"/>
              </w:rPr>
              <w:t>Agotamiento de mecanismos (art. 67 Ley 270); imposibilidad jurídica de conocimiento</w:t>
            </w:r>
          </w:p>
        </w:tc>
      </w:tr>
      <w:tr>
        <w:tc>
          <w:tcPr>
            <w:tcW w:type="dxa" w:w="3041"/>
          </w:tcPr>
          <w:p>
            <w:r/>
            <w:r>
              <w:rPr>
                <w:rFonts w:ascii="Arial" w:hAnsi="Arial"/>
                <w:sz w:val="20"/>
              </w:rPr>
              <w:t>7</w:t>
            </w:r>
          </w:p>
        </w:tc>
        <w:tc>
          <w:tcPr>
            <w:tcW w:type="dxa" w:w="3041"/>
          </w:tcPr>
          <w:p>
            <w:r/>
            <w:r>
              <w:rPr>
                <w:rFonts w:ascii="Arial" w:hAnsi="Arial"/>
                <w:sz w:val="20"/>
              </w:rPr>
              <w:t>Oficio del Concejo 28-oct-2022 y acto de separación 24-ene-2023</w:t>
            </w:r>
          </w:p>
        </w:tc>
        <w:tc>
          <w:tcPr>
            <w:tcW w:type="dxa" w:w="3041"/>
          </w:tcPr>
          <w:p>
            <w:r/>
            <w:r>
              <w:rPr>
                <w:rFonts w:ascii="Arial" w:hAnsi="Arial"/>
                <w:sz w:val="20"/>
              </w:rPr>
              <w:t>Cesación de honorarios; fecha del daño</w:t>
            </w:r>
          </w:p>
        </w:tc>
      </w:tr>
      <w:tr>
        <w:tc>
          <w:tcPr>
            <w:tcW w:type="dxa" w:w="3041"/>
          </w:tcPr>
          <w:p>
            <w:r/>
            <w:r>
              <w:rPr>
                <w:rFonts w:ascii="Arial" w:hAnsi="Arial"/>
                <w:sz w:val="20"/>
              </w:rPr>
              <w:t>8</w:t>
            </w:r>
          </w:p>
        </w:tc>
        <w:tc>
          <w:tcPr>
            <w:tcW w:type="dxa" w:w="3041"/>
          </w:tcPr>
          <w:p>
            <w:r/>
            <w:r>
              <w:rPr>
                <w:rFonts w:ascii="Arial" w:hAnsi="Arial"/>
                <w:sz w:val="20"/>
              </w:rPr>
              <w:t>Certificaciones del Concejo 04-feb-2026 y respuesta 12-feb-2026</w:t>
            </w:r>
          </w:p>
        </w:tc>
        <w:tc>
          <w:tcPr>
            <w:tcW w:type="dxa" w:w="3041"/>
          </w:tcPr>
          <w:p>
            <w:r/>
            <w:r>
              <w:rPr>
                <w:rFonts w:ascii="Arial" w:hAnsi="Arial"/>
                <w:sz w:val="20"/>
              </w:rPr>
              <w:t>Valores por sesión; no pago de honorarios</w:t>
            </w:r>
          </w:p>
        </w:tc>
      </w:tr>
      <w:tr>
        <w:tc>
          <w:tcPr>
            <w:tcW w:type="dxa" w:w="3041"/>
          </w:tcPr>
          <w:p>
            <w:r/>
            <w:r>
              <w:rPr>
                <w:rFonts w:ascii="Arial" w:hAnsi="Arial"/>
                <w:sz w:val="20"/>
              </w:rPr>
              <w:t>9</w:t>
            </w:r>
          </w:p>
        </w:tc>
        <w:tc>
          <w:tcPr>
            <w:tcW w:type="dxa" w:w="3041"/>
          </w:tcPr>
          <w:p>
            <w:r/>
            <w:r>
              <w:rPr>
                <w:rFonts w:ascii="Arial" w:hAnsi="Arial"/>
                <w:sz w:val="20"/>
              </w:rPr>
              <w:t>Credencial (E-26) y acta de posesión</w:t>
            </w:r>
          </w:p>
        </w:tc>
        <w:tc>
          <w:tcPr>
            <w:tcW w:type="dxa" w:w="3041"/>
          </w:tcPr>
          <w:p>
            <w:r/>
            <w:r>
              <w:rPr>
                <w:rFonts w:ascii="Arial" w:hAnsi="Arial"/>
                <w:sz w:val="20"/>
              </w:rPr>
              <w:t>Calidad de concejal 2020-2023</w:t>
            </w:r>
          </w:p>
        </w:tc>
      </w:tr>
      <w:tr>
        <w:tc>
          <w:tcPr>
            <w:tcW w:type="dxa" w:w="3041"/>
          </w:tcPr>
          <w:p>
            <w:r/>
            <w:r>
              <w:rPr>
                <w:rFonts w:ascii="Arial" w:hAnsi="Arial"/>
                <w:sz w:val="20"/>
              </w:rPr>
              <w:t>10</w:t>
            </w:r>
          </w:p>
        </w:tc>
        <w:tc>
          <w:tcPr>
            <w:tcW w:type="dxa" w:w="3041"/>
          </w:tcPr>
          <w:p>
            <w:r/>
            <w:r>
              <w:rPr>
                <w:rFonts w:ascii="Arial" w:hAnsi="Arial"/>
                <w:sz w:val="20"/>
              </w:rPr>
              <w:t>Recibo y paz y salvo 01-dic-2025 (Henao Longas)</w:t>
            </w:r>
          </w:p>
        </w:tc>
        <w:tc>
          <w:tcPr>
            <w:tcW w:type="dxa" w:w="3041"/>
          </w:tcPr>
          <w:p>
            <w:r/>
            <w:r>
              <w:rPr>
                <w:rFonts w:ascii="Arial" w:hAnsi="Arial"/>
                <w:sz w:val="20"/>
              </w:rPr>
              <w:t>Daño emergente</w:t>
            </w:r>
          </w:p>
        </w:tc>
      </w:tr>
      <w:tr>
        <w:tc>
          <w:tcPr>
            <w:tcW w:type="dxa" w:w="3041"/>
          </w:tcPr>
          <w:p>
            <w:r/>
            <w:r>
              <w:rPr>
                <w:rFonts w:ascii="Arial" w:hAnsi="Arial"/>
                <w:sz w:val="20"/>
              </w:rPr>
              <w:t>11</w:t>
            </w:r>
          </w:p>
        </w:tc>
        <w:tc>
          <w:tcPr>
            <w:tcW w:type="dxa" w:w="3041"/>
          </w:tcPr>
          <w:p>
            <w:r/>
            <w:r>
              <w:rPr>
                <w:rFonts w:ascii="Arial" w:hAnsi="Arial"/>
                <w:sz w:val="20"/>
              </w:rPr>
              <w:t>Registros civiles (nacimientos y matrimonio) y cédulas</w:t>
            </w:r>
          </w:p>
        </w:tc>
        <w:tc>
          <w:tcPr>
            <w:tcW w:type="dxa" w:w="3041"/>
          </w:tcPr>
          <w:p>
            <w:r/>
            <w:r>
              <w:rPr>
                <w:rFonts w:ascii="Arial" w:hAnsi="Arial"/>
                <w:sz w:val="20"/>
              </w:rPr>
              <w:t>Parentesco y legitimación de los demandantes</w:t>
            </w:r>
          </w:p>
        </w:tc>
      </w:tr>
      <w:tr>
        <w:tc>
          <w:tcPr>
            <w:tcW w:type="dxa" w:w="3041"/>
          </w:tcPr>
          <w:p>
            <w:r/>
            <w:r>
              <w:rPr>
                <w:rFonts w:ascii="Arial" w:hAnsi="Arial"/>
                <w:sz w:val="20"/>
              </w:rPr>
              <w:t>12</w:t>
            </w:r>
          </w:p>
        </w:tc>
        <w:tc>
          <w:tcPr>
            <w:tcW w:type="dxa" w:w="3041"/>
          </w:tcPr>
          <w:p>
            <w:r/>
            <w:r>
              <w:rPr>
                <w:rFonts w:ascii="Arial" w:hAnsi="Arial"/>
                <w:sz w:val="20"/>
              </w:rPr>
              <w:t>Solicitud de conciliación 29-may-2026 + auto admisorio 03-jun-2026 + acta 09-jul-2026 + certificado 181 + constancia de agotamiento</w:t>
            </w:r>
          </w:p>
        </w:tc>
        <w:tc>
          <w:tcPr>
            <w:tcW w:type="dxa" w:w="3041"/>
          </w:tcPr>
          <w:p>
            <w:r/>
            <w:r>
              <w:rPr>
                <w:rFonts w:ascii="Arial" w:hAnsi="Arial"/>
                <w:sz w:val="20"/>
              </w:rPr>
              <w:t>Requisito de procedibilidad y suspensión de caducidad</w:t>
            </w:r>
          </w:p>
        </w:tc>
      </w:tr>
      <w:tr>
        <w:tc>
          <w:tcPr>
            <w:tcW w:type="dxa" w:w="3041"/>
          </w:tcPr>
          <w:p>
            <w:r/>
            <w:r>
              <w:rPr>
                <w:rFonts w:ascii="Arial" w:hAnsi="Arial"/>
                <w:sz w:val="20"/>
              </w:rPr>
              <w:t>13</w:t>
            </w:r>
          </w:p>
        </w:tc>
        <w:tc>
          <w:tcPr>
            <w:tcW w:type="dxa" w:w="3041"/>
          </w:tcPr>
          <w:p>
            <w:r/>
            <w:r>
              <w:rPr>
                <w:rFonts w:ascii="Arial" w:hAnsi="Arial"/>
                <w:sz w:val="20"/>
              </w:rPr>
              <w:t>Certificación DANE de la serie IPC</w:t>
            </w:r>
          </w:p>
        </w:tc>
        <w:tc>
          <w:tcPr>
            <w:tcW w:type="dxa" w:w="3041"/>
          </w:tcPr>
          <w:p>
            <w:r/>
            <w:r>
              <w:rPr>
                <w:rFonts w:ascii="Arial" w:hAnsi="Arial"/>
                <w:sz w:val="20"/>
              </w:rPr>
              <w:t>Factores de actualización del Anexo A</w:t>
            </w:r>
          </w:p>
        </w:tc>
      </w:tr>
      <w:tr>
        <w:tc>
          <w:tcPr>
            <w:tcW w:type="dxa" w:w="3041"/>
          </w:tcPr>
          <w:p>
            <w:r/>
            <w:r>
              <w:rPr>
                <w:rFonts w:ascii="Arial" w:hAnsi="Arial"/>
                <w:sz w:val="20"/>
              </w:rPr>
              <w:t>14</w:t>
            </w:r>
          </w:p>
        </w:tc>
        <w:tc>
          <w:tcPr>
            <w:tcW w:type="dxa" w:w="3041"/>
          </w:tcPr>
          <w:p>
            <w:r/>
            <w:r>
              <w:rPr>
                <w:rFonts w:ascii="Arial" w:hAnsi="Arial"/>
                <w:sz w:val="20"/>
              </w:rPr>
              <w:t>Constancia de remisión electrónica a demandadas y ANDJE (Ley 2213/2022)</w:t>
            </w:r>
          </w:p>
        </w:tc>
        <w:tc>
          <w:tcPr>
            <w:tcW w:type="dxa" w:w="3041"/>
          </w:tcPr>
          <w:p>
            <w:r/>
            <w:r>
              <w:rPr>
                <w:rFonts w:ascii="Arial" w:hAnsi="Arial"/>
                <w:sz w:val="20"/>
              </w:rPr>
              <w:t>Traslado simultáneo</w:t>
            </w:r>
          </w:p>
        </w:tc>
      </w:tr>
    </w:tbl>
    <w:p>
      <w:pPr>
        <w:spacing w:after="80"/>
      </w:pPr>
    </w:p>
    <w:p>
      <w:r>
        <w:br w:type="page"/>
      </w:r>
    </w:p>
    <w:p>
      <w:pPr>
        <w:spacing w:after="40"/>
        <w:jc w:val="center"/>
      </w:pPr>
      <w:r>
        <w:rPr>
          <w:b/>
          <w:i w:val="0"/>
          <w:sz w:val="28"/>
        </w:rPr>
        <w:t>ANEXO E (USO INTERNO — RETIRAR ANTES DE RADICAR)</w:t>
      </w:r>
    </w:p>
    <w:p>
      <w:pPr>
        <w:spacing w:after="160"/>
        <w:jc w:val="center"/>
      </w:pPr>
      <w:r>
        <w:rPr>
          <w:b/>
          <w:i w:val="0"/>
          <w:sz w:val="24"/>
        </w:rPr>
        <w:t>DATOS POR COMPLETAR Y VERIFICACIONES FINALES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rFonts w:ascii="Arial" w:hAnsi="Arial"/>
                <w:b/>
                <w:sz w:val="20"/>
              </w:rPr>
              <w:t>#</w:t>
            </w:r>
          </w:p>
        </w:tc>
        <w:tc>
          <w:tcPr>
            <w:tcW w:type="dxa" w:w="2280"/>
          </w:tcPr>
          <w:p>
            <w:r/>
            <w:r>
              <w:rPr>
                <w:rFonts w:ascii="Arial" w:hAnsi="Arial"/>
                <w:b/>
                <w:sz w:val="20"/>
              </w:rPr>
              <w:t>Pendiente</w:t>
            </w:r>
          </w:p>
        </w:tc>
        <w:tc>
          <w:tcPr>
            <w:tcW w:type="dxa" w:w="2280"/>
          </w:tcPr>
          <w:p>
            <w:r/>
            <w:r>
              <w:rPr>
                <w:rFonts w:ascii="Arial" w:hAnsi="Arial"/>
                <w:b/>
                <w:sz w:val="20"/>
              </w:rPr>
              <w:t>Dónde impacta</w:t>
            </w:r>
          </w:p>
        </w:tc>
        <w:tc>
          <w:tcPr>
            <w:tcW w:type="dxa" w:w="2280"/>
          </w:tcPr>
          <w:p>
            <w:r/>
            <w:r>
              <w:rPr>
                <w:rFonts w:ascii="Arial" w:hAnsi="Arial"/>
                <w:b/>
                <w:sz w:val="20"/>
              </w:rPr>
              <w:t>Estado</w:t>
            </w:r>
          </w:p>
        </w:tc>
      </w:tr>
      <w:tr>
        <w:tc>
          <w:tcPr>
            <w:tcW w:type="dxa" w:w="2280"/>
          </w:tcPr>
          <w:p>
            <w:r/>
            <w:r>
              <w:rPr>
                <w:rFonts w:ascii="Arial" w:hAnsi="Arial"/>
                <w:sz w:val="20"/>
              </w:rPr>
              <w:t>1</w:t>
            </w:r>
          </w:p>
        </w:tc>
        <w:tc>
          <w:tcPr>
            <w:tcW w:type="dxa" w:w="2280"/>
          </w:tcPr>
          <w:p>
            <w:r/>
            <w:r>
              <w:rPr>
                <w:rFonts w:ascii="Arial" w:hAnsi="Arial"/>
                <w:sz w:val="20"/>
              </w:rPr>
              <w:t>Día exacto de radicación (encabezado: "____ de julio de 2026")</w:t>
            </w:r>
          </w:p>
        </w:tc>
        <w:tc>
          <w:tcPr>
            <w:tcW w:type="dxa" w:w="2280"/>
          </w:tcPr>
          <w:p>
            <w:r/>
            <w:r>
              <w:rPr>
                <w:rFonts w:ascii="Arial" w:hAnsi="Arial"/>
                <w:sz w:val="20"/>
              </w:rPr>
              <w:t>Encabezado y firma</w:t>
            </w:r>
          </w:p>
        </w:tc>
        <w:tc>
          <w:tcPr>
            <w:tcW w:type="dxa" w:w="2280"/>
          </w:tcPr>
          <w:p>
            <w:r/>
            <w:r>
              <w:rPr>
                <w:rFonts w:ascii="Arial" w:hAnsi="Arial"/>
                <w:sz w:val="20"/>
              </w:rPr>
              <w:t>Completar al radicar</w:t>
            </w:r>
          </w:p>
        </w:tc>
      </w:tr>
      <w:tr>
        <w:tc>
          <w:tcPr>
            <w:tcW w:type="dxa" w:w="2280"/>
          </w:tcPr>
          <w:p>
            <w:r/>
            <w:r>
              <w:rPr>
                <w:rFonts w:ascii="Arial" w:hAnsi="Arial"/>
                <w:sz w:val="20"/>
              </w:rPr>
              <w:t>2</w:t>
            </w:r>
          </w:p>
        </w:tc>
        <w:tc>
          <w:tcPr>
            <w:tcW w:type="dxa" w:w="2280"/>
          </w:tcPr>
          <w:p>
            <w:r/>
            <w:r>
              <w:rPr>
                <w:rFonts w:ascii="Arial" w:hAnsi="Arial"/>
                <w:sz w:val="20"/>
              </w:rPr>
              <w:t>Fecha de expedición de la constancia de agotamiento (verificar que ya fue expedida y anexarla)</w:t>
            </w:r>
          </w:p>
        </w:tc>
        <w:tc>
          <w:tcPr>
            <w:tcW w:type="dxa" w:w="2280"/>
          </w:tcPr>
          <w:p>
            <w:r/>
            <w:r>
              <w:rPr>
                <w:rFonts w:ascii="Arial" w:hAnsi="Arial"/>
                <w:sz w:val="20"/>
              </w:rPr>
              <w:t>Hechos DECIMONOVENO; suspensión de caducidad</w:t>
            </w:r>
          </w:p>
        </w:tc>
        <w:tc>
          <w:tcPr>
            <w:tcW w:type="dxa" w:w="2280"/>
          </w:tcPr>
          <w:p>
            <w:r/>
            <w:r>
              <w:rPr>
                <w:rFonts w:ascii="Arial" w:hAnsi="Arial"/>
                <w:sz w:val="20"/>
              </w:rPr>
              <w:t>Confirmar con la Procuraduría 193</w:t>
            </w:r>
          </w:p>
        </w:tc>
      </w:tr>
      <w:tr>
        <w:tc>
          <w:tcPr>
            <w:tcW w:type="dxa" w:w="2280"/>
          </w:tcPr>
          <w:p>
            <w:r/>
            <w:r>
              <w:rPr>
                <w:rFonts w:ascii="Arial" w:hAnsi="Arial"/>
                <w:sz w:val="20"/>
              </w:rPr>
              <w:t>3</w:t>
            </w:r>
          </w:p>
        </w:tc>
        <w:tc>
          <w:tcPr>
            <w:tcW w:type="dxa" w:w="2280"/>
          </w:tcPr>
          <w:p>
            <w:r/>
            <w:r>
              <w:rPr>
                <w:rFonts w:ascii="Arial" w:hAnsi="Arial"/>
                <w:sz w:val="20"/>
              </w:rPr>
              <w:t>Fecha de notificación de la SU-501 de 2024 (si se obtiene antes, incorporarla al hecho DECIMOCTAVO)</w:t>
            </w:r>
          </w:p>
        </w:tc>
        <w:tc>
          <w:tcPr>
            <w:tcW w:type="dxa" w:w="2280"/>
          </w:tcPr>
          <w:p>
            <w:r/>
            <w:r>
              <w:rPr>
                <w:rFonts w:ascii="Arial" w:hAnsi="Arial"/>
                <w:sz w:val="20"/>
              </w:rPr>
              <w:t>Caducidad</w:t>
            </w:r>
          </w:p>
        </w:tc>
        <w:tc>
          <w:tcPr>
            <w:tcW w:type="dxa" w:w="2280"/>
          </w:tcPr>
          <w:p>
            <w:r/>
            <w:r>
              <w:rPr>
                <w:rFonts w:ascii="Arial" w:hAnsi="Arial"/>
                <w:sz w:val="20"/>
              </w:rPr>
              <w:t>Oficio pedido; puede adjuntarse constancia SAMAI/Corte</w:t>
            </w:r>
          </w:p>
        </w:tc>
      </w:tr>
      <w:tr>
        <w:tc>
          <w:tcPr>
            <w:tcW w:type="dxa" w:w="2280"/>
          </w:tcPr>
          <w:p>
            <w:r/>
            <w:r>
              <w:rPr>
                <w:rFonts w:ascii="Arial" w:hAnsi="Arial"/>
                <w:sz w:val="20"/>
              </w:rPr>
              <w:t>4</w:t>
            </w:r>
          </w:p>
        </w:tc>
        <w:tc>
          <w:tcPr>
            <w:tcW w:type="dxa" w:w="2280"/>
          </w:tcPr>
          <w:p>
            <w:r/>
            <w:r>
              <w:rPr>
                <w:rFonts w:ascii="Arial" w:hAnsi="Arial"/>
                <w:sz w:val="20"/>
              </w:rPr>
              <w:t>Certificación del número real de sesiones pagadas (si llega antes de radicar, recalcular Anexo A y pretensión A.2 con las cifras reales)</w:t>
            </w:r>
          </w:p>
        </w:tc>
        <w:tc>
          <w:tcPr>
            <w:tcW w:type="dxa" w:w="2280"/>
          </w:tcPr>
          <w:p>
            <w:r/>
            <w:r>
              <w:rPr>
                <w:rFonts w:ascii="Arial" w:hAnsi="Arial"/>
                <w:sz w:val="20"/>
              </w:rPr>
              <w:t>Lucro cesante y juramento estimatorio</w:t>
            </w:r>
          </w:p>
        </w:tc>
        <w:tc>
          <w:tcPr>
            <w:tcW w:type="dxa" w:w="2280"/>
          </w:tcPr>
          <w:p>
            <w:r/>
            <w:r>
              <w:rPr>
                <w:rFonts w:ascii="Arial" w:hAnsi="Arial"/>
                <w:sz w:val="20"/>
              </w:rPr>
              <w:t>Derecho de petición recomendado YA</w:t>
            </w:r>
          </w:p>
        </w:tc>
      </w:tr>
      <w:tr>
        <w:tc>
          <w:tcPr>
            <w:tcW w:type="dxa" w:w="2280"/>
          </w:tcPr>
          <w:p>
            <w:r/>
            <w:r>
              <w:rPr>
                <w:rFonts w:ascii="Arial" w:hAnsi="Arial"/>
                <w:sz w:val="20"/>
              </w:rPr>
              <w:t>5</w:t>
            </w:r>
          </w:p>
        </w:tc>
        <w:tc>
          <w:tcPr>
            <w:tcW w:type="dxa" w:w="2280"/>
          </w:tcPr>
          <w:p>
            <w:r/>
            <w:r>
              <w:rPr>
                <w:rFonts w:ascii="Arial" w:hAnsi="Arial"/>
                <w:sz w:val="20"/>
              </w:rPr>
              <w:t>Correo oficial de notificaciones judiciales de la Alcaldía de Bello y dirección exacta</w:t>
            </w:r>
          </w:p>
        </w:tc>
        <w:tc>
          <w:tcPr>
            <w:tcW w:type="dxa" w:w="2280"/>
          </w:tcPr>
          <w:p>
            <w:r/>
            <w:r>
              <w:rPr>
                <w:rFonts w:ascii="Arial" w:hAnsi="Arial"/>
                <w:sz w:val="20"/>
              </w:rPr>
              <w:t>Notificaciones</w:t>
            </w:r>
          </w:p>
        </w:tc>
        <w:tc>
          <w:tcPr>
            <w:tcW w:type="dxa" w:w="2280"/>
          </w:tcPr>
          <w:p>
            <w:r/>
            <w:r>
              <w:rPr>
                <w:rFonts w:ascii="Arial" w:hAnsi="Arial"/>
                <w:sz w:val="20"/>
              </w:rPr>
              <w:t>Verificar en página oficial del Municipio</w:t>
            </w:r>
          </w:p>
        </w:tc>
      </w:tr>
      <w:tr>
        <w:tc>
          <w:tcPr>
            <w:tcW w:type="dxa" w:w="2280"/>
          </w:tcPr>
          <w:p>
            <w:r/>
            <w:r>
              <w:rPr>
                <w:rFonts w:ascii="Arial" w:hAnsi="Arial"/>
                <w:sz w:val="20"/>
              </w:rPr>
              <w:t>6</w:t>
            </w:r>
          </w:p>
        </w:tc>
        <w:tc>
          <w:tcPr>
            <w:tcW w:type="dxa" w:w="2280"/>
          </w:tcPr>
          <w:p>
            <w:r/>
            <w:r>
              <w:rPr>
                <w:rFonts w:ascii="Arial" w:hAnsi="Arial"/>
                <w:sz w:val="20"/>
              </w:rPr>
              <w:t>Verificar que los 6 poderes incluyan al MUNICIPIO DE BELLO como demandado y facultades para conciliar/demandar; re-otorgar si solo mencionan al "Consejo/Concejo Municipal"</w:t>
            </w:r>
          </w:p>
        </w:tc>
        <w:tc>
          <w:tcPr>
            <w:tcW w:type="dxa" w:w="2280"/>
          </w:tcPr>
          <w:p>
            <w:r/>
            <w:r>
              <w:rPr>
                <w:rFonts w:ascii="Arial" w:hAnsi="Arial"/>
                <w:sz w:val="20"/>
              </w:rPr>
              <w:t>Representación; inadmisión</w:t>
            </w:r>
          </w:p>
        </w:tc>
        <w:tc>
          <w:tcPr>
            <w:tcW w:type="dxa" w:w="2280"/>
          </w:tcPr>
          <w:p>
            <w:r/>
            <w:r>
              <w:rPr>
                <w:rFonts w:ascii="Arial" w:hAnsi="Arial"/>
                <w:sz w:val="20"/>
              </w:rPr>
              <w:t>CRÍTICO</w:t>
            </w:r>
          </w:p>
        </w:tc>
      </w:tr>
      <w:tr>
        <w:tc>
          <w:tcPr>
            <w:tcW w:type="dxa" w:w="2280"/>
          </w:tcPr>
          <w:p>
            <w:r/>
            <w:r>
              <w:rPr>
                <w:rFonts w:ascii="Arial" w:hAnsi="Arial"/>
                <w:sz w:val="20"/>
              </w:rPr>
              <w:t>7</w:t>
            </w:r>
          </w:p>
        </w:tc>
        <w:tc>
          <w:tcPr>
            <w:tcW w:type="dxa" w:w="2280"/>
          </w:tcPr>
          <w:p>
            <w:r/>
            <w:r>
              <w:rPr>
                <w:rFonts w:ascii="Arial" w:hAnsi="Arial"/>
                <w:sz w:val="20"/>
              </w:rPr>
              <w:t>Verificar en el expediente conciliatorio si la citación se comunicó también al Alcalde; si no, evaluar conciliación complementaria convocando al Municipio–Alcalde o retirar al Municipio de la demanda</w:t>
            </w:r>
          </w:p>
        </w:tc>
        <w:tc>
          <w:tcPr>
            <w:tcW w:type="dxa" w:w="2280"/>
          </w:tcPr>
          <w:p>
            <w:r/>
            <w:r>
              <w:rPr>
                <w:rFonts w:ascii="Arial" w:hAnsi="Arial"/>
                <w:sz w:val="20"/>
              </w:rPr>
              <w:t>Requisito de procedibilidad frente al Municipio</w:t>
            </w:r>
          </w:p>
        </w:tc>
        <w:tc>
          <w:tcPr>
            <w:tcW w:type="dxa" w:w="2280"/>
          </w:tcPr>
          <w:p>
            <w:r/>
            <w:r>
              <w:rPr>
                <w:rFonts w:ascii="Arial" w:hAnsi="Arial"/>
                <w:sz w:val="20"/>
              </w:rPr>
              <w:t>CRÍTICO</w:t>
            </w:r>
          </w:p>
        </w:tc>
      </w:tr>
      <w:tr>
        <w:tc>
          <w:tcPr>
            <w:tcW w:type="dxa" w:w="2280"/>
          </w:tcPr>
          <w:p>
            <w:r/>
            <w:r>
              <w:rPr>
                <w:rFonts w:ascii="Arial" w:hAnsi="Arial"/>
                <w:sz w:val="20"/>
              </w:rPr>
              <w:t>8</w:t>
            </w:r>
          </w:p>
        </w:tc>
        <w:tc>
          <w:tcPr>
            <w:tcW w:type="dxa" w:w="2280"/>
          </w:tcPr>
          <w:p>
            <w:r/>
            <w:r>
              <w:rPr>
                <w:rFonts w:ascii="Arial" w:hAnsi="Arial"/>
                <w:sz w:val="20"/>
              </w:rPr>
              <w:t>Registro civil de matrimonio de Doris Elena (si no son casados, cambiar calidad a compañera permanente y medio de prueba)</w:t>
            </w:r>
          </w:p>
        </w:tc>
        <w:tc>
          <w:tcPr>
            <w:tcW w:type="dxa" w:w="2280"/>
          </w:tcPr>
          <w:p>
            <w:r/>
            <w:r>
              <w:rPr>
                <w:rFonts w:ascii="Arial" w:hAnsi="Arial"/>
                <w:sz w:val="20"/>
              </w:rPr>
              <w:t>Legitimación y daño moral</w:t>
            </w:r>
          </w:p>
        </w:tc>
        <w:tc>
          <w:tcPr>
            <w:tcW w:type="dxa" w:w="2280"/>
          </w:tcPr>
          <w:p>
            <w:r/>
            <w:r>
              <w:rPr>
                <w:rFonts w:ascii="Arial" w:hAnsi="Arial"/>
                <w:sz w:val="20"/>
              </w:rPr>
              <w:t>Confirmar con el cliente</w:t>
            </w:r>
          </w:p>
        </w:tc>
      </w:tr>
      <w:tr>
        <w:tc>
          <w:tcPr>
            <w:tcW w:type="dxa" w:w="2280"/>
          </w:tcPr>
          <w:p>
            <w:r/>
            <w:r>
              <w:rPr>
                <w:rFonts w:ascii="Arial" w:hAnsi="Arial"/>
                <w:sz w:val="20"/>
              </w:rPr>
              <w:t>9</w:t>
            </w:r>
          </w:p>
        </w:tc>
        <w:tc>
          <w:tcPr>
            <w:tcW w:type="dxa" w:w="2280"/>
          </w:tcPr>
          <w:p>
            <w:r/>
            <w:r>
              <w:rPr>
                <w:rFonts w:ascii="Arial" w:hAnsi="Arial"/>
                <w:sz w:val="20"/>
              </w:rPr>
              <w:t>Certificación DANE de índices IPC y re-expresión del índice final al mes anterior a la radicación</w:t>
            </w:r>
          </w:p>
        </w:tc>
        <w:tc>
          <w:tcPr>
            <w:tcW w:type="dxa" w:w="2280"/>
          </w:tcPr>
          <w:p>
            <w:r/>
            <w:r>
              <w:rPr>
                <w:rFonts w:ascii="Arial" w:hAnsi="Arial"/>
                <w:sz w:val="20"/>
              </w:rPr>
              <w:t>Anexo A</w:t>
            </w:r>
          </w:p>
        </w:tc>
        <w:tc>
          <w:tcPr>
            <w:tcW w:type="dxa" w:w="2280"/>
          </w:tcPr>
          <w:p>
            <w:r/>
            <w:r>
              <w:rPr>
                <w:rFonts w:ascii="Arial" w:hAnsi="Arial"/>
                <w:sz w:val="20"/>
              </w:rPr>
              <w:t>Descargar del DANE</w:t>
            </w:r>
          </w:p>
        </w:tc>
      </w:tr>
      <w:tr>
        <w:tc>
          <w:tcPr>
            <w:tcW w:type="dxa" w:w="2280"/>
          </w:tcPr>
          <w:p>
            <w:r/>
            <w:r>
              <w:rPr>
                <w:rFonts w:ascii="Arial" w:hAnsi="Arial"/>
                <w:sz w:val="20"/>
              </w:rPr>
              <w:t>10</w:t>
            </w:r>
          </w:p>
        </w:tc>
        <w:tc>
          <w:tcPr>
            <w:tcW w:type="dxa" w:w="2280"/>
          </w:tcPr>
          <w:p>
            <w:r/>
            <w:r>
              <w:rPr>
                <w:rFonts w:ascii="Arial" w:hAnsi="Arial"/>
                <w:sz w:val="20"/>
              </w:rPr>
              <w:t>Certificación discriminada de honorarios por etapas del Dr. Henao Longas</w:t>
            </w:r>
          </w:p>
        </w:tc>
        <w:tc>
          <w:tcPr>
            <w:tcW w:type="dxa" w:w="2280"/>
          </w:tcPr>
          <w:p>
            <w:r/>
            <w:r>
              <w:rPr>
                <w:rFonts w:ascii="Arial" w:hAnsi="Arial"/>
                <w:sz w:val="20"/>
              </w:rPr>
              <w:t>Daño emergente (Anexo B)</w:t>
            </w:r>
          </w:p>
        </w:tc>
        <w:tc>
          <w:tcPr>
            <w:tcW w:type="dxa" w:w="2280"/>
          </w:tcPr>
          <w:p>
            <w:r/>
            <w:r>
              <w:rPr>
                <w:rFonts w:ascii="Arial" w:hAnsi="Arial"/>
                <w:sz w:val="20"/>
              </w:rPr>
              <w:t>Solicitar al abogado</w:t>
            </w:r>
          </w:p>
        </w:tc>
      </w:tr>
      <w:tr>
        <w:tc>
          <w:tcPr>
            <w:tcW w:type="dxa" w:w="2280"/>
          </w:tcPr>
          <w:p>
            <w:r/>
            <w:r>
              <w:rPr>
                <w:rFonts w:ascii="Arial" w:hAnsi="Arial"/>
                <w:sz w:val="20"/>
              </w:rPr>
              <w:t>11</w:t>
            </w:r>
          </w:p>
        </w:tc>
        <w:tc>
          <w:tcPr>
            <w:tcW w:type="dxa" w:w="2280"/>
          </w:tcPr>
          <w:p>
            <w:r/>
            <w:r>
              <w:rPr>
                <w:rFonts w:ascii="Arial" w:hAnsi="Arial"/>
                <w:sz w:val="20"/>
              </w:rPr>
              <w:t>Confirmar fecha exacta (27 o 28 de noviembre de 2024) de la SU-501 en el texto oficial</w:t>
            </w:r>
          </w:p>
        </w:tc>
        <w:tc>
          <w:tcPr>
            <w:tcW w:type="dxa" w:w="2280"/>
          </w:tcPr>
          <w:p>
            <w:r/>
            <w:r>
              <w:rPr>
                <w:rFonts w:ascii="Arial" w:hAnsi="Arial"/>
                <w:sz w:val="20"/>
              </w:rPr>
              <w:t>Hechos NOVENO y DECIMOCTAVO</w:t>
            </w:r>
          </w:p>
        </w:tc>
        <w:tc>
          <w:tcPr>
            <w:tcW w:type="dxa" w:w="2280"/>
          </w:tcPr>
          <w:p>
            <w:r/>
            <w:r>
              <w:rPr>
                <w:rFonts w:ascii="Arial" w:hAnsi="Arial"/>
                <w:sz w:val="20"/>
              </w:rPr>
              <w:t>Verificar en relatoría</w:t>
            </w:r>
          </w:p>
        </w:tc>
      </w:tr>
      <w:tr>
        <w:tc>
          <w:tcPr>
            <w:tcW w:type="dxa" w:w="2280"/>
          </w:tcPr>
          <w:p>
            <w:r/>
            <w:r>
              <w:rPr>
                <w:rFonts w:ascii="Arial" w:hAnsi="Arial"/>
                <w:sz w:val="20"/>
              </w:rPr>
              <w:t>12</w:t>
            </w:r>
          </w:p>
        </w:tc>
        <w:tc>
          <w:tcPr>
            <w:tcW w:type="dxa" w:w="2280"/>
          </w:tcPr>
          <w:p>
            <w:r/>
            <w:r>
              <w:rPr>
                <w:rFonts w:ascii="Arial" w:hAnsi="Arial"/>
                <w:sz w:val="20"/>
              </w:rPr>
              <w:t>Constancia de envío electrónico simultáneo de demanda y anexos a demandadas y ANDJE (Ley 2213/2022)</w:t>
            </w:r>
          </w:p>
        </w:tc>
        <w:tc>
          <w:tcPr>
            <w:tcW w:type="dxa" w:w="2280"/>
          </w:tcPr>
          <w:p>
            <w:r/>
            <w:r>
              <w:rPr>
                <w:rFonts w:ascii="Arial" w:hAnsi="Arial"/>
                <w:sz w:val="20"/>
              </w:rPr>
              <w:t>Anexo 14</w:t>
            </w:r>
          </w:p>
        </w:tc>
        <w:tc>
          <w:tcPr>
            <w:tcW w:type="dxa" w:w="2280"/>
          </w:tcPr>
          <w:p>
            <w:r/>
            <w:r>
              <w:rPr>
                <w:rFonts w:ascii="Arial" w:hAnsi="Arial"/>
                <w:sz w:val="20"/>
              </w:rPr>
              <w:t>Generar al radicar</w:t>
            </w:r>
          </w:p>
        </w:tc>
      </w:tr>
    </w:tbl>
    <w:p>
      <w:pPr>
        <w:spacing w:after="80"/>
      </w:pPr>
    </w:p>
    <w:p>
      <w:pPr>
        <w:spacing w:after="160"/>
        <w:jc w:val="both"/>
      </w:pPr>
      <w:r>
        <w:rPr>
          <w:b/>
          <w:i w:val="0"/>
          <w:sz w:val="22"/>
        </w:rPr>
        <w:t>Recomendación de radicación: antes del 8 de agosto de 2026 (ventana prudencial del concepto del 09-jul-2026). Bajo la tesis de caducidad propia, el término no vence antes del 28 de noviembre de 2026 más la suspensión conciliatoria.</w:t>
      </w:r>
    </w:p>
    <w:sectPr w:rsidR="00FC693F" w:rsidRPr="0006063C" w:rsidSect="00034616">
      <w:pgSz w:w="12240" w:h="15840"/>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