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8"/>
        </w:rPr>
        <w:t>ANEXO TÉCNICO</w:t>
      </w:r>
    </w:p>
    <w:p>
      <w:pPr>
        <w:spacing w:after="40"/>
        <w:jc w:val="center"/>
      </w:pPr>
      <w:r>
        <w:rPr>
          <w:b/>
          <w:i w:val="0"/>
          <w:sz w:val="26"/>
        </w:rPr>
        <w:t>LIQUIDACIÓN DEL LUCRO CESANTE CONSOLIDADO</w:t>
      </w:r>
    </w:p>
    <w:p>
      <w:pPr>
        <w:spacing w:after="40"/>
        <w:jc w:val="center"/>
      </w:pPr>
      <w:r>
        <w:rPr>
          <w:b w:val="0"/>
          <w:i w:val="0"/>
          <w:sz w:val="22"/>
        </w:rPr>
        <w:t>Honorarios de concejal dejados de percibir — Óscar Darío Arias Agudelo</w:t>
      </w:r>
    </w:p>
    <w:p>
      <w:pPr>
        <w:spacing w:after="40"/>
        <w:jc w:val="center"/>
      </w:pPr>
      <w:r>
        <w:rPr>
          <w:b w:val="0"/>
          <w:i w:val="0"/>
          <w:sz w:val="20"/>
        </w:rPr>
        <w:t>Proceso: Reparación directa por error jurisdiccional (art. 140 CPACA; arts. 65-67 Ley 270 de 1996)</w:t>
      </w:r>
    </w:p>
    <w:p>
      <w:pPr>
        <w:spacing w:after="40"/>
        <w:jc w:val="center"/>
      </w:pPr>
      <w:r>
        <w:rPr>
          <w:b w:val="0"/>
          <w:i w:val="0"/>
          <w:sz w:val="20"/>
        </w:rPr>
        <w:t>Referencia del proceso fuente: pérdida de investidura rad. 05001-23-33-000-2020-02441-01 — SU-501 de 2024 — sentencia de reemplazo del 8 de mayo de 2025</w:t>
      </w:r>
    </w:p>
    <w:p>
      <w:pPr>
        <w:spacing w:after="160"/>
        <w:jc w:val="center"/>
      </w:pPr>
      <w:r>
        <w:rPr>
          <w:b w:val="0"/>
          <w:i w:val="0"/>
          <w:sz w:val="20"/>
        </w:rPr>
        <w:t>Medellín, julio de 2026</w:t>
      </w:r>
    </w:p>
    <w:p>
      <w:pPr>
        <w:spacing w:after="200"/>
        <w:jc w:val="left"/>
      </w:pPr>
      <w:r>
        <w:rPr>
          <w:b/>
          <w:i w:val="0"/>
          <w:sz w:val="24"/>
        </w:rPr>
        <w:t>1. OBJETO Y ALCANCE</w:t>
      </w:r>
    </w:p>
    <w:p>
      <w:pPr>
        <w:spacing w:after="160"/>
        <w:jc w:val="both"/>
      </w:pPr>
      <w:r>
        <w:rPr>
          <w:b w:val="0"/>
          <w:i w:val="0"/>
          <w:sz w:val="22"/>
        </w:rPr>
        <w:t>Este anexo soporta técnicamente la estimación del lucro cesante consolidado reclamado en la demanda, correspondiente a los honorarios que el señor Óscar Darío Arias Agudelo (C.C. 98.491.692), concejal del Municipio de Bello para el período constitucional 2020-2023, dejó de percibir como consecuencia de la ejecución de la sentencia del 25 de agosto de 2022 (Sección Primera del Consejo de Estado), providencia dejada sin efectos por la Corte Constitucional mediante la sentencia SU-501 de 2024 por incurrir en defecto sustantivo y defecto fáctico. El período liquidado corre desde el 29 de octubre de 2022 — día siguiente a la comunicación del Concejo de Bello según la cual el concejal "no será llamado en el orden del día a partir de la fecha" (oficio del 28 de octubre de 2022) — hasta el 31 de diciembre de 2023, fecha de expiración del período constitucional. La liquidación es una estimación razonada (art. 206 CGP y art. 162 CPACA) sujeta a ajuste conforme a la prueba que se practique (ver sección 7).</w:t>
      </w:r>
    </w:p>
    <w:p>
      <w:pPr>
        <w:spacing w:after="200"/>
        <w:jc w:val="left"/>
      </w:pPr>
      <w:r>
        <w:rPr>
          <w:b/>
          <w:i w:val="0"/>
          <w:sz w:val="24"/>
        </w:rPr>
        <w:t>2. MARCO NORMATIVO Y JURISPRUDENCIAL</w:t>
      </w:r>
    </w:p>
    <w:tbl>
      <w:tblPr>
        <w:tblStyle w:val="TableGrid"/>
        <w:tblW w:type="auto" w:w="0"/>
        <w:jc w:val="center"/>
        <w:tblLook w:firstColumn="1" w:firstRow="1" w:lastColumn="0" w:lastRow="0" w:noHBand="0" w:noVBand="1" w:val="04A0"/>
      </w:tblPr>
      <w:tblGrid>
        <w:gridCol w:w="4561"/>
        <w:gridCol w:w="4561"/>
      </w:tblGrid>
      <w:tr>
        <w:tc>
          <w:tcPr>
            <w:tcW w:type="dxa" w:w="4561"/>
          </w:tcPr>
          <w:p>
            <w:r/>
            <w:r>
              <w:rPr>
                <w:rFonts w:ascii="Arial" w:hAnsi="Arial"/>
                <w:b/>
                <w:sz w:val="20"/>
              </w:rPr>
              <w:t>Fuente</w:t>
            </w:r>
          </w:p>
        </w:tc>
        <w:tc>
          <w:tcPr>
            <w:tcW w:type="dxa" w:w="4561"/>
          </w:tcPr>
          <w:p>
            <w:r/>
            <w:r>
              <w:rPr>
                <w:rFonts w:ascii="Arial" w:hAnsi="Arial"/>
                <w:b/>
                <w:sz w:val="20"/>
              </w:rPr>
              <w:t>Contenido pertinente</w:t>
            </w:r>
          </w:p>
        </w:tc>
      </w:tr>
      <w:tr>
        <w:tc>
          <w:tcPr>
            <w:tcW w:type="dxa" w:w="4561"/>
          </w:tcPr>
          <w:p>
            <w:r/>
            <w:r>
              <w:rPr>
                <w:rFonts w:ascii="Arial" w:hAnsi="Arial"/>
                <w:sz w:val="20"/>
              </w:rPr>
              <w:t>Art. 65 y 66, Ley 617 de 2000; categorización municipal</w:t>
            </w:r>
          </w:p>
        </w:tc>
        <w:tc>
          <w:tcPr>
            <w:tcW w:type="dxa" w:w="4561"/>
          </w:tcPr>
          <w:p>
            <w:r/>
            <w:r>
              <w:rPr>
                <w:rFonts w:ascii="Arial" w:hAnsi="Arial"/>
                <w:sz w:val="20"/>
              </w:rPr>
              <w:t>Bello, Antioquia: municipio de primera categoría — régimen de honorarios de concejales por sesión.</w:t>
            </w:r>
          </w:p>
        </w:tc>
      </w:tr>
      <w:tr>
        <w:tc>
          <w:tcPr>
            <w:tcW w:type="dxa" w:w="4561"/>
          </w:tcPr>
          <w:p>
            <w:r/>
            <w:r>
              <w:rPr>
                <w:rFonts w:ascii="Arial" w:hAnsi="Arial"/>
                <w:sz w:val="20"/>
              </w:rPr>
              <w:t>Art. 66, Ley 136 de 1994, modificado por el art. 1 de la Ley 1368 de 2009</w:t>
            </w:r>
          </w:p>
        </w:tc>
        <w:tc>
          <w:tcPr>
            <w:tcW w:type="dxa" w:w="4561"/>
          </w:tcPr>
          <w:p>
            <w:r/>
            <w:r>
              <w:rPr>
                <w:rFonts w:ascii="Arial" w:hAnsi="Arial"/>
                <w:sz w:val="20"/>
              </w:rPr>
              <w:t>En municipios de categoría especial, primera y segunda se pagan como máximo ciento cincuenta (150) sesiones ordinarias y treinta (30) sesiones extraordinarias al año. Tope legal anual: 180 sesiones remuneradas.</w:t>
            </w:r>
          </w:p>
        </w:tc>
      </w:tr>
      <w:tr>
        <w:tc>
          <w:tcPr>
            <w:tcW w:type="dxa" w:w="4561"/>
          </w:tcPr>
          <w:p>
            <w:r/>
            <w:r>
              <w:rPr>
                <w:rFonts w:ascii="Arial" w:hAnsi="Arial"/>
                <w:sz w:val="20"/>
              </w:rPr>
              <w:t>Certificación Secretaría General del Concejo de Bello, 4 de febrero de 2026</w:t>
            </w:r>
          </w:p>
        </w:tc>
        <w:tc>
          <w:tcPr>
            <w:tcW w:type="dxa" w:w="4561"/>
          </w:tcPr>
          <w:p>
            <w:r/>
            <w:r>
              <w:rPr>
                <w:rFonts w:ascii="Arial" w:hAnsi="Arial"/>
                <w:sz w:val="20"/>
              </w:rPr>
              <w:t>Valor de los honorarios por sesión: $469.766 (vigencia 2022) y $531.399 (vigencia 2023). Certifica igualmente el no pago de honorarios al señor Arias Agudelo desde su separación.</w:t>
            </w:r>
          </w:p>
        </w:tc>
      </w:tr>
      <w:tr>
        <w:tc>
          <w:tcPr>
            <w:tcW w:type="dxa" w:w="4561"/>
          </w:tcPr>
          <w:p>
            <w:r/>
            <w:r>
              <w:rPr>
                <w:rFonts w:ascii="Arial" w:hAnsi="Arial"/>
                <w:sz w:val="20"/>
              </w:rPr>
              <w:t>Art. 187, inciso final, CPACA</w:t>
            </w:r>
          </w:p>
        </w:tc>
        <w:tc>
          <w:tcPr>
            <w:tcW w:type="dxa" w:w="4561"/>
          </w:tcPr>
          <w:p>
            <w:r/>
            <w:r>
              <w:rPr>
                <w:rFonts w:ascii="Arial" w:hAnsi="Arial"/>
                <w:sz w:val="20"/>
              </w:rPr>
              <w:t>Las condenas se ajustan tomando como base el Índice de Precios al Consumidor (IPC) certificado por el DANE.</w:t>
            </w:r>
          </w:p>
        </w:tc>
      </w:tr>
      <w:tr>
        <w:tc>
          <w:tcPr>
            <w:tcW w:type="dxa" w:w="4561"/>
          </w:tcPr>
          <w:p>
            <w:r/>
            <w:r>
              <w:rPr>
                <w:rFonts w:ascii="Arial" w:hAnsi="Arial"/>
                <w:sz w:val="20"/>
              </w:rPr>
              <w:t>Jurisprudencia de la Sección Tercera del Consejo de Estado</w:t>
            </w:r>
          </w:p>
        </w:tc>
        <w:tc>
          <w:tcPr>
            <w:tcW w:type="dxa" w:w="4561"/>
          </w:tcPr>
          <w:p>
            <w:r/>
            <w:r>
              <w:rPr>
                <w:rFonts w:ascii="Arial" w:hAnsi="Arial"/>
                <w:sz w:val="20"/>
              </w:rPr>
              <w:t>Fórmula de actualización de rentas históricas: Ra = Rh × (IPC final / IPC inicial), donde Ra es la renta actualizada y Rh la renta histórica.</w:t>
            </w:r>
          </w:p>
        </w:tc>
      </w:tr>
    </w:tbl>
    <w:p>
      <w:pPr>
        <w:spacing w:after="80"/>
      </w:pPr>
    </w:p>
    <w:p>
      <w:pPr>
        <w:spacing w:after="200"/>
        <w:jc w:val="left"/>
      </w:pPr>
      <w:r>
        <w:rPr>
          <w:b/>
          <w:i w:val="0"/>
          <w:sz w:val="24"/>
        </w:rPr>
        <w:t>3. DATOS BASE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
              <w:rPr>
                <w:rFonts w:ascii="Arial" w:hAnsi="Arial"/>
                <w:b/>
                <w:sz w:val="20"/>
              </w:rPr>
              <w:t>Parámetro</w:t>
            </w:r>
          </w:p>
        </w:tc>
        <w:tc>
          <w:tcPr>
            <w:tcW w:type="dxa" w:w="3041"/>
          </w:tcPr>
          <w:p>
            <w:r/>
            <w:r>
              <w:rPr>
                <w:rFonts w:ascii="Arial" w:hAnsi="Arial"/>
                <w:b/>
                <w:sz w:val="20"/>
              </w:rPr>
              <w:t>Valor</w:t>
            </w:r>
          </w:p>
        </w:tc>
        <w:tc>
          <w:tcPr>
            <w:tcW w:type="dxa" w:w="3041"/>
          </w:tcPr>
          <w:p>
            <w:r/>
            <w:r>
              <w:rPr>
                <w:rFonts w:ascii="Arial" w:hAnsi="Arial"/>
                <w:b/>
                <w:sz w:val="20"/>
              </w:rPr>
              <w:t>Fuente</w:t>
            </w:r>
          </w:p>
        </w:tc>
      </w:tr>
      <w:tr>
        <w:tc>
          <w:tcPr>
            <w:tcW w:type="dxa" w:w="3041"/>
          </w:tcPr>
          <w:p>
            <w:r/>
            <w:r>
              <w:rPr>
                <w:rFonts w:ascii="Arial" w:hAnsi="Arial"/>
                <w:sz w:val="20"/>
              </w:rPr>
              <w:t>Inicio del período indemnizable</w:t>
            </w:r>
          </w:p>
        </w:tc>
        <w:tc>
          <w:tcPr>
            <w:tcW w:type="dxa" w:w="3041"/>
          </w:tcPr>
          <w:p>
            <w:r/>
            <w:r>
              <w:rPr>
                <w:rFonts w:ascii="Arial" w:hAnsi="Arial"/>
                <w:sz w:val="20"/>
              </w:rPr>
              <w:t>29 de octubre de 2022</w:t>
            </w:r>
          </w:p>
        </w:tc>
        <w:tc>
          <w:tcPr>
            <w:tcW w:type="dxa" w:w="3041"/>
          </w:tcPr>
          <w:p>
            <w:r/>
            <w:r>
              <w:rPr>
                <w:rFonts w:ascii="Arial" w:hAnsi="Arial"/>
                <w:sz w:val="20"/>
              </w:rPr>
              <w:t>Oficio del Concejo de Bello del 28-oct-2022 (exclusión del orden del día desde esa fecha)</w:t>
            </w:r>
          </w:p>
        </w:tc>
      </w:tr>
      <w:tr>
        <w:tc>
          <w:tcPr>
            <w:tcW w:type="dxa" w:w="3041"/>
          </w:tcPr>
          <w:p>
            <w:r/>
            <w:r>
              <w:rPr>
                <w:rFonts w:ascii="Arial" w:hAnsi="Arial"/>
                <w:sz w:val="20"/>
              </w:rPr>
              <w:t>Fin del período indemnizable</w:t>
            </w:r>
          </w:p>
        </w:tc>
        <w:tc>
          <w:tcPr>
            <w:tcW w:type="dxa" w:w="3041"/>
          </w:tcPr>
          <w:p>
            <w:r/>
            <w:r>
              <w:rPr>
                <w:rFonts w:ascii="Arial" w:hAnsi="Arial"/>
                <w:sz w:val="20"/>
              </w:rPr>
              <w:t>31 de diciembre de 2023</w:t>
            </w:r>
          </w:p>
        </w:tc>
        <w:tc>
          <w:tcPr>
            <w:tcW w:type="dxa" w:w="3041"/>
          </w:tcPr>
          <w:p>
            <w:r/>
            <w:r>
              <w:rPr>
                <w:rFonts w:ascii="Arial" w:hAnsi="Arial"/>
                <w:sz w:val="20"/>
              </w:rPr>
              <w:t>Expiración del período constitucional 2020-2023</w:t>
            </w:r>
          </w:p>
        </w:tc>
      </w:tr>
      <w:tr>
        <w:tc>
          <w:tcPr>
            <w:tcW w:type="dxa" w:w="3041"/>
          </w:tcPr>
          <w:p>
            <w:r/>
            <w:r>
              <w:rPr>
                <w:rFonts w:ascii="Arial" w:hAnsi="Arial"/>
                <w:sz w:val="20"/>
              </w:rPr>
              <w:t>Valor sesión 2022</w:t>
            </w:r>
          </w:p>
        </w:tc>
        <w:tc>
          <w:tcPr>
            <w:tcW w:type="dxa" w:w="3041"/>
          </w:tcPr>
          <w:p>
            <w:r/>
            <w:r>
              <w:rPr>
                <w:rFonts w:ascii="Arial" w:hAnsi="Arial"/>
                <w:sz w:val="20"/>
              </w:rPr>
              <w:t>$469.766</w:t>
            </w:r>
          </w:p>
        </w:tc>
        <w:tc>
          <w:tcPr>
            <w:tcW w:type="dxa" w:w="3041"/>
          </w:tcPr>
          <w:p>
            <w:r/>
            <w:r>
              <w:rPr>
                <w:rFonts w:ascii="Arial" w:hAnsi="Arial"/>
                <w:sz w:val="20"/>
              </w:rPr>
              <w:t>Certificación del Concejo, 04-feb-2026</w:t>
            </w:r>
          </w:p>
        </w:tc>
      </w:tr>
      <w:tr>
        <w:tc>
          <w:tcPr>
            <w:tcW w:type="dxa" w:w="3041"/>
          </w:tcPr>
          <w:p>
            <w:r/>
            <w:r>
              <w:rPr>
                <w:rFonts w:ascii="Arial" w:hAnsi="Arial"/>
                <w:sz w:val="20"/>
              </w:rPr>
              <w:t>Valor sesión 2023</w:t>
            </w:r>
          </w:p>
        </w:tc>
        <w:tc>
          <w:tcPr>
            <w:tcW w:type="dxa" w:w="3041"/>
          </w:tcPr>
          <w:p>
            <w:r/>
            <w:r>
              <w:rPr>
                <w:rFonts w:ascii="Arial" w:hAnsi="Arial"/>
                <w:sz w:val="20"/>
              </w:rPr>
              <w:t>$531.399</w:t>
            </w:r>
          </w:p>
        </w:tc>
        <w:tc>
          <w:tcPr>
            <w:tcW w:type="dxa" w:w="3041"/>
          </w:tcPr>
          <w:p>
            <w:r/>
            <w:r>
              <w:rPr>
                <w:rFonts w:ascii="Arial" w:hAnsi="Arial"/>
                <w:sz w:val="20"/>
              </w:rPr>
              <w:t>Certificación del Concejo, 04-feb-2026</w:t>
            </w:r>
          </w:p>
        </w:tc>
      </w:tr>
      <w:tr>
        <w:tc>
          <w:tcPr>
            <w:tcW w:type="dxa" w:w="3041"/>
          </w:tcPr>
          <w:p>
            <w:r/>
            <w:r>
              <w:rPr>
                <w:rFonts w:ascii="Arial" w:hAnsi="Arial"/>
                <w:sz w:val="20"/>
              </w:rPr>
              <w:t>Tope legal de sesiones remuneradas/año</w:t>
            </w:r>
          </w:p>
        </w:tc>
        <w:tc>
          <w:tcPr>
            <w:tcW w:type="dxa" w:w="3041"/>
          </w:tcPr>
          <w:p>
            <w:r/>
            <w:r>
              <w:rPr>
                <w:rFonts w:ascii="Arial" w:hAnsi="Arial"/>
                <w:sz w:val="20"/>
              </w:rPr>
              <w:t>180 (150 ordinarias + 30 extraordinarias)</w:t>
            </w:r>
          </w:p>
        </w:tc>
        <w:tc>
          <w:tcPr>
            <w:tcW w:type="dxa" w:w="3041"/>
          </w:tcPr>
          <w:p>
            <w:r/>
            <w:r>
              <w:rPr>
                <w:rFonts w:ascii="Arial" w:hAnsi="Arial"/>
                <w:sz w:val="20"/>
              </w:rPr>
              <w:t>Art. 66 Ley 136/1994, mod. Ley 1368/2009</w:t>
            </w:r>
          </w:p>
        </w:tc>
      </w:tr>
      <w:tr>
        <w:tc>
          <w:tcPr>
            <w:tcW w:type="dxa" w:w="3041"/>
          </w:tcPr>
          <w:p>
            <w:r/>
            <w:r>
              <w:rPr>
                <w:rFonts w:ascii="Arial" w:hAnsi="Arial"/>
                <w:sz w:val="20"/>
              </w:rPr>
              <w:t>Promedio mensual máximo de sesiones</w:t>
            </w:r>
          </w:p>
        </w:tc>
        <w:tc>
          <w:tcPr>
            <w:tcW w:type="dxa" w:w="3041"/>
          </w:tcPr>
          <w:p>
            <w:r/>
            <w:r>
              <w:rPr>
                <w:rFonts w:ascii="Arial" w:hAnsi="Arial"/>
                <w:sz w:val="20"/>
              </w:rPr>
              <w:t>15 (= 180 ÷ 12)</w:t>
            </w:r>
          </w:p>
        </w:tc>
        <w:tc>
          <w:tcPr>
            <w:tcW w:type="dxa" w:w="3041"/>
          </w:tcPr>
          <w:p>
            <w:r/>
            <w:r>
              <w:rPr>
                <w:rFonts w:ascii="Arial" w:hAnsi="Arial"/>
                <w:sz w:val="20"/>
              </w:rPr>
              <w:t>Derivado del tope legal</w:t>
            </w:r>
          </w:p>
        </w:tc>
      </w:tr>
      <w:tr>
        <w:tc>
          <w:tcPr>
            <w:tcW w:type="dxa" w:w="3041"/>
          </w:tcPr>
          <w:p>
            <w:r/>
            <w:r>
              <w:rPr>
                <w:rFonts w:ascii="Arial" w:hAnsi="Arial"/>
                <w:sz w:val="20"/>
              </w:rPr>
              <w:t>IPC inicial período 1 (oct-2022)</w:t>
            </w:r>
          </w:p>
        </w:tc>
        <w:tc>
          <w:tcPr>
            <w:tcW w:type="dxa" w:w="3041"/>
          </w:tcPr>
          <w:p>
            <w:r/>
            <w:r>
              <w:rPr>
                <w:rFonts w:ascii="Arial" w:hAnsi="Arial"/>
                <w:sz w:val="20"/>
              </w:rPr>
              <w:t>114,50</w:t>
            </w:r>
          </w:p>
        </w:tc>
        <w:tc>
          <w:tcPr>
            <w:tcW w:type="dxa" w:w="3041"/>
          </w:tcPr>
          <w:p>
            <w:r/>
            <w:r>
              <w:rPr>
                <w:rFonts w:ascii="Arial" w:hAnsi="Arial"/>
                <w:sz w:val="20"/>
              </w:rPr>
              <w:t>Serie IPC DANE (índice utilizado en la liquidación del trámite conciliatorio)</w:t>
            </w:r>
          </w:p>
        </w:tc>
      </w:tr>
      <w:tr>
        <w:tc>
          <w:tcPr>
            <w:tcW w:type="dxa" w:w="3041"/>
          </w:tcPr>
          <w:p>
            <w:r/>
            <w:r>
              <w:rPr>
                <w:rFonts w:ascii="Arial" w:hAnsi="Arial"/>
                <w:sz w:val="20"/>
              </w:rPr>
              <w:t>IPC inicial período 2 (promedio 2023)</w:t>
            </w:r>
          </w:p>
        </w:tc>
        <w:tc>
          <w:tcPr>
            <w:tcW w:type="dxa" w:w="3041"/>
          </w:tcPr>
          <w:p>
            <w:r/>
            <w:r>
              <w:rPr>
                <w:rFonts w:ascii="Arial" w:hAnsi="Arial"/>
                <w:sz w:val="20"/>
              </w:rPr>
              <w:t>128,27</w:t>
            </w:r>
          </w:p>
        </w:tc>
        <w:tc>
          <w:tcPr>
            <w:tcW w:type="dxa" w:w="3041"/>
          </w:tcPr>
          <w:p>
            <w:r/>
            <w:r>
              <w:rPr>
                <w:rFonts w:ascii="Arial" w:hAnsi="Arial"/>
                <w:sz w:val="20"/>
              </w:rPr>
              <w:t>Serie IPC DANE (ídem)</w:t>
            </w:r>
          </w:p>
        </w:tc>
      </w:tr>
      <w:tr>
        <w:tc>
          <w:tcPr>
            <w:tcW w:type="dxa" w:w="3041"/>
          </w:tcPr>
          <w:p>
            <w:r/>
            <w:r>
              <w:rPr>
                <w:rFonts w:ascii="Arial" w:hAnsi="Arial"/>
                <w:sz w:val="20"/>
              </w:rPr>
              <w:t>IPC final (a la fecha de la liquidación)</w:t>
            </w:r>
          </w:p>
        </w:tc>
        <w:tc>
          <w:tcPr>
            <w:tcW w:type="dxa" w:w="3041"/>
          </w:tcPr>
          <w:p>
            <w:r/>
            <w:r>
              <w:rPr>
                <w:rFonts w:ascii="Arial" w:hAnsi="Arial"/>
                <w:sz w:val="20"/>
              </w:rPr>
              <w:t>145,00</w:t>
            </w:r>
          </w:p>
        </w:tc>
        <w:tc>
          <w:tcPr>
            <w:tcW w:type="dxa" w:w="3041"/>
          </w:tcPr>
          <w:p>
            <w:r/>
            <w:r>
              <w:rPr>
                <w:rFonts w:ascii="Arial" w:hAnsi="Arial"/>
                <w:sz w:val="20"/>
              </w:rPr>
              <w:t>Serie IPC DANE (ídem) — actualizar al mes anterior a la radicación</w:t>
            </w:r>
          </w:p>
        </w:tc>
      </w:tr>
    </w:tbl>
    <w:p>
      <w:pPr>
        <w:spacing w:after="80"/>
      </w:pPr>
    </w:p>
    <w:p>
      <w:pPr>
        <w:spacing w:after="200"/>
        <w:jc w:val="left"/>
      </w:pPr>
      <w:r>
        <w:rPr>
          <w:b/>
          <w:i w:val="0"/>
          <w:sz w:val="24"/>
        </w:rPr>
        <w:t>4. METODOLOGÍA</w:t>
      </w:r>
    </w:p>
    <w:p>
      <w:pPr>
        <w:spacing w:after="160"/>
        <w:jc w:val="both"/>
      </w:pPr>
      <w:r>
        <w:rPr>
          <w:b w:val="0"/>
          <w:i w:val="0"/>
          <w:sz w:val="22"/>
        </w:rPr>
        <w:t>Paso 1 — Determinación del número de sesiones dejadas de percibir en cada período. A falta de la certificación del número exacto de sesiones realizadas y pagadas a los demás concejales (prueba por oficio solicitada en la demanda), se utiliza el criterio conservador del tope legal prorrateado: 180 sesiones anuales ÷ 12 meses = 15 sesiones/mes.</w:t>
      </w:r>
    </w:p>
    <w:p>
      <w:pPr>
        <w:spacing w:after="160"/>
        <w:jc w:val="both"/>
      </w:pPr>
      <w:r>
        <w:rPr>
          <w:b w:val="0"/>
          <w:i w:val="0"/>
          <w:sz w:val="22"/>
        </w:rPr>
        <w:t>Paso 2 — Cálculo del capital histórico de cada período: número de sesiones × valor certificado de la sesión de la respectiva vigencia (Rh).</w:t>
      </w:r>
    </w:p>
    <w:p>
      <w:pPr>
        <w:spacing w:after="160"/>
        <w:jc w:val="both"/>
      </w:pPr>
      <w:r>
        <w:rPr>
          <w:b w:val="0"/>
          <w:i w:val="0"/>
          <w:sz w:val="22"/>
        </w:rPr>
        <w:t>Paso 3 — Actualización monetaria de cada capital histórico con la variación del IPC certificado por el DANE, conforme al artículo 187 del CPACA y a la fórmula jurisprudencial: Ra = Rh × (IPC final ÷ IPC inicial).</w:t>
      </w:r>
    </w:p>
    <w:p>
      <w:pPr>
        <w:spacing w:after="160"/>
        <w:jc w:val="both"/>
      </w:pPr>
      <w:r>
        <w:rPr>
          <w:b w:val="0"/>
          <w:i w:val="0"/>
          <w:sz w:val="22"/>
        </w:rPr>
        <w:t>Paso 4 — Sumatoria de los valores actualizados de los dos períodos.</w:t>
      </w:r>
    </w:p>
    <w:p>
      <w:pPr>
        <w:spacing w:after="160"/>
        <w:jc w:val="both"/>
      </w:pPr>
      <w:r>
        <w:rPr>
          <w:b w:val="0"/>
          <w:i/>
          <w:sz w:val="22"/>
        </w:rPr>
        <w:t>Nota metodológica: no se aplican tasas de interés compuesto ni el interés civil del 6% anual (art. 2232 C.C.) sobre el capital, por tratarse de rubros distintos de la actualización monetaria; los intereses de que trata el artículo 192 del CPACA se causarán a partir de la ejecutoria de la sentencia condenatoria y no integran esta liquidación.</w:t>
      </w:r>
    </w:p>
    <w:p>
      <w:pPr>
        <w:spacing w:after="200"/>
        <w:jc w:val="left"/>
      </w:pPr>
      <w:r>
        <w:rPr>
          <w:b/>
          <w:i w:val="0"/>
          <w:sz w:val="24"/>
        </w:rPr>
        <w:t>5. LIQUIDACIÓN — PERÍODO 1: 29-oct-2022 a 31-dic-2022</w:t>
      </w:r>
    </w:p>
    <w:p>
      <w:pPr>
        <w:spacing w:after="160"/>
        <w:jc w:val="both"/>
      </w:pPr>
      <w:r>
        <w:rPr>
          <w:b w:val="0"/>
          <w:i w:val="0"/>
          <w:sz w:val="22"/>
        </w:rPr>
        <w:t>Duración: 64 días = 2,10 meses (64 ÷ 30,42). Sesiones estimadas: 15 sesiones/mes × 2,10 meses = 31,56 ≈ 32 sesiones.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
              <w:rPr>
                <w:rFonts w:ascii="Arial" w:hAnsi="Arial"/>
                <w:b/>
                <w:sz w:val="20"/>
              </w:rPr>
              <w:t>Concepto</w:t>
            </w:r>
          </w:p>
        </w:tc>
        <w:tc>
          <w:tcPr>
            <w:tcW w:type="dxa" w:w="3041"/>
          </w:tcPr>
          <w:p>
            <w:r/>
            <w:r>
              <w:rPr>
                <w:rFonts w:ascii="Arial" w:hAnsi="Arial"/>
                <w:b/>
                <w:sz w:val="20"/>
              </w:rPr>
              <w:t>Operación</w:t>
            </w:r>
          </w:p>
        </w:tc>
        <w:tc>
          <w:tcPr>
            <w:tcW w:type="dxa" w:w="3041"/>
          </w:tcPr>
          <w:p>
            <w:r/>
            <w:r>
              <w:rPr>
                <w:rFonts w:ascii="Arial" w:hAnsi="Arial"/>
                <w:b/>
                <w:sz w:val="20"/>
              </w:rPr>
              <w:t>Resultado</w:t>
            </w:r>
          </w:p>
        </w:tc>
      </w:tr>
      <w:tr>
        <w:tc>
          <w:tcPr>
            <w:tcW w:type="dxa" w:w="3041"/>
          </w:tcPr>
          <w:p>
            <w:r/>
            <w:r>
              <w:rPr>
                <w:rFonts w:ascii="Arial" w:hAnsi="Arial"/>
                <w:sz w:val="20"/>
              </w:rPr>
              <w:t>Sesiones estimadas</w:t>
            </w:r>
          </w:p>
        </w:tc>
        <w:tc>
          <w:tcPr>
            <w:tcW w:type="dxa" w:w="3041"/>
          </w:tcPr>
          <w:p>
            <w:r/>
            <w:r>
              <w:rPr>
                <w:rFonts w:ascii="Arial" w:hAnsi="Arial"/>
                <w:sz w:val="20"/>
              </w:rPr>
              <w:t>15 × (64 ÷ 30,42)</w:t>
            </w:r>
          </w:p>
        </w:tc>
        <w:tc>
          <w:tcPr>
            <w:tcW w:type="dxa" w:w="3041"/>
          </w:tcPr>
          <w:p>
            <w:r/>
            <w:r>
              <w:rPr>
                <w:rFonts w:ascii="Arial" w:hAnsi="Arial"/>
                <w:sz w:val="20"/>
              </w:rPr>
              <w:t>32</w:t>
            </w:r>
          </w:p>
        </w:tc>
      </w:tr>
      <w:tr>
        <w:tc>
          <w:tcPr>
            <w:tcW w:type="dxa" w:w="3041"/>
          </w:tcPr>
          <w:p>
            <w:r/>
            <w:r>
              <w:rPr>
                <w:rFonts w:ascii="Arial" w:hAnsi="Arial"/>
                <w:sz w:val="20"/>
              </w:rPr>
              <w:t>Capital histórico (Rh)</w:t>
            </w:r>
          </w:p>
        </w:tc>
        <w:tc>
          <w:tcPr>
            <w:tcW w:type="dxa" w:w="3041"/>
          </w:tcPr>
          <w:p>
            <w:r/>
            <w:r>
              <w:rPr>
                <w:rFonts w:ascii="Arial" w:hAnsi="Arial"/>
                <w:sz w:val="20"/>
              </w:rPr>
              <w:t>32 × $469.766</w:t>
            </w:r>
          </w:p>
        </w:tc>
        <w:tc>
          <w:tcPr>
            <w:tcW w:type="dxa" w:w="3041"/>
          </w:tcPr>
          <w:p>
            <w:r/>
            <w:r>
              <w:rPr>
                <w:rFonts w:ascii="Arial" w:hAnsi="Arial"/>
                <w:sz w:val="20"/>
              </w:rPr>
              <w:t>$15.032.512,00</w:t>
            </w:r>
          </w:p>
        </w:tc>
      </w:tr>
      <w:tr>
        <w:tc>
          <w:tcPr>
            <w:tcW w:type="dxa" w:w="3041"/>
          </w:tcPr>
          <w:p>
            <w:r/>
            <w:r>
              <w:rPr>
                <w:rFonts w:ascii="Arial" w:hAnsi="Arial"/>
                <w:sz w:val="20"/>
              </w:rPr>
              <w:t>Factor de actualización</w:t>
            </w:r>
          </w:p>
        </w:tc>
        <w:tc>
          <w:tcPr>
            <w:tcW w:type="dxa" w:w="3041"/>
          </w:tcPr>
          <w:p>
            <w:r/>
            <w:r>
              <w:rPr>
                <w:rFonts w:ascii="Arial" w:hAnsi="Arial"/>
                <w:sz w:val="20"/>
              </w:rPr>
              <w:t>145,00 ÷ 114,50</w:t>
            </w:r>
          </w:p>
        </w:tc>
        <w:tc>
          <w:tcPr>
            <w:tcW w:type="dxa" w:w="3041"/>
          </w:tcPr>
          <w:p>
            <w:r/>
            <w:r>
              <w:rPr>
                <w:rFonts w:ascii="Arial" w:hAnsi="Arial"/>
                <w:sz w:val="20"/>
              </w:rPr>
              <w:t>1,26638</w:t>
            </w:r>
          </w:p>
        </w:tc>
      </w:tr>
      <w:tr>
        <w:tc>
          <w:tcPr>
            <w:tcW w:type="dxa" w:w="3041"/>
          </w:tcPr>
          <w:p>
            <w:r/>
            <w:r>
              <w:rPr>
                <w:rFonts w:ascii="Arial" w:hAnsi="Arial"/>
                <w:sz w:val="20"/>
              </w:rPr>
              <w:t>Valor actualizado (Ra)</w:t>
            </w:r>
          </w:p>
        </w:tc>
        <w:tc>
          <w:tcPr>
            <w:tcW w:type="dxa" w:w="3041"/>
          </w:tcPr>
          <w:p>
            <w:r/>
            <w:r>
              <w:rPr>
                <w:rFonts w:ascii="Arial" w:hAnsi="Arial"/>
                <w:sz w:val="20"/>
              </w:rPr>
              <w:t>$15.032.512,00 × 1,26638</w:t>
            </w:r>
          </w:p>
        </w:tc>
        <w:tc>
          <w:tcPr>
            <w:tcW w:type="dxa" w:w="3041"/>
          </w:tcPr>
          <w:p>
            <w:r/>
            <w:r>
              <w:rPr>
                <w:rFonts w:ascii="Arial" w:hAnsi="Arial"/>
                <w:sz w:val="20"/>
              </w:rPr>
              <w:t>$19.036.805,59</w:t>
            </w:r>
          </w:p>
        </w:tc>
      </w:tr>
    </w:tbl>
    <w:p>
      <w:pPr>
        <w:spacing w:after="80"/>
      </w:pPr>
    </w:p>
    <w:p>
      <w:pPr>
        <w:spacing w:after="200"/>
        <w:jc w:val="left"/>
      </w:pPr>
      <w:r>
        <w:rPr>
          <w:b/>
          <w:i w:val="0"/>
          <w:sz w:val="24"/>
        </w:rPr>
        <w:t>6. LIQUIDACIÓN — PERÍODO 2: 01-ene-2023 a 31-dic-2023</w:t>
      </w:r>
    </w:p>
    <w:p>
      <w:pPr>
        <w:spacing w:after="160"/>
        <w:jc w:val="both"/>
      </w:pPr>
      <w:r>
        <w:rPr>
          <w:b w:val="0"/>
          <w:i w:val="0"/>
          <w:sz w:val="22"/>
        </w:rPr>
        <w:t>Duración: 12 meses (año completo). Sesiones estimadas: tope legal anual de 180 sesiones.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
              <w:rPr>
                <w:rFonts w:ascii="Arial" w:hAnsi="Arial"/>
                <w:b/>
                <w:sz w:val="20"/>
              </w:rPr>
              <w:t>Concepto</w:t>
            </w:r>
          </w:p>
        </w:tc>
        <w:tc>
          <w:tcPr>
            <w:tcW w:type="dxa" w:w="3041"/>
          </w:tcPr>
          <w:p>
            <w:r/>
            <w:r>
              <w:rPr>
                <w:rFonts w:ascii="Arial" w:hAnsi="Arial"/>
                <w:b/>
                <w:sz w:val="20"/>
              </w:rPr>
              <w:t>Operación</w:t>
            </w:r>
          </w:p>
        </w:tc>
        <w:tc>
          <w:tcPr>
            <w:tcW w:type="dxa" w:w="3041"/>
          </w:tcPr>
          <w:p>
            <w:r/>
            <w:r>
              <w:rPr>
                <w:rFonts w:ascii="Arial" w:hAnsi="Arial"/>
                <w:b/>
                <w:sz w:val="20"/>
              </w:rPr>
              <w:t>Resultado</w:t>
            </w:r>
          </w:p>
        </w:tc>
      </w:tr>
      <w:tr>
        <w:tc>
          <w:tcPr>
            <w:tcW w:type="dxa" w:w="3041"/>
          </w:tcPr>
          <w:p>
            <w:r/>
            <w:r>
              <w:rPr>
                <w:rFonts w:ascii="Arial" w:hAnsi="Arial"/>
                <w:sz w:val="20"/>
              </w:rPr>
              <w:t>Sesiones estimadas</w:t>
            </w:r>
          </w:p>
        </w:tc>
        <w:tc>
          <w:tcPr>
            <w:tcW w:type="dxa" w:w="3041"/>
          </w:tcPr>
          <w:p>
            <w:r/>
            <w:r>
              <w:rPr>
                <w:rFonts w:ascii="Arial" w:hAnsi="Arial"/>
                <w:sz w:val="20"/>
              </w:rPr>
              <w:t>150 ordinarias + 30 extraordinarias</w:t>
            </w:r>
          </w:p>
        </w:tc>
        <w:tc>
          <w:tcPr>
            <w:tcW w:type="dxa" w:w="3041"/>
          </w:tcPr>
          <w:p>
            <w:r/>
            <w:r>
              <w:rPr>
                <w:rFonts w:ascii="Arial" w:hAnsi="Arial"/>
                <w:sz w:val="20"/>
              </w:rPr>
              <w:t>180</w:t>
            </w:r>
          </w:p>
        </w:tc>
      </w:tr>
      <w:tr>
        <w:tc>
          <w:tcPr>
            <w:tcW w:type="dxa" w:w="3041"/>
          </w:tcPr>
          <w:p>
            <w:r/>
            <w:r>
              <w:rPr>
                <w:rFonts w:ascii="Arial" w:hAnsi="Arial"/>
                <w:sz w:val="20"/>
              </w:rPr>
              <w:t>Capital histórico (Rh)</w:t>
            </w:r>
          </w:p>
        </w:tc>
        <w:tc>
          <w:tcPr>
            <w:tcW w:type="dxa" w:w="3041"/>
          </w:tcPr>
          <w:p>
            <w:r/>
            <w:r>
              <w:rPr>
                <w:rFonts w:ascii="Arial" w:hAnsi="Arial"/>
                <w:sz w:val="20"/>
              </w:rPr>
              <w:t>180 × $531.399</w:t>
            </w:r>
          </w:p>
        </w:tc>
        <w:tc>
          <w:tcPr>
            <w:tcW w:type="dxa" w:w="3041"/>
          </w:tcPr>
          <w:p>
            <w:r/>
            <w:r>
              <w:rPr>
                <w:rFonts w:ascii="Arial" w:hAnsi="Arial"/>
                <w:sz w:val="20"/>
              </w:rPr>
              <w:t>$95.651.820,00</w:t>
            </w:r>
          </w:p>
        </w:tc>
      </w:tr>
      <w:tr>
        <w:tc>
          <w:tcPr>
            <w:tcW w:type="dxa" w:w="3041"/>
          </w:tcPr>
          <w:p>
            <w:r/>
            <w:r>
              <w:rPr>
                <w:rFonts w:ascii="Arial" w:hAnsi="Arial"/>
                <w:sz w:val="20"/>
              </w:rPr>
              <w:t>Factor de actualización</w:t>
            </w:r>
          </w:p>
        </w:tc>
        <w:tc>
          <w:tcPr>
            <w:tcW w:type="dxa" w:w="3041"/>
          </w:tcPr>
          <w:p>
            <w:r/>
            <w:r>
              <w:rPr>
                <w:rFonts w:ascii="Arial" w:hAnsi="Arial"/>
                <w:sz w:val="20"/>
              </w:rPr>
              <w:t>145,00 ÷ 128,27</w:t>
            </w:r>
          </w:p>
        </w:tc>
        <w:tc>
          <w:tcPr>
            <w:tcW w:type="dxa" w:w="3041"/>
          </w:tcPr>
          <w:p>
            <w:r/>
            <w:r>
              <w:rPr>
                <w:rFonts w:ascii="Arial" w:hAnsi="Arial"/>
                <w:sz w:val="20"/>
              </w:rPr>
              <w:t>1,13043</w:t>
            </w:r>
          </w:p>
        </w:tc>
      </w:tr>
      <w:tr>
        <w:tc>
          <w:tcPr>
            <w:tcW w:type="dxa" w:w="3041"/>
          </w:tcPr>
          <w:p>
            <w:r/>
            <w:r>
              <w:rPr>
                <w:rFonts w:ascii="Arial" w:hAnsi="Arial"/>
                <w:sz w:val="20"/>
              </w:rPr>
              <w:t>Valor actualizado (Ra)</w:t>
            </w:r>
          </w:p>
        </w:tc>
        <w:tc>
          <w:tcPr>
            <w:tcW w:type="dxa" w:w="3041"/>
          </w:tcPr>
          <w:p>
            <w:r/>
            <w:r>
              <w:rPr>
                <w:rFonts w:ascii="Arial" w:hAnsi="Arial"/>
                <w:sz w:val="20"/>
              </w:rPr>
              <w:t>$95.651.820,00 × 1,13043</w:t>
            </w:r>
          </w:p>
        </w:tc>
        <w:tc>
          <w:tcPr>
            <w:tcW w:type="dxa" w:w="3041"/>
          </w:tcPr>
          <w:p>
            <w:r/>
            <w:r>
              <w:rPr>
                <w:rFonts w:ascii="Arial" w:hAnsi="Arial"/>
                <w:sz w:val="20"/>
              </w:rPr>
              <w:t>$108.127.495,91</w:t>
            </w:r>
          </w:p>
        </w:tc>
      </w:tr>
    </w:tbl>
    <w:p>
      <w:pPr>
        <w:spacing w:after="80"/>
      </w:pPr>
    </w:p>
    <w:p>
      <w:pPr>
        <w:spacing w:after="200"/>
        <w:jc w:val="left"/>
      </w:pPr>
      <w:r>
        <w:rPr>
          <w:b/>
          <w:i w:val="0"/>
          <w:sz w:val="24"/>
        </w:rPr>
        <w:t>7. RESUMEN DE LA LIQUIDACIÓN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r/>
            <w:r>
              <w:rPr>
                <w:rFonts w:ascii="Arial" w:hAnsi="Arial"/>
                <w:b/>
                <w:sz w:val="20"/>
              </w:rPr>
              <w:t>Período</w:t>
            </w:r>
          </w:p>
        </w:tc>
        <w:tc>
          <w:tcPr>
            <w:tcW w:type="dxa" w:w="2280"/>
          </w:tcPr>
          <w:p>
            <w:r/>
            <w:r>
              <w:rPr>
                <w:rFonts w:ascii="Arial" w:hAnsi="Arial"/>
                <w:b/>
                <w:sz w:val="20"/>
              </w:rPr>
              <w:t>Sesiones</w:t>
            </w:r>
          </w:p>
        </w:tc>
        <w:tc>
          <w:tcPr>
            <w:tcW w:type="dxa" w:w="2280"/>
          </w:tcPr>
          <w:p>
            <w:r/>
            <w:r>
              <w:rPr>
                <w:rFonts w:ascii="Arial" w:hAnsi="Arial"/>
                <w:b/>
                <w:sz w:val="20"/>
              </w:rPr>
              <w:t>Capital histórico</w:t>
            </w:r>
          </w:p>
        </w:tc>
        <w:tc>
          <w:tcPr>
            <w:tcW w:type="dxa" w:w="2280"/>
          </w:tcPr>
          <w:p>
            <w:r/>
            <w:r>
              <w:rPr>
                <w:rFonts w:ascii="Arial" w:hAnsi="Arial"/>
                <w:b/>
                <w:sz w:val="20"/>
              </w:rPr>
              <w:t>Valor actualizado</w:t>
            </w:r>
          </w:p>
        </w:tc>
      </w:tr>
      <w:tr>
        <w:tc>
          <w:tcPr>
            <w:tcW w:type="dxa" w:w="2280"/>
          </w:tcPr>
          <w:p>
            <w:r/>
            <w:r>
              <w:rPr>
                <w:rFonts w:ascii="Arial" w:hAnsi="Arial"/>
                <w:sz w:val="20"/>
              </w:rPr>
              <w:t>29-oct-2022 a 31-dic-2022</w:t>
            </w:r>
          </w:p>
        </w:tc>
        <w:tc>
          <w:tcPr>
            <w:tcW w:type="dxa" w:w="2280"/>
          </w:tcPr>
          <w:p>
            <w:r/>
            <w:r>
              <w:rPr>
                <w:rFonts w:ascii="Arial" w:hAnsi="Arial"/>
                <w:sz w:val="20"/>
              </w:rPr>
              <w:t>32</w:t>
            </w:r>
          </w:p>
        </w:tc>
        <w:tc>
          <w:tcPr>
            <w:tcW w:type="dxa" w:w="2280"/>
          </w:tcPr>
          <w:p>
            <w:r/>
            <w:r>
              <w:rPr>
                <w:rFonts w:ascii="Arial" w:hAnsi="Arial"/>
                <w:sz w:val="20"/>
              </w:rPr>
              <w:t>$15.032.512,00</w:t>
            </w:r>
          </w:p>
        </w:tc>
        <w:tc>
          <w:tcPr>
            <w:tcW w:type="dxa" w:w="2280"/>
          </w:tcPr>
          <w:p>
            <w:r/>
            <w:r>
              <w:rPr>
                <w:rFonts w:ascii="Arial" w:hAnsi="Arial"/>
                <w:sz w:val="20"/>
              </w:rPr>
              <w:t>$19.036.805,59</w:t>
            </w:r>
          </w:p>
        </w:tc>
      </w:tr>
      <w:tr>
        <w:tc>
          <w:tcPr>
            <w:tcW w:type="dxa" w:w="2280"/>
          </w:tcPr>
          <w:p>
            <w:r/>
            <w:r>
              <w:rPr>
                <w:rFonts w:ascii="Arial" w:hAnsi="Arial"/>
                <w:sz w:val="20"/>
              </w:rPr>
              <w:t>01-ene-2023 a 31-dic-2023</w:t>
            </w:r>
          </w:p>
        </w:tc>
        <w:tc>
          <w:tcPr>
            <w:tcW w:type="dxa" w:w="2280"/>
          </w:tcPr>
          <w:p>
            <w:r/>
            <w:r>
              <w:rPr>
                <w:rFonts w:ascii="Arial" w:hAnsi="Arial"/>
                <w:sz w:val="20"/>
              </w:rPr>
              <w:t>180</w:t>
            </w:r>
          </w:p>
        </w:tc>
        <w:tc>
          <w:tcPr>
            <w:tcW w:type="dxa" w:w="2280"/>
          </w:tcPr>
          <w:p>
            <w:r/>
            <w:r>
              <w:rPr>
                <w:rFonts w:ascii="Arial" w:hAnsi="Arial"/>
                <w:sz w:val="20"/>
              </w:rPr>
              <w:t>$95.651.820,00</w:t>
            </w:r>
          </w:p>
        </w:tc>
        <w:tc>
          <w:tcPr>
            <w:tcW w:type="dxa" w:w="2280"/>
          </w:tcPr>
          <w:p>
            <w:r/>
            <w:r>
              <w:rPr>
                <w:rFonts w:ascii="Arial" w:hAnsi="Arial"/>
                <w:sz w:val="20"/>
              </w:rPr>
              <w:t>$108.127.495,91</w:t>
            </w:r>
          </w:p>
        </w:tc>
      </w:tr>
      <w:tr>
        <w:tc>
          <w:tcPr>
            <w:tcW w:type="dxa" w:w="2280"/>
          </w:tcPr>
          <w:p>
            <w:r/>
            <w:r>
              <w:rPr>
                <w:rFonts w:ascii="Arial" w:hAnsi="Arial"/>
                <w:sz w:val="20"/>
              </w:rPr>
              <w:t>TOTAL LUCRO CESANTE CONSOLIDADO</w:t>
            </w:r>
          </w:p>
        </w:tc>
        <w:tc>
          <w:tcPr>
            <w:tcW w:type="dxa" w:w="2280"/>
          </w:tcPr>
          <w:p>
            <w:r/>
            <w:r>
              <w:rPr>
                <w:rFonts w:ascii="Arial" w:hAnsi="Arial"/>
                <w:sz w:val="20"/>
              </w:rPr>
              <w:t>212</w:t>
            </w:r>
          </w:p>
        </w:tc>
        <w:tc>
          <w:tcPr>
            <w:tcW w:type="dxa" w:w="2280"/>
          </w:tcPr>
          <w:p>
            <w:r/>
            <w:r>
              <w:rPr>
                <w:rFonts w:ascii="Arial" w:hAnsi="Arial"/>
                <w:sz w:val="20"/>
              </w:rPr>
              <w:t>$110.684.332,00</w:t>
            </w:r>
          </w:p>
        </w:tc>
        <w:tc>
          <w:tcPr>
            <w:tcW w:type="dxa" w:w="2280"/>
          </w:tcPr>
          <w:p>
            <w:r/>
            <w:r>
              <w:rPr>
                <w:rFonts w:ascii="Arial" w:hAnsi="Arial"/>
                <w:sz w:val="20"/>
              </w:rPr>
              <w:t>$127.164.301,50</w:t>
            </w:r>
          </w:p>
        </w:tc>
      </w:tr>
    </w:tbl>
    <w:p>
      <w:pPr>
        <w:spacing w:after="80"/>
      </w:pPr>
    </w:p>
    <w:p>
      <w:pPr>
        <w:spacing w:after="160"/>
        <w:jc w:val="both"/>
      </w:pPr>
      <w:r>
        <w:rPr>
          <w:b/>
          <w:i w:val="0"/>
          <w:sz w:val="22"/>
        </w:rPr>
        <w:t>El lucro cesante consolidado asciende a CIENTO VEINTISIETE MILLONES CIENTO SESENTA Y CUATRO MIL TRESCIENTOS UN PESOS CON CINCUENTA CENTAVOS ($127.164.301,50), a valores actualizados a la fecha de esta liquidación.</w:t>
      </w:r>
    </w:p>
    <w:p>
      <w:pPr>
        <w:spacing w:after="200"/>
        <w:jc w:val="left"/>
      </w:pPr>
      <w:r>
        <w:rPr>
          <w:b/>
          <w:i w:val="0"/>
          <w:sz w:val="24"/>
        </w:rPr>
        <w:t>8. NOTAS, SUPUESTOS Y REGLAS DE AJUSTE</w:t>
      </w:r>
    </w:p>
    <w:p>
      <w:pPr>
        <w:spacing w:after="160"/>
        <w:jc w:val="both"/>
      </w:pPr>
      <w:r>
        <w:rPr>
          <w:b w:val="0"/>
          <w:i w:val="0"/>
          <w:sz w:val="22"/>
        </w:rPr>
        <w:t>8.1. Ajuste por prueba del número real de sesiones: el número de sesiones es una estimación conservadora sobre el tope legal. La cifra definitiva deberá ajustarse — al alza o a la baja — al número de sesiones ordinarias y extraordinarias efectivamente realizadas y pagadas a los demás concejales de Bello entre el 29 de octubre de 2022 y el 31 de diciembre de 2023, conforme a la certificación de la Secretaría General del Concejo solicitada como prueba por oficio.</w:t>
      </w:r>
    </w:p>
    <w:p>
      <w:pPr>
        <w:spacing w:after="160"/>
        <w:jc w:val="both"/>
      </w:pPr>
      <w:r>
        <w:rPr>
          <w:b w:val="0"/>
          <w:i w:val="0"/>
          <w:sz w:val="22"/>
        </w:rPr>
        <w:t>8.2. Fecha de corte de la actualización: los factores IPC deben re-expresarse con el último índice certificado por el DANE disponible al momento de la radicación y, en la sentencia, a la fecha del fallo (art. 187 CPACA).</w:t>
      </w:r>
    </w:p>
    <w:p>
      <w:pPr>
        <w:spacing w:after="160"/>
        <w:jc w:val="both"/>
      </w:pPr>
      <w:r>
        <w:rPr>
          <w:b w:val="0"/>
          <w:i w:val="0"/>
          <w:sz w:val="22"/>
        </w:rPr>
        <w:t>8.3. Fecha inicial: se adopta el 29 de octubre de 2022 por ser el día siguiente a la exclusión material del orden del día (oficio del 28-oct-2022). Si la certificación del Concejo acredita el pago de sesiones posteriores a esa fecha, el período se ajustará desde la última sesión efectivamente pagada. La formalización de la separación de la curul (24 de enero de 2023) no desplaza el inicio del perjuicio, pues la cesación de ingresos fue anterior y consta documentalmente.</w:t>
      </w:r>
    </w:p>
    <w:p>
      <w:pPr>
        <w:spacing w:after="160"/>
        <w:jc w:val="both"/>
      </w:pPr>
      <w:r>
        <w:rPr>
          <w:b w:val="0"/>
          <w:i w:val="0"/>
          <w:sz w:val="22"/>
        </w:rPr>
        <w:t>8.4. Rubros excluidos: esta liquidación no incluye (i) el daño emergente (liquidado por separado: $45.000.000); (ii) los perjuicios inmateriales (estimados en SMLMV conforme a la unificación del 28 de agosto de 2014); (iii) los intereses del art. 192 CPACA, que corren desde la ejecutoria de la sentencia; ni (iv) aportes a seguridad social asociados a los honorarios, que podrán acreditarse y reclamarse conforme a lo probado.</w:t>
      </w:r>
    </w:p>
    <w:p>
      <w:pPr>
        <w:spacing w:after="160"/>
        <w:jc w:val="both"/>
      </w:pPr>
      <w:r>
        <w:rPr>
          <w:b w:val="0"/>
          <w:i w:val="0"/>
          <w:sz w:val="22"/>
        </w:rPr>
        <w:t>8.5. Los honorarios de concejal constituyen renta cierta y periódica cuya pérdida es consecuencia directa de la separación del cargo; su carácter indemnizable no depende de que el reemplazo designado los haya percibido (no opera la compensatio lucri cum damno respecto de terceros).</w:t>
      </w:r>
    </w:p>
    <w:p/>
    <w:p/>
    <w:p>
      <w:pPr>
        <w:spacing w:after="0"/>
        <w:jc w:val="left"/>
      </w:pPr>
      <w:r>
        <w:rPr>
          <w:b w:val="0"/>
          <w:i w:val="0"/>
          <w:sz w:val="22"/>
        </w:rPr>
        <w:t>________________________________________</w:t>
      </w:r>
    </w:p>
    <w:p>
      <w:pPr>
        <w:spacing w:after="0"/>
        <w:jc w:val="left"/>
      </w:pPr>
      <w:r>
        <w:rPr>
          <w:b/>
          <w:i w:val="0"/>
          <w:sz w:val="22"/>
        </w:rPr>
        <w:t>ANA PATRICIA OCHOA PELÁEZ</w:t>
      </w:r>
    </w:p>
    <w:p>
      <w:pPr>
        <w:spacing w:after="160"/>
        <w:jc w:val="left"/>
      </w:pPr>
      <w:r>
        <w:rPr>
          <w:b w:val="0"/>
          <w:i w:val="0"/>
          <w:sz w:val="22"/>
        </w:rPr>
        <w:t>T.P. 367.180 del C.S. de la J. — Apoderada judicial principal</w:t>
      </w:r>
    </w:p>
    <w:p/>
    <w:p>
      <w:pPr>
        <w:spacing w:after="0"/>
        <w:jc w:val="left"/>
      </w:pPr>
      <w:r>
        <w:rPr>
          <w:b w:val="0"/>
          <w:i w:val="0"/>
          <w:sz w:val="22"/>
        </w:rPr>
        <w:t>________________________________________</w:t>
      </w:r>
    </w:p>
    <w:p>
      <w:pPr>
        <w:spacing w:after="0"/>
        <w:jc w:val="left"/>
      </w:pPr>
      <w:r>
        <w:rPr>
          <w:b/>
          <w:i w:val="0"/>
          <w:sz w:val="22"/>
        </w:rPr>
        <w:t>JORGE ÁNGEL CORTÉS CARTAGENA</w:t>
      </w:r>
    </w:p>
    <w:p>
      <w:pPr>
        <w:spacing w:after="160"/>
        <w:jc w:val="left"/>
      </w:pPr>
      <w:r>
        <w:rPr>
          <w:b w:val="0"/>
          <w:i w:val="0"/>
          <w:sz w:val="22"/>
        </w:rPr>
        <w:t>T.P. 365.594 del C.S. de la J. — Apoderado suplente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