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b w:val="0"/>
          <w:sz w:val="22"/>
        </w:rPr>
        <w:t>Medellín, julio de 2026</w:t>
      </w:r>
    </w:p>
    <w:p>
      <w:pPr>
        <w:spacing w:after="0"/>
        <w:jc w:val="left"/>
      </w:pPr>
      <w:r>
        <w:rPr>
          <w:b/>
          <w:sz w:val="22"/>
        </w:rPr>
        <w:t>SEÑOR(A)</w:t>
      </w:r>
    </w:p>
    <w:p>
      <w:pPr>
        <w:spacing w:after="0"/>
        <w:jc w:val="left"/>
      </w:pPr>
      <w:r>
        <w:rPr>
          <w:b/>
          <w:sz w:val="22"/>
        </w:rPr>
        <w:t>JUEZ ADMINISTRATIVO DEL CIRCUITO DE MEDELLÍN (REPARTO)</w:t>
      </w:r>
    </w:p>
    <w:p>
      <w:pPr>
        <w:spacing w:after="160"/>
        <w:jc w:val="left"/>
      </w:pPr>
      <w:r>
        <w:rPr>
          <w:b/>
          <w:sz w:val="22"/>
        </w:rPr>
        <w:t>E. S. D.</w:t>
      </w:r>
    </w:p>
    <w:p>
      <w:pPr>
        <w:jc w:val="both"/>
      </w:pPr>
      <w:r>
        <w:rPr>
          <w:b/>
        </w:rPr>
        <w:t xml:space="preserve">REFERENCIA: </w:t>
      </w:r>
      <w:r>
        <w:rPr>
          <w:b w:val="0"/>
        </w:rPr>
        <w:t>Demanda en ejercicio del medio de control de REPARACIÓN DIRECTA (artículo 140 de la Ley 1437 de 2011 — CPACA), por ERROR JURISDICCIONAL (artículos 65, 66 y 67 de la Ley 270 de 1996).</w:t>
      </w:r>
    </w:p>
    <w:p>
      <w:pPr>
        <w:jc w:val="both"/>
      </w:pPr>
      <w:r>
        <w:rPr>
          <w:b/>
        </w:rPr>
        <w:t xml:space="preserve">DEMANDANTES: </w:t>
      </w:r>
      <w:r>
        <w:rPr>
          <w:b w:val="0"/>
        </w:rPr>
        <w:t>Óscar Darío Arias Agudelo, Doris Elena Restrepo Giraldo, María Mercedes Agudelo Ospina, Chris Alvin Arias Restrepo, Luz Mery Arias Agudelo y Nubia Ledy Arias Agudelo.</w:t>
      </w:r>
    </w:p>
    <w:p>
      <w:pPr>
        <w:jc w:val="both"/>
      </w:pPr>
      <w:r>
        <w:rPr>
          <w:b/>
        </w:rPr>
        <w:t xml:space="preserve">DEMANDADAS: </w:t>
      </w:r>
      <w:r>
        <w:rPr>
          <w:b w:val="0"/>
        </w:rPr>
        <w:t>La Nación – Rama Judicial (Dirección Ejecutiva de Administración Judicial), con vinculación del Consejo de Estado – Sección Primera y del Tribunal Administrativo de Antioquia; y el Municipio de Bello – Concejo Municipal de Bello.</w:t>
      </w:r>
    </w:p>
    <w:p>
      <w:pPr>
        <w:jc w:val="both"/>
      </w:pPr>
      <w:r>
        <w:rPr>
          <w:b/>
        </w:rPr>
        <w:t xml:space="preserve">ENTIDAD CITADA: </w:t>
      </w:r>
      <w:r>
        <w:rPr>
          <w:b w:val="0"/>
        </w:rPr>
        <w:t>Agencia Nacional de Defensa Jurídica del Estado (artículo 610 del Código General del Proceso y Decreto Ley 4085 de 2011).</w:t>
      </w:r>
    </w:p>
    <w:p>
      <w:pPr>
        <w:jc w:val="both"/>
      </w:pPr>
      <w:r>
        <w:rPr>
          <w:b/>
        </w:rPr>
        <w:t xml:space="preserve">CUANTÍA (art. 157 CPACA): </w:t>
      </w:r>
      <w:r>
        <w:rPr>
          <w:b w:val="0"/>
        </w:rPr>
        <w:t>Para efectos de competencia, la cuantía se estima en CIENTO SETENTA Y DOS MILLONES CIENTO SESENTA Y CUATRO MIL TRESCIENTOS UN PESOS CON CINCUENTA CENTAVOS ($172.164.301,50), correspondiente a los perjuicios materiales reclamados por la víctima directa (pretensión mayor), sin computar los perjuicios inmateriales, conforme al artículo 157 del CPACA. El valor total de las pretensiones asciende a OCHOCIENTOS DOS MILLONES SETECIENTOS SESENTA Y CUATRO MIL TRESCIENTOS UN PESOS CON CINCUENTA CENTAVOS ($802.764.301,50).</w:t>
      </w:r>
    </w:p>
    <w:p>
      <w:pPr>
        <w:spacing w:after="160"/>
        <w:jc w:val="both"/>
      </w:pPr>
      <w:r>
        <w:rPr>
          <w:b w:val="0"/>
          <w:sz w:val="22"/>
        </w:rPr>
        <w:t>Nosotros, ANA PATRICIA OCHOA PELÁEZ, mayor de edad, domiciliada en el municipio de Bello, Antioquia, identificada con cédula de ciudadanía número 43.439.471 de Bello, portadora de la Tarjeta Profesional número 367.180 del Consejo Superior de la Judicatura, en calidad de apoderada judicial principal, y JORGE ÁNGEL CORTÉS CARTAGENA, identificado con cédula de ciudadanía número 98.624.171 de Itagüí, portador de la Tarjeta Profesional número 365.594 del Consejo Superior de la Judicatura, en calidad de apoderado suplente, obrando en nombre y representación de ÓSCAR DARÍO ARIAS AGUDELO y de su núcleo familiar, conforme a los poderes especiales que se anexan, respetuosamente presentamos DEMANDA en ejercicio del medio de control de REPARACIÓN DIRECTA contra las entidades arriba señaladas, con fundamento en los hechos, pretensiones y fundamentos de derecho que siguen.</w:t>
      </w:r>
    </w:p>
    <w:p>
      <w:pPr>
        <w:spacing w:after="200"/>
        <w:jc w:val="left"/>
      </w:pPr>
      <w:r>
        <w:rPr>
          <w:b/>
          <w:sz w:val="24"/>
        </w:rPr>
        <w:t>I. PARTES E INTERVINIENTES</w:t>
      </w:r>
    </w:p>
    <w:p>
      <w:pPr>
        <w:spacing w:after="80"/>
        <w:jc w:val="left"/>
      </w:pPr>
      <w:r>
        <w:rPr>
          <w:b/>
          <w:sz w:val="22"/>
        </w:rPr>
        <w:t>1. Parte demandante:</w:t>
      </w:r>
    </w:p>
    <w:p>
      <w:pPr>
        <w:spacing w:after="160"/>
        <w:jc w:val="both"/>
      </w:pPr>
      <w:r>
        <w:rPr>
          <w:b w:val="0"/>
          <w:sz w:val="22"/>
        </w:rPr>
        <w:t>1.1. Óscar Darío Arias Agudelo, C.C. 98.491.692 de Bello, víctima directa del daño antijurídico.</w:t>
      </w:r>
    </w:p>
    <w:p>
      <w:pPr>
        <w:spacing w:after="160"/>
        <w:jc w:val="both"/>
      </w:pPr>
      <w:r>
        <w:rPr>
          <w:b w:val="0"/>
          <w:sz w:val="22"/>
        </w:rPr>
        <w:t>1.2. Doris Elena Restrepo Giraldo, C.C. 43.678.004 de Bello, cónyuge de la víctima directa.</w:t>
      </w:r>
    </w:p>
    <w:p>
      <w:pPr>
        <w:spacing w:after="160"/>
        <w:jc w:val="both"/>
      </w:pPr>
      <w:r>
        <w:rPr>
          <w:b w:val="0"/>
          <w:sz w:val="22"/>
        </w:rPr>
        <w:t>1.3. María Mercedes Agudelo Ospina, C.C. 22.224.840 de Yolombó, madre de la víctima directa.</w:t>
      </w:r>
    </w:p>
    <w:p>
      <w:pPr>
        <w:spacing w:after="160"/>
        <w:jc w:val="both"/>
      </w:pPr>
      <w:r>
        <w:rPr>
          <w:b w:val="0"/>
          <w:sz w:val="22"/>
        </w:rPr>
        <w:t>1.4. Chris Alvin Arias Restrepo, C.C. 1.006.968.992 de Bello, hijo de la víctima directa.</w:t>
      </w:r>
    </w:p>
    <w:p>
      <w:pPr>
        <w:spacing w:after="160"/>
        <w:jc w:val="both"/>
      </w:pPr>
      <w:r>
        <w:rPr>
          <w:b w:val="0"/>
          <w:sz w:val="22"/>
        </w:rPr>
        <w:t>1.5. Luz Mery Arias Agudelo, C.C. 43.430.386 de Bello, hermana de la víctima directa.</w:t>
      </w:r>
    </w:p>
    <w:p>
      <w:pPr>
        <w:spacing w:after="160"/>
        <w:jc w:val="both"/>
      </w:pPr>
      <w:r>
        <w:rPr>
          <w:b w:val="0"/>
          <w:sz w:val="22"/>
        </w:rPr>
        <w:t>1.6. Nubia Ledy Arias Agudelo, C.C. 43.666.537 de Bello, hermana de la víctima directa.</w:t>
      </w:r>
    </w:p>
    <w:p>
      <w:pPr>
        <w:spacing w:after="160"/>
        <w:jc w:val="both"/>
      </w:pPr>
      <w:r>
        <w:rPr>
          <w:b w:val="0"/>
          <w:sz w:val="22"/>
        </w:rPr>
        <w:t>Los vínculos de parentesco y conyugal se acreditan con los registros civiles de nacimiento y de matrimonio que se anexan.</w:t>
      </w:r>
    </w:p>
    <w:p>
      <w:pPr>
        <w:spacing w:after="80"/>
        <w:jc w:val="left"/>
      </w:pPr>
      <w:r>
        <w:rPr>
          <w:b/>
          <w:sz w:val="22"/>
        </w:rPr>
        <w:t>2. Parte demandada:</w:t>
      </w:r>
    </w:p>
    <w:p>
      <w:pPr>
        <w:spacing w:after="160"/>
        <w:jc w:val="both"/>
      </w:pPr>
      <w:r>
        <w:rPr>
          <w:b w:val="0"/>
          <w:sz w:val="22"/>
        </w:rPr>
        <w:t>2.1. La Nación – Rama Judicial, representada por el Director Ejecutivo de Administración Judicial (artículo 99, numeral 8, de la Ley 270 de 1996), con vinculación de las corporaciones judiciales que profirieron las providencias relacionadas con los hechos: el Consejo de Estado – Sección Primera y el Tribunal Administrativo de Antioquia, las cuales carecen de personería jurídica propia y comparecen por conducto de la Nación – Rama Judicial.</w:t>
      </w:r>
    </w:p>
    <w:p>
      <w:pPr>
        <w:spacing w:after="160"/>
        <w:jc w:val="both"/>
      </w:pPr>
      <w:r>
        <w:rPr>
          <w:b w:val="0"/>
          <w:sz w:val="22"/>
        </w:rPr>
        <w:t>2.2. El Municipio de Bello – Concejo Municipal de Bello, corporación administrativa convocada al trámite conciliatorio previo, que comparecerá por conducto de su Presidente y, en cuanto la representación del Municipio como persona jurídica corresponda al Alcalde Municipal (artículo 315 de la Constitución Política), por conducto de este.</w:t>
      </w:r>
    </w:p>
    <w:p>
      <w:pPr>
        <w:spacing w:after="80"/>
        <w:jc w:val="left"/>
      </w:pPr>
      <w:r>
        <w:rPr>
          <w:b/>
          <w:sz w:val="22"/>
        </w:rPr>
        <w:t>3. Entidad citada:</w:t>
      </w:r>
    </w:p>
    <w:p>
      <w:pPr>
        <w:spacing w:after="160"/>
        <w:jc w:val="both"/>
      </w:pPr>
      <w:r>
        <w:rPr>
          <w:b w:val="0"/>
          <w:sz w:val="22"/>
        </w:rPr>
        <w:t>Se solicita comunicar la existencia de este proceso a la Agencia Nacional de Defensa Jurídica del Estado, para los fines de su intervención facultativa (artículo 610 del Código General del Proceso; Decreto Ley 4085 de 2011).</w:t>
      </w:r>
    </w:p>
    <w:p>
      <w:pPr>
        <w:spacing w:after="200"/>
        <w:jc w:val="left"/>
      </w:pPr>
      <w:r>
        <w:rPr>
          <w:b/>
          <w:sz w:val="24"/>
        </w:rPr>
        <w:t>II. PRETENSIONES</w:t>
      </w:r>
    </w:p>
    <w:p>
      <w:pPr>
        <w:spacing w:after="80"/>
        <w:jc w:val="left"/>
      </w:pPr>
      <w:r>
        <w:rPr>
          <w:b/>
          <w:sz w:val="22"/>
        </w:rPr>
        <w:t>PRIMERA — Declarativa de responsabilidad.</w:t>
      </w:r>
    </w:p>
    <w:p>
      <w:pPr>
        <w:spacing w:after="160"/>
        <w:jc w:val="both"/>
      </w:pPr>
      <w:r>
        <w:rPr>
          <w:b w:val="0"/>
          <w:sz w:val="22"/>
        </w:rPr>
        <w:t>Que se declare patrimonial y administrativamente responsable a LA NACIÓN – RAMA JUDICIAL y, en cuanto se acredite su participación en la producción o prolongación del daño, al MUNICIPIO DE BELLO – CONCEJO MUNICIPAL DE BELLO, por los perjuicios materiales e inmateriales causados a los demandantes como consecuencia del ERROR JURISDICCIONAL en que incurrió la Sección Primera del Consejo de Estado al proferir la sentencia del 25 de agosto de 2022 dentro del proceso de pérdida de investidura con radicado 05001-23-33-000-2020-02441-01, providencia que la Corte Constitucional dejó sin efectos mediante la sentencia de unificación SU-501 de 2024 por incurrir en defecto sustantivo y en defecto fáctico, y que fue reemplazada por la sentencia del 8 de mayo de 2025, en la que la misma Sección Primera confirmó la sentencia denegatoria de la pérdida de investidura proferida el 26 de noviembre de 2020 por el Tribunal Administrativo de Antioquia.</w:t>
      </w:r>
    </w:p>
    <w:p>
      <w:pPr>
        <w:spacing w:after="80"/>
        <w:jc w:val="left"/>
      </w:pPr>
      <w:r>
        <w:rPr>
          <w:b/>
          <w:sz w:val="22"/>
        </w:rPr>
        <w:t>SEGUNDA — Condenas indemnizatorias.</w:t>
      </w:r>
    </w:p>
    <w:p>
      <w:pPr>
        <w:spacing w:after="160"/>
        <w:jc w:val="both"/>
      </w:pPr>
      <w:r>
        <w:rPr>
          <w:b w:val="0"/>
          <w:sz w:val="22"/>
        </w:rPr>
        <w:t>Que, como consecuencia de la declaración anterior, se condene a las entidades demandadas — solidariamente o en la proporción que resulte probada — a pagar a los demandantes, a título de reparación integral, las siguientes sumas, o las mayores o menores que resulten probadas en el proceso:</w:t>
      </w:r>
    </w:p>
    <w:p>
      <w:pPr>
        <w:spacing w:after="80"/>
        <w:jc w:val="left"/>
      </w:pPr>
      <w:r>
        <w:rPr>
          <w:b/>
          <w:sz w:val="22"/>
        </w:rPr>
        <w:t>A. Perjuicios materiales (a favor de Óscar Darío Arias Agudelo):</w:t>
      </w:r>
    </w:p>
    <w:p>
      <w:pPr>
        <w:spacing w:after="160"/>
        <w:jc w:val="both"/>
      </w:pPr>
      <w:r>
        <w:rPr>
          <w:b w:val="0"/>
          <w:sz w:val="22"/>
        </w:rPr>
        <w:t>A.1. Daño emergente: CUARENTA Y CINCO MILLONES DE PESOS ($45.000.000), discriminados así: (i) VEINTICINCO MILLONES DE PESOS ($25.000.000) por honorarios pagados al abogado Hugo de Jesús Henao Longas (C.C. 98.494.587, T.P. 77.412), quien ejerció la defensa técnica en el proceso de pérdida de investidura y en el trámite de tutela, acreditados con el recibo y paz y salvo del 1 de diciembre de 2025 y el contrato de prestación de servicios que se anexa o se aportará; y (ii) VEINTE MILLONES DE PESOS ($20.000.000) por gastos procesales y administrativos conexos (copias, autenticaciones, notificaciones, desplazamientos), conforme a los soportes que se alleguen, o lo que resulte probado.</w:t>
      </w:r>
    </w:p>
    <w:p>
      <w:pPr>
        <w:spacing w:after="160"/>
        <w:jc w:val="both"/>
      </w:pPr>
      <w:r>
        <w:rPr>
          <w:b w:val="0"/>
          <w:sz w:val="22"/>
        </w:rPr>
        <w:t>A.2. Lucro cesante consolidado: los honorarios de concejal que la víctima directa dejó de percibir desde el 29 de octubre de 2022 — día siguiente a aquel en que el Concejo de Bello le comunicó que no sería llamado al orden del día en cumplimiento de la sentencia luego anulada — hasta el 31 de diciembre de 2023, fecha de terminación del período constitucional 2020-2023, estimados con base en: (i) los valores por sesión certificados por la Secretaría General del Concejo Municipal de Bello el 4 de febrero de 2026 ($469.766 para 2022 y $531.399 para 2023); (ii) el número máximo legal de sesiones remuneradas para municipios de primera categoría — hasta ciento cincuenta (150) ordinarias y treinta (30) extraordinarias por año (artículo 66 de la Ley 136 de 1994, modificado por el artículo 1 de la Ley 1368 de 2009) —, prorrateado para la fracción de 2022, o el número de sesiones efectivamente realizadas y pagadas a los demás concejales en esos períodos, según certificación que se decrete como prueba; y (iii) actualización con el IPC certificado por el DANE (artículo 187 del CPACA). La estimación es la siguiente:</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
              <w:rPr>
                <w:rFonts w:ascii="Arial" w:hAnsi="Arial"/>
                <w:b/>
                <w:sz w:val="20"/>
              </w:rPr>
              <w:t>Período</w:t>
            </w:r>
          </w:p>
        </w:tc>
        <w:tc>
          <w:tcPr>
            <w:tcW w:type="dxa" w:w="1520"/>
          </w:tcPr>
          <w:p>
            <w:r/>
            <w:r>
              <w:rPr>
                <w:rFonts w:ascii="Arial" w:hAnsi="Arial"/>
                <w:b/>
                <w:sz w:val="20"/>
              </w:rPr>
              <w:t>Sesiones (est.)</w:t>
            </w:r>
          </w:p>
        </w:tc>
        <w:tc>
          <w:tcPr>
            <w:tcW w:type="dxa" w:w="1520"/>
          </w:tcPr>
          <w:p>
            <w:r/>
            <w:r>
              <w:rPr>
                <w:rFonts w:ascii="Arial" w:hAnsi="Arial"/>
                <w:b/>
                <w:sz w:val="20"/>
              </w:rPr>
              <w:t>Valor sesión</w:t>
            </w:r>
          </w:p>
        </w:tc>
        <w:tc>
          <w:tcPr>
            <w:tcW w:type="dxa" w:w="1520"/>
          </w:tcPr>
          <w:p>
            <w:r/>
            <w:r>
              <w:rPr>
                <w:rFonts w:ascii="Arial" w:hAnsi="Arial"/>
                <w:b/>
                <w:sz w:val="20"/>
              </w:rPr>
              <w:t>Capital</w:t>
            </w:r>
          </w:p>
        </w:tc>
        <w:tc>
          <w:tcPr>
            <w:tcW w:type="dxa" w:w="1520"/>
          </w:tcPr>
          <w:p>
            <w:r/>
            <w:r>
              <w:rPr>
                <w:rFonts w:ascii="Arial" w:hAnsi="Arial"/>
                <w:b/>
                <w:sz w:val="20"/>
              </w:rPr>
              <w:t>Factor IPC</w:t>
            </w:r>
          </w:p>
        </w:tc>
        <w:tc>
          <w:tcPr>
            <w:tcW w:type="dxa" w:w="1520"/>
          </w:tcPr>
          <w:p>
            <w:r/>
            <w:r>
              <w:rPr>
                <w:rFonts w:ascii="Arial" w:hAnsi="Arial"/>
                <w:b/>
                <w:sz w:val="20"/>
              </w:rPr>
              <w:t>Valor actualizado</w:t>
            </w:r>
          </w:p>
        </w:tc>
      </w:tr>
      <w:tr>
        <w:tc>
          <w:tcPr>
            <w:tcW w:type="dxa" w:w="1520"/>
          </w:tcPr>
          <w:p>
            <w:r/>
            <w:r>
              <w:rPr>
                <w:rFonts w:ascii="Arial" w:hAnsi="Arial"/>
                <w:sz w:val="20"/>
              </w:rPr>
              <w:t>29-oct-2022 a 31-dic-2022</w:t>
            </w:r>
          </w:p>
        </w:tc>
        <w:tc>
          <w:tcPr>
            <w:tcW w:type="dxa" w:w="1520"/>
          </w:tcPr>
          <w:p>
            <w:r/>
            <w:r>
              <w:rPr>
                <w:rFonts w:ascii="Arial" w:hAnsi="Arial"/>
                <w:sz w:val="20"/>
              </w:rPr>
              <w:t>32</w:t>
            </w:r>
          </w:p>
        </w:tc>
        <w:tc>
          <w:tcPr>
            <w:tcW w:type="dxa" w:w="1520"/>
          </w:tcPr>
          <w:p>
            <w:r/>
            <w:r>
              <w:rPr>
                <w:rFonts w:ascii="Arial" w:hAnsi="Arial"/>
                <w:sz w:val="20"/>
              </w:rPr>
              <w:t>$469.766</w:t>
            </w:r>
          </w:p>
        </w:tc>
        <w:tc>
          <w:tcPr>
            <w:tcW w:type="dxa" w:w="1520"/>
          </w:tcPr>
          <w:p>
            <w:r/>
            <w:r>
              <w:rPr>
                <w:rFonts w:ascii="Arial" w:hAnsi="Arial"/>
                <w:sz w:val="20"/>
              </w:rPr>
              <w:t>$15.032.512,00</w:t>
            </w:r>
          </w:p>
        </w:tc>
        <w:tc>
          <w:tcPr>
            <w:tcW w:type="dxa" w:w="1520"/>
          </w:tcPr>
          <w:p>
            <w:r/>
            <w:r>
              <w:rPr>
                <w:rFonts w:ascii="Arial" w:hAnsi="Arial"/>
                <w:sz w:val="20"/>
              </w:rPr>
              <w:t>145,00 / 114,50</w:t>
            </w:r>
          </w:p>
        </w:tc>
        <w:tc>
          <w:tcPr>
            <w:tcW w:type="dxa" w:w="1520"/>
          </w:tcPr>
          <w:p>
            <w:r/>
            <w:r>
              <w:rPr>
                <w:rFonts w:ascii="Arial" w:hAnsi="Arial"/>
                <w:sz w:val="20"/>
              </w:rPr>
              <w:t>$19.036.805,59</w:t>
            </w:r>
          </w:p>
        </w:tc>
      </w:tr>
      <w:tr>
        <w:tc>
          <w:tcPr>
            <w:tcW w:type="dxa" w:w="1520"/>
          </w:tcPr>
          <w:p>
            <w:r/>
            <w:r>
              <w:rPr>
                <w:rFonts w:ascii="Arial" w:hAnsi="Arial"/>
                <w:sz w:val="20"/>
              </w:rPr>
              <w:t>01-ene-2023 a 31-dic-2023</w:t>
            </w:r>
          </w:p>
        </w:tc>
        <w:tc>
          <w:tcPr>
            <w:tcW w:type="dxa" w:w="1520"/>
          </w:tcPr>
          <w:p>
            <w:r/>
            <w:r>
              <w:rPr>
                <w:rFonts w:ascii="Arial" w:hAnsi="Arial"/>
                <w:sz w:val="20"/>
              </w:rPr>
              <w:t>180</w:t>
            </w:r>
          </w:p>
        </w:tc>
        <w:tc>
          <w:tcPr>
            <w:tcW w:type="dxa" w:w="1520"/>
          </w:tcPr>
          <w:p>
            <w:r/>
            <w:r>
              <w:rPr>
                <w:rFonts w:ascii="Arial" w:hAnsi="Arial"/>
                <w:sz w:val="20"/>
              </w:rPr>
              <w:t>$531.399</w:t>
            </w:r>
          </w:p>
        </w:tc>
        <w:tc>
          <w:tcPr>
            <w:tcW w:type="dxa" w:w="1520"/>
          </w:tcPr>
          <w:p>
            <w:r/>
            <w:r>
              <w:rPr>
                <w:rFonts w:ascii="Arial" w:hAnsi="Arial"/>
                <w:sz w:val="20"/>
              </w:rPr>
              <w:t>$95.651.820,00</w:t>
            </w:r>
          </w:p>
        </w:tc>
        <w:tc>
          <w:tcPr>
            <w:tcW w:type="dxa" w:w="1520"/>
          </w:tcPr>
          <w:p>
            <w:r/>
            <w:r>
              <w:rPr>
                <w:rFonts w:ascii="Arial" w:hAnsi="Arial"/>
                <w:sz w:val="20"/>
              </w:rPr>
              <w:t>145,00 / 128,27</w:t>
            </w:r>
          </w:p>
        </w:tc>
        <w:tc>
          <w:tcPr>
            <w:tcW w:type="dxa" w:w="1520"/>
          </w:tcPr>
          <w:p>
            <w:r/>
            <w:r>
              <w:rPr>
                <w:rFonts w:ascii="Arial" w:hAnsi="Arial"/>
                <w:sz w:val="20"/>
              </w:rPr>
              <w:t>$108.127.495,91</w:t>
            </w:r>
          </w:p>
        </w:tc>
      </w:tr>
      <w:tr>
        <w:tc>
          <w:tcPr>
            <w:tcW w:type="dxa" w:w="1520"/>
          </w:tcPr>
          <w:p>
            <w:r/>
            <w:r>
              <w:rPr>
                <w:rFonts w:ascii="Arial" w:hAnsi="Arial"/>
                <w:sz w:val="20"/>
              </w:rPr>
              <w:t>TOTAL LUCRO CESANTE</w:t>
            </w:r>
          </w:p>
        </w:tc>
        <w:tc>
          <w:tcPr>
            <w:tcW w:type="dxa" w:w="1520"/>
          </w:tcPr>
          <w:p>
            <w:r/>
            <w:r>
              <w:rPr>
                <w:rFonts w:ascii="Arial" w:hAnsi="Arial"/>
                <w:sz w:val="20"/>
              </w:rPr>
            </w:r>
          </w:p>
        </w:tc>
        <w:tc>
          <w:tcPr>
            <w:tcW w:type="dxa" w:w="1520"/>
          </w:tcPr>
          <w:p>
            <w:r/>
            <w:r>
              <w:rPr>
                <w:rFonts w:ascii="Arial" w:hAnsi="Arial"/>
                <w:sz w:val="20"/>
              </w:rPr>
            </w:r>
          </w:p>
        </w:tc>
        <w:tc>
          <w:tcPr>
            <w:tcW w:type="dxa" w:w="1520"/>
          </w:tcPr>
          <w:p>
            <w:r/>
            <w:r>
              <w:rPr>
                <w:rFonts w:ascii="Arial" w:hAnsi="Arial"/>
                <w:sz w:val="20"/>
              </w:rPr>
            </w:r>
          </w:p>
        </w:tc>
        <w:tc>
          <w:tcPr>
            <w:tcW w:type="dxa" w:w="1520"/>
          </w:tcPr>
          <w:p>
            <w:r/>
            <w:r>
              <w:rPr>
                <w:rFonts w:ascii="Arial" w:hAnsi="Arial"/>
                <w:sz w:val="20"/>
              </w:rPr>
            </w:r>
          </w:p>
        </w:tc>
        <w:tc>
          <w:tcPr>
            <w:tcW w:type="dxa" w:w="1520"/>
          </w:tcPr>
          <w:p>
            <w:r/>
            <w:r>
              <w:rPr>
                <w:rFonts w:ascii="Arial" w:hAnsi="Arial"/>
                <w:sz w:val="20"/>
              </w:rPr>
              <w:t>$127.164.301,50</w:t>
            </w:r>
          </w:p>
        </w:tc>
      </w:tr>
    </w:tbl>
    <w:p>
      <w:pPr>
        <w:spacing w:after="80"/>
      </w:pPr>
    </w:p>
    <w:p>
      <w:pPr>
        <w:spacing w:after="160"/>
        <w:jc w:val="both"/>
      </w:pPr>
      <w:r>
        <w:rPr>
          <w:b w:val="0"/>
          <w:sz w:val="22"/>
        </w:rPr>
        <w:t>Subtotal de perjuicios materiales: CIENTO SETENTA Y DOS MILLONES CIENTO SESENTA Y CUATRO MIL TRESCIENTOS UN PESOS CON CINCUENTA CENTAVOS ($172.164.301,50).</w:t>
      </w:r>
    </w:p>
    <w:p>
      <w:pPr>
        <w:spacing w:after="80"/>
        <w:jc w:val="left"/>
      </w:pPr>
      <w:r>
        <w:rPr>
          <w:b/>
          <w:sz w:val="22"/>
        </w:rPr>
        <w:t>B. Perjuicios inmateriales:</w:t>
      </w:r>
    </w:p>
    <w:p>
      <w:pPr>
        <w:spacing w:after="160"/>
        <w:jc w:val="both"/>
      </w:pPr>
      <w:r>
        <w:rPr>
          <w:b w:val="0"/>
          <w:sz w:val="22"/>
        </w:rPr>
        <w:t>B.1. Daño moral, conforme a los niveles y topes de las sentencias de unificación de la Sección Tercera del Consejo de Estado del 28 de agosto de 2014, tasado en salarios mínimos legales mensuales vigentes a la fecha de la sentencia que ponga fin al proceso (valores indicativos liquidados con el SMLMV de 2026, $1.576.500):</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
              <w:rPr>
                <w:rFonts w:ascii="Arial" w:hAnsi="Arial"/>
                <w:b/>
                <w:sz w:val="20"/>
              </w:rPr>
              <w:t>Demandante</w:t>
            </w:r>
          </w:p>
        </w:tc>
        <w:tc>
          <w:tcPr>
            <w:tcW w:type="dxa" w:w="2280"/>
          </w:tcPr>
          <w:p>
            <w:r/>
            <w:r>
              <w:rPr>
                <w:rFonts w:ascii="Arial" w:hAnsi="Arial"/>
                <w:b/>
                <w:sz w:val="20"/>
              </w:rPr>
              <w:t>Calidad</w:t>
            </w:r>
          </w:p>
        </w:tc>
        <w:tc>
          <w:tcPr>
            <w:tcW w:type="dxa" w:w="2280"/>
          </w:tcPr>
          <w:p>
            <w:r/>
            <w:r>
              <w:rPr>
                <w:rFonts w:ascii="Arial" w:hAnsi="Arial"/>
                <w:b/>
                <w:sz w:val="20"/>
              </w:rPr>
              <w:t>SMLMV</w:t>
            </w:r>
          </w:p>
        </w:tc>
        <w:tc>
          <w:tcPr>
            <w:tcW w:type="dxa" w:w="2280"/>
          </w:tcPr>
          <w:p>
            <w:r/>
            <w:r>
              <w:rPr>
                <w:rFonts w:ascii="Arial" w:hAnsi="Arial"/>
                <w:b/>
                <w:sz w:val="20"/>
              </w:rPr>
              <w:t>Valor indicativo</w:t>
            </w:r>
          </w:p>
        </w:tc>
      </w:tr>
      <w:tr>
        <w:tc>
          <w:tcPr>
            <w:tcW w:type="dxa" w:w="2280"/>
          </w:tcPr>
          <w:p>
            <w:r/>
            <w:r>
              <w:rPr>
                <w:rFonts w:ascii="Arial" w:hAnsi="Arial"/>
                <w:sz w:val="20"/>
              </w:rPr>
              <w:t>Óscar Darío Arias Agudelo</w:t>
            </w:r>
          </w:p>
        </w:tc>
        <w:tc>
          <w:tcPr>
            <w:tcW w:type="dxa" w:w="2280"/>
          </w:tcPr>
          <w:p>
            <w:r/>
            <w:r>
              <w:rPr>
                <w:rFonts w:ascii="Arial" w:hAnsi="Arial"/>
                <w:sz w:val="20"/>
              </w:rPr>
              <w:t>Víctima directa</w:t>
            </w:r>
          </w:p>
        </w:tc>
        <w:tc>
          <w:tcPr>
            <w:tcW w:type="dxa" w:w="2280"/>
          </w:tcPr>
          <w:p>
            <w:r/>
            <w:r>
              <w:rPr>
                <w:rFonts w:ascii="Arial" w:hAnsi="Arial"/>
                <w:sz w:val="20"/>
              </w:rPr>
              <w:t>100</w:t>
            </w:r>
          </w:p>
        </w:tc>
        <w:tc>
          <w:tcPr>
            <w:tcW w:type="dxa" w:w="2280"/>
          </w:tcPr>
          <w:p>
            <w:r/>
            <w:r>
              <w:rPr>
                <w:rFonts w:ascii="Arial" w:hAnsi="Arial"/>
                <w:sz w:val="20"/>
              </w:rPr>
              <w:t>$157.650.000</w:t>
            </w:r>
          </w:p>
        </w:tc>
      </w:tr>
      <w:tr>
        <w:tc>
          <w:tcPr>
            <w:tcW w:type="dxa" w:w="2280"/>
          </w:tcPr>
          <w:p>
            <w:r/>
            <w:r>
              <w:rPr>
                <w:rFonts w:ascii="Arial" w:hAnsi="Arial"/>
                <w:sz w:val="20"/>
              </w:rPr>
              <w:t>Doris Elena Restrepo Giraldo</w:t>
            </w:r>
          </w:p>
        </w:tc>
        <w:tc>
          <w:tcPr>
            <w:tcW w:type="dxa" w:w="2280"/>
          </w:tcPr>
          <w:p>
            <w:r/>
            <w:r>
              <w:rPr>
                <w:rFonts w:ascii="Arial" w:hAnsi="Arial"/>
                <w:sz w:val="20"/>
              </w:rPr>
              <w:t>Cónyuge</w:t>
            </w:r>
          </w:p>
        </w:tc>
        <w:tc>
          <w:tcPr>
            <w:tcW w:type="dxa" w:w="2280"/>
          </w:tcPr>
          <w:p>
            <w:r/>
            <w:r>
              <w:rPr>
                <w:rFonts w:ascii="Arial" w:hAnsi="Arial"/>
                <w:sz w:val="20"/>
              </w:rPr>
              <w:t>50</w:t>
            </w:r>
          </w:p>
        </w:tc>
        <w:tc>
          <w:tcPr>
            <w:tcW w:type="dxa" w:w="2280"/>
          </w:tcPr>
          <w:p>
            <w:r/>
            <w:r>
              <w:rPr>
                <w:rFonts w:ascii="Arial" w:hAnsi="Arial"/>
                <w:sz w:val="20"/>
              </w:rPr>
              <w:t>$78.825.000</w:t>
            </w:r>
          </w:p>
        </w:tc>
      </w:tr>
      <w:tr>
        <w:tc>
          <w:tcPr>
            <w:tcW w:type="dxa" w:w="2280"/>
          </w:tcPr>
          <w:p>
            <w:r/>
            <w:r>
              <w:rPr>
                <w:rFonts w:ascii="Arial" w:hAnsi="Arial"/>
                <w:sz w:val="20"/>
              </w:rPr>
              <w:t>María Mercedes Agudelo Ospina</w:t>
            </w:r>
          </w:p>
        </w:tc>
        <w:tc>
          <w:tcPr>
            <w:tcW w:type="dxa" w:w="2280"/>
          </w:tcPr>
          <w:p>
            <w:r/>
            <w:r>
              <w:rPr>
                <w:rFonts w:ascii="Arial" w:hAnsi="Arial"/>
                <w:sz w:val="20"/>
              </w:rPr>
              <w:t>Madre</w:t>
            </w:r>
          </w:p>
        </w:tc>
        <w:tc>
          <w:tcPr>
            <w:tcW w:type="dxa" w:w="2280"/>
          </w:tcPr>
          <w:p>
            <w:r/>
            <w:r>
              <w:rPr>
                <w:rFonts w:ascii="Arial" w:hAnsi="Arial"/>
                <w:sz w:val="20"/>
              </w:rPr>
              <w:t>50</w:t>
            </w:r>
          </w:p>
        </w:tc>
        <w:tc>
          <w:tcPr>
            <w:tcW w:type="dxa" w:w="2280"/>
          </w:tcPr>
          <w:p>
            <w:r/>
            <w:r>
              <w:rPr>
                <w:rFonts w:ascii="Arial" w:hAnsi="Arial"/>
                <w:sz w:val="20"/>
              </w:rPr>
              <w:t>$78.825.000</w:t>
            </w:r>
          </w:p>
        </w:tc>
      </w:tr>
      <w:tr>
        <w:tc>
          <w:tcPr>
            <w:tcW w:type="dxa" w:w="2280"/>
          </w:tcPr>
          <w:p>
            <w:r/>
            <w:r>
              <w:rPr>
                <w:rFonts w:ascii="Arial" w:hAnsi="Arial"/>
                <w:sz w:val="20"/>
              </w:rPr>
              <w:t>Chris Alvin Arias Restrepo</w:t>
            </w:r>
          </w:p>
        </w:tc>
        <w:tc>
          <w:tcPr>
            <w:tcW w:type="dxa" w:w="2280"/>
          </w:tcPr>
          <w:p>
            <w:r/>
            <w:r>
              <w:rPr>
                <w:rFonts w:ascii="Arial" w:hAnsi="Arial"/>
                <w:sz w:val="20"/>
              </w:rPr>
              <w:t>Hijo</w:t>
            </w:r>
          </w:p>
        </w:tc>
        <w:tc>
          <w:tcPr>
            <w:tcW w:type="dxa" w:w="2280"/>
          </w:tcPr>
          <w:p>
            <w:r/>
            <w:r>
              <w:rPr>
                <w:rFonts w:ascii="Arial" w:hAnsi="Arial"/>
                <w:sz w:val="20"/>
              </w:rPr>
              <w:t>50</w:t>
            </w:r>
          </w:p>
        </w:tc>
        <w:tc>
          <w:tcPr>
            <w:tcW w:type="dxa" w:w="2280"/>
          </w:tcPr>
          <w:p>
            <w:r/>
            <w:r>
              <w:rPr>
                <w:rFonts w:ascii="Arial" w:hAnsi="Arial"/>
                <w:sz w:val="20"/>
              </w:rPr>
              <w:t>$78.825.000</w:t>
            </w:r>
          </w:p>
        </w:tc>
      </w:tr>
      <w:tr>
        <w:tc>
          <w:tcPr>
            <w:tcW w:type="dxa" w:w="2280"/>
          </w:tcPr>
          <w:p>
            <w:r/>
            <w:r>
              <w:rPr>
                <w:rFonts w:ascii="Arial" w:hAnsi="Arial"/>
                <w:sz w:val="20"/>
              </w:rPr>
              <w:t>Luz Mery Arias Agudelo</w:t>
            </w:r>
          </w:p>
        </w:tc>
        <w:tc>
          <w:tcPr>
            <w:tcW w:type="dxa" w:w="2280"/>
          </w:tcPr>
          <w:p>
            <w:r/>
            <w:r>
              <w:rPr>
                <w:rFonts w:ascii="Arial" w:hAnsi="Arial"/>
                <w:sz w:val="20"/>
              </w:rPr>
              <w:t>Hermana</w:t>
            </w:r>
          </w:p>
        </w:tc>
        <w:tc>
          <w:tcPr>
            <w:tcW w:type="dxa" w:w="2280"/>
          </w:tcPr>
          <w:p>
            <w:r/>
            <w:r>
              <w:rPr>
                <w:rFonts w:ascii="Arial" w:hAnsi="Arial"/>
                <w:sz w:val="20"/>
              </w:rPr>
              <w:t>25</w:t>
            </w:r>
          </w:p>
        </w:tc>
        <w:tc>
          <w:tcPr>
            <w:tcW w:type="dxa" w:w="2280"/>
          </w:tcPr>
          <w:p>
            <w:r/>
            <w:r>
              <w:rPr>
                <w:rFonts w:ascii="Arial" w:hAnsi="Arial"/>
                <w:sz w:val="20"/>
              </w:rPr>
              <w:t>$39.412.500</w:t>
            </w:r>
          </w:p>
        </w:tc>
      </w:tr>
      <w:tr>
        <w:tc>
          <w:tcPr>
            <w:tcW w:type="dxa" w:w="2280"/>
          </w:tcPr>
          <w:p>
            <w:r/>
            <w:r>
              <w:rPr>
                <w:rFonts w:ascii="Arial" w:hAnsi="Arial"/>
                <w:sz w:val="20"/>
              </w:rPr>
              <w:t>Nubia Ledy Arias Agudelo</w:t>
            </w:r>
          </w:p>
        </w:tc>
        <w:tc>
          <w:tcPr>
            <w:tcW w:type="dxa" w:w="2280"/>
          </w:tcPr>
          <w:p>
            <w:r/>
            <w:r>
              <w:rPr>
                <w:rFonts w:ascii="Arial" w:hAnsi="Arial"/>
                <w:sz w:val="20"/>
              </w:rPr>
              <w:t>Hermana</w:t>
            </w:r>
          </w:p>
        </w:tc>
        <w:tc>
          <w:tcPr>
            <w:tcW w:type="dxa" w:w="2280"/>
          </w:tcPr>
          <w:p>
            <w:r/>
            <w:r>
              <w:rPr>
                <w:rFonts w:ascii="Arial" w:hAnsi="Arial"/>
                <w:sz w:val="20"/>
              </w:rPr>
              <w:t>25</w:t>
            </w:r>
          </w:p>
        </w:tc>
        <w:tc>
          <w:tcPr>
            <w:tcW w:type="dxa" w:w="2280"/>
          </w:tcPr>
          <w:p>
            <w:r/>
            <w:r>
              <w:rPr>
                <w:rFonts w:ascii="Arial" w:hAnsi="Arial"/>
                <w:sz w:val="20"/>
              </w:rPr>
              <w:t>$39.412.500</w:t>
            </w:r>
          </w:p>
        </w:tc>
      </w:tr>
      <w:tr>
        <w:tc>
          <w:tcPr>
            <w:tcW w:type="dxa" w:w="2280"/>
          </w:tcPr>
          <w:p>
            <w:r/>
            <w:r>
              <w:rPr>
                <w:rFonts w:ascii="Arial" w:hAnsi="Arial"/>
                <w:sz w:val="20"/>
              </w:rPr>
              <w:t>TOTAL DAÑO MORAL</w:t>
            </w:r>
          </w:p>
        </w:tc>
        <w:tc>
          <w:tcPr>
            <w:tcW w:type="dxa" w:w="2280"/>
          </w:tcPr>
          <w:p>
            <w:r/>
            <w:r>
              <w:rPr>
                <w:rFonts w:ascii="Arial" w:hAnsi="Arial"/>
                <w:sz w:val="20"/>
              </w:rPr>
            </w:r>
          </w:p>
        </w:tc>
        <w:tc>
          <w:tcPr>
            <w:tcW w:type="dxa" w:w="2280"/>
          </w:tcPr>
          <w:p>
            <w:r/>
            <w:r>
              <w:rPr>
                <w:rFonts w:ascii="Arial" w:hAnsi="Arial"/>
                <w:sz w:val="20"/>
              </w:rPr>
              <w:t>300</w:t>
            </w:r>
          </w:p>
        </w:tc>
        <w:tc>
          <w:tcPr>
            <w:tcW w:type="dxa" w:w="2280"/>
          </w:tcPr>
          <w:p>
            <w:r/>
            <w:r>
              <w:rPr>
                <w:rFonts w:ascii="Arial" w:hAnsi="Arial"/>
                <w:sz w:val="20"/>
              </w:rPr>
              <w:t>$472.950.000</w:t>
            </w:r>
          </w:p>
        </w:tc>
      </w:tr>
    </w:tbl>
    <w:p>
      <w:pPr>
        <w:spacing w:after="80"/>
      </w:pPr>
    </w:p>
    <w:p>
      <w:pPr>
        <w:spacing w:after="160"/>
        <w:jc w:val="both"/>
      </w:pPr>
      <w:r>
        <w:rPr>
          <w:b w:val="0"/>
          <w:sz w:val="22"/>
        </w:rPr>
        <w:t>B.2. Daño a bienes constitucional y convencionalmente protegidos, a favor de la víctima directa: CIEN (100) SMLMV (valor indicativo: $157.650.000), por la afectación autónoma de sus derechos políticos (artículo 40 de la Constitución; artículo 23 de la Convención Americana sobre Derechos Humanos), de su honra y buen nombre y de su proyecto de vida, conforme a la unificación del 28 de agosto de 2014.</w:t>
      </w:r>
    </w:p>
    <w:p>
      <w:pPr>
        <w:spacing w:after="160"/>
        <w:jc w:val="both"/>
      </w:pPr>
      <w:r>
        <w:rPr>
          <w:b w:val="0"/>
          <w:sz w:val="22"/>
        </w:rPr>
        <w:t>Subtotal de perjuicios inmateriales: SEISCIENTOS TREINTA MILLONES SEISCIENTOS MIL PESOS ($630.600.000) — valor indicativo.</w:t>
      </w:r>
    </w:p>
    <w:p>
      <w:pPr>
        <w:spacing w:after="80"/>
        <w:jc w:val="left"/>
      </w:pPr>
      <w:r>
        <w:rPr>
          <w:b/>
          <w:sz w:val="22"/>
        </w:rPr>
        <w:t>C. Resumen de las condenas solicitadas:</w:t>
      </w:r>
    </w:p>
    <w:tbl>
      <w:tblPr>
        <w:tblStyle w:val="TableGrid"/>
        <w:tblW w:type="auto" w:w="0"/>
        <w:jc w:val="center"/>
        <w:tblLook w:firstColumn="1" w:firstRow="1" w:lastColumn="0" w:lastRow="0" w:noHBand="0" w:noVBand="1" w:val="04A0"/>
      </w:tblPr>
      <w:tblGrid>
        <w:gridCol w:w="4561"/>
        <w:gridCol w:w="4561"/>
      </w:tblGrid>
      <w:tr>
        <w:tc>
          <w:tcPr>
            <w:tcW w:type="dxa" w:w="4561"/>
          </w:tcPr>
          <w:p>
            <w:r/>
            <w:r>
              <w:rPr>
                <w:rFonts w:ascii="Arial" w:hAnsi="Arial"/>
                <w:b/>
                <w:sz w:val="20"/>
              </w:rPr>
              <w:t>Concepto</w:t>
            </w:r>
          </w:p>
        </w:tc>
        <w:tc>
          <w:tcPr>
            <w:tcW w:type="dxa" w:w="4561"/>
          </w:tcPr>
          <w:p>
            <w:r/>
            <w:r>
              <w:rPr>
                <w:rFonts w:ascii="Arial" w:hAnsi="Arial"/>
                <w:b/>
                <w:sz w:val="20"/>
              </w:rPr>
              <w:t>Valor</w:t>
            </w:r>
          </w:p>
        </w:tc>
      </w:tr>
      <w:tr>
        <w:tc>
          <w:tcPr>
            <w:tcW w:type="dxa" w:w="4561"/>
          </w:tcPr>
          <w:p>
            <w:r/>
            <w:r>
              <w:rPr>
                <w:rFonts w:ascii="Arial" w:hAnsi="Arial"/>
                <w:sz w:val="20"/>
              </w:rPr>
              <w:t>Daño emergente</w:t>
            </w:r>
          </w:p>
        </w:tc>
        <w:tc>
          <w:tcPr>
            <w:tcW w:type="dxa" w:w="4561"/>
          </w:tcPr>
          <w:p>
            <w:r/>
            <w:r>
              <w:rPr>
                <w:rFonts w:ascii="Arial" w:hAnsi="Arial"/>
                <w:sz w:val="20"/>
              </w:rPr>
              <w:t>$45.000.000,00</w:t>
            </w:r>
          </w:p>
        </w:tc>
      </w:tr>
      <w:tr>
        <w:tc>
          <w:tcPr>
            <w:tcW w:type="dxa" w:w="4561"/>
          </w:tcPr>
          <w:p>
            <w:r/>
            <w:r>
              <w:rPr>
                <w:rFonts w:ascii="Arial" w:hAnsi="Arial"/>
                <w:sz w:val="20"/>
              </w:rPr>
              <w:t>Lucro cesante consolidado</w:t>
            </w:r>
          </w:p>
        </w:tc>
        <w:tc>
          <w:tcPr>
            <w:tcW w:type="dxa" w:w="4561"/>
          </w:tcPr>
          <w:p>
            <w:r/>
            <w:r>
              <w:rPr>
                <w:rFonts w:ascii="Arial" w:hAnsi="Arial"/>
                <w:sz w:val="20"/>
              </w:rPr>
              <w:t>$127.164.301,50</w:t>
            </w:r>
          </w:p>
        </w:tc>
      </w:tr>
      <w:tr>
        <w:tc>
          <w:tcPr>
            <w:tcW w:type="dxa" w:w="4561"/>
          </w:tcPr>
          <w:p>
            <w:r/>
            <w:r>
              <w:rPr>
                <w:rFonts w:ascii="Arial" w:hAnsi="Arial"/>
                <w:sz w:val="20"/>
              </w:rPr>
              <w:t>Subtotal perjuicios materiales</w:t>
            </w:r>
          </w:p>
        </w:tc>
        <w:tc>
          <w:tcPr>
            <w:tcW w:type="dxa" w:w="4561"/>
          </w:tcPr>
          <w:p>
            <w:r/>
            <w:r>
              <w:rPr>
                <w:rFonts w:ascii="Arial" w:hAnsi="Arial"/>
                <w:sz w:val="20"/>
              </w:rPr>
              <w:t>$172.164.301,50</w:t>
            </w:r>
          </w:p>
        </w:tc>
      </w:tr>
      <w:tr>
        <w:tc>
          <w:tcPr>
            <w:tcW w:type="dxa" w:w="4561"/>
          </w:tcPr>
          <w:p>
            <w:r/>
            <w:r>
              <w:rPr>
                <w:rFonts w:ascii="Arial" w:hAnsi="Arial"/>
                <w:sz w:val="20"/>
              </w:rPr>
              <w:t>Daño moral (300 SMLMV)</w:t>
            </w:r>
          </w:p>
        </w:tc>
        <w:tc>
          <w:tcPr>
            <w:tcW w:type="dxa" w:w="4561"/>
          </w:tcPr>
          <w:p>
            <w:r/>
            <w:r>
              <w:rPr>
                <w:rFonts w:ascii="Arial" w:hAnsi="Arial"/>
                <w:sz w:val="20"/>
              </w:rPr>
              <w:t>$472.950.000,00</w:t>
            </w:r>
          </w:p>
        </w:tc>
      </w:tr>
      <w:tr>
        <w:tc>
          <w:tcPr>
            <w:tcW w:type="dxa" w:w="4561"/>
          </w:tcPr>
          <w:p>
            <w:r/>
            <w:r>
              <w:rPr>
                <w:rFonts w:ascii="Arial" w:hAnsi="Arial"/>
                <w:sz w:val="20"/>
              </w:rPr>
              <w:t>Daño a bienes constitucionales (100 SMLMV)</w:t>
            </w:r>
          </w:p>
        </w:tc>
        <w:tc>
          <w:tcPr>
            <w:tcW w:type="dxa" w:w="4561"/>
          </w:tcPr>
          <w:p>
            <w:r/>
            <w:r>
              <w:rPr>
                <w:rFonts w:ascii="Arial" w:hAnsi="Arial"/>
                <w:sz w:val="20"/>
              </w:rPr>
              <w:t>$157.650.000,00</w:t>
            </w:r>
          </w:p>
        </w:tc>
      </w:tr>
      <w:tr>
        <w:tc>
          <w:tcPr>
            <w:tcW w:type="dxa" w:w="4561"/>
          </w:tcPr>
          <w:p>
            <w:r/>
            <w:r>
              <w:rPr>
                <w:rFonts w:ascii="Arial" w:hAnsi="Arial"/>
                <w:sz w:val="20"/>
              </w:rPr>
              <w:t>Subtotal perjuicios inmateriales</w:t>
            </w:r>
          </w:p>
        </w:tc>
        <w:tc>
          <w:tcPr>
            <w:tcW w:type="dxa" w:w="4561"/>
          </w:tcPr>
          <w:p>
            <w:r/>
            <w:r>
              <w:rPr>
                <w:rFonts w:ascii="Arial" w:hAnsi="Arial"/>
                <w:sz w:val="20"/>
              </w:rPr>
              <w:t>$630.600.000,00</w:t>
            </w:r>
          </w:p>
        </w:tc>
      </w:tr>
      <w:tr>
        <w:tc>
          <w:tcPr>
            <w:tcW w:type="dxa" w:w="4561"/>
          </w:tcPr>
          <w:p>
            <w:r/>
            <w:r>
              <w:rPr>
                <w:rFonts w:ascii="Arial" w:hAnsi="Arial"/>
                <w:sz w:val="20"/>
              </w:rPr>
              <w:t>TOTAL</w:t>
            </w:r>
          </w:p>
        </w:tc>
        <w:tc>
          <w:tcPr>
            <w:tcW w:type="dxa" w:w="4561"/>
          </w:tcPr>
          <w:p>
            <w:r/>
            <w:r>
              <w:rPr>
                <w:rFonts w:ascii="Arial" w:hAnsi="Arial"/>
                <w:sz w:val="20"/>
              </w:rPr>
              <w:t>$802.764.301,50</w:t>
            </w:r>
          </w:p>
        </w:tc>
      </w:tr>
    </w:tbl>
    <w:p>
      <w:pPr>
        <w:spacing w:after="80"/>
      </w:pPr>
    </w:p>
    <w:p>
      <w:pPr>
        <w:spacing w:after="80"/>
        <w:jc w:val="left"/>
      </w:pPr>
      <w:r>
        <w:rPr>
          <w:b/>
          <w:sz w:val="22"/>
        </w:rPr>
        <w:t>TERCERA — Medidas de satisfacción y garantías de no repetición.</w:t>
      </w:r>
    </w:p>
    <w:p>
      <w:pPr>
        <w:spacing w:after="160"/>
        <w:jc w:val="both"/>
      </w:pPr>
      <w:r>
        <w:rPr>
          <w:b w:val="0"/>
          <w:sz w:val="22"/>
        </w:rPr>
        <w:t>Que, como complemento de la reparación pecuniaria y conforme a los estándares de reparación integral (artículo 16 de la Ley 446 de 1998; jurisprudencia interamericana y del Consejo de Estado sobre reparación no pecuniaria), se ordene: (i) un acto público de desagravio en el municipio de Bello, con participación de las entidades condenadas, en el que se reconozca el error jurisdiccional declarado por la Corte Constitucional en la SU-501 de 2024 y la plena rehabilitación del buen nombre del señor Arias Agudelo; (ii) la publicación de la sentencia SU-501 de 2024 y de la sentencia de reemplazo del 8 de mayo de 2025, junto con un comunicado de rectificación, en los portales institucionales de la Rama Judicial y del Concejo Municipal de Bello, con un despliegue equivalente al que tuvo la decisión anulada; y (iii) la adopción de directrices internas dirigidas a asegurar la interpretación restrictiva de las causales de pérdida de investidura, conforme a los criterios de la SU-501 de 2024.</w:t>
      </w:r>
    </w:p>
    <w:p>
      <w:pPr>
        <w:spacing w:after="80"/>
        <w:jc w:val="left"/>
      </w:pPr>
      <w:r>
        <w:rPr>
          <w:b/>
          <w:sz w:val="22"/>
        </w:rPr>
        <w:t>CUARTA — Actualización e intereses.</w:t>
      </w:r>
    </w:p>
    <w:p>
      <w:pPr>
        <w:spacing w:after="160"/>
        <w:jc w:val="both"/>
      </w:pPr>
      <w:r>
        <w:rPr>
          <w:b w:val="0"/>
          <w:sz w:val="22"/>
        </w:rPr>
        <w:t>Que todas las condenas se actualicen conforme al artículo 187 del CPACA hasta la fecha de la providencia que les ponga fin, y que sobre ellas se reconozcan y paguen los intereses previstos en el artículo 192 del CPACA desde la ejecutoria de la sentencia y hasta el pago efectivo.</w:t>
      </w:r>
    </w:p>
    <w:p>
      <w:pPr>
        <w:spacing w:after="80"/>
        <w:jc w:val="left"/>
      </w:pPr>
      <w:r>
        <w:rPr>
          <w:b/>
          <w:sz w:val="22"/>
        </w:rPr>
        <w:t>QUINTA — Costas y agencias en derecho.</w:t>
      </w:r>
    </w:p>
    <w:p>
      <w:pPr>
        <w:spacing w:after="160"/>
        <w:jc w:val="both"/>
      </w:pPr>
      <w:r>
        <w:rPr>
          <w:b w:val="0"/>
          <w:sz w:val="22"/>
        </w:rPr>
        <w:t>Que se condene en costas y agencias en derecho a las entidades vencidas (artículo 188 del CPACA), liquidadas en la tarifa máxima aplicable, atendida la conducta procesal de las convocadas en la etapa conciliatoria: la Nación – Rama Judicial se opuso en bloque invocando una caducidad que desconoce la cosa juzgada constitucional de la SU-501 de 2024, y el Concejo Municipal de Bello no compareció a la audiencia del 9 de julio de 2026 pese a estar debidamente citado.</w:t>
      </w:r>
    </w:p>
    <w:p>
      <w:pPr>
        <w:spacing w:after="200"/>
        <w:jc w:val="left"/>
      </w:pPr>
      <w:r>
        <w:rPr>
          <w:b/>
          <w:sz w:val="24"/>
        </w:rPr>
        <w:t>III. HECHOS</w:t>
      </w:r>
    </w:p>
    <w:p>
      <w:pPr>
        <w:jc w:val="both"/>
      </w:pPr>
      <w:r>
        <w:rPr>
          <w:b/>
        </w:rPr>
        <w:t xml:space="preserve">PRIMERO: </w:t>
      </w:r>
      <w:r>
        <w:rPr>
          <w:b w:val="0"/>
        </w:rPr>
        <w:t>El 27 de octubre de 2019, el ciudadano Óscar Darío Arias Agudelo, docente de la Institución Educativa Carlos Pérez Mejía de Bello, fue elegido concejal del Municipio de Bello, Antioquia, para el período constitucional 2020-2023, con el aval del Partido Alianza Verde, según consta en el formulario E-26. Tomó posesión oportunamente y ejerció el cargo con normalidad.</w:t>
      </w:r>
    </w:p>
    <w:p>
      <w:pPr>
        <w:jc w:val="both"/>
      </w:pPr>
      <w:r>
        <w:rPr>
          <w:b/>
        </w:rPr>
        <w:t xml:space="preserve">SEGUNDO: </w:t>
      </w:r>
      <w:r>
        <w:rPr>
          <w:b w:val="0"/>
        </w:rPr>
        <w:t>Entre el 19 de abril de 2018 y el 6 de marzo de 2019, el señor Arias Agudelo fue representante de los docentes ante el consejo directivo de la mencionada institución educativa oficial, por elección de sus pares académicos, en desarrollo del esquema participativo del gobierno escolar (artículos 142 a 144 de la Ley 115 de 1994; Decreto 1075 de 2015). Dicho órgano es colegiado, de participación y coordinación, y la ordenación del gasto del Fondo de Servicios Educativos corresponde exclusivamente al rector (artículo 182 de la Ley 115 de 1994; Decreto 4791 de 2008).</w:t>
      </w:r>
    </w:p>
    <w:p>
      <w:pPr>
        <w:jc w:val="both"/>
      </w:pPr>
      <w:r>
        <w:rPr>
          <w:b/>
        </w:rPr>
        <w:t xml:space="preserve">TERCERO: </w:t>
      </w:r>
      <w:r>
        <w:rPr>
          <w:b w:val="0"/>
        </w:rPr>
        <w:t>El ciudadano Juan Felipe Cano Marín presentó demanda de pérdida de investidura contra el señor Arias Agudelo (radicado 05001-23-33-000-2020-02441-00), invocando la causal del numeral 2 del artículo 55 de la Ley 136 de 1994, por la supuesta configuración de la inhabilidad prevista en el numeral 2 del artículo 43 de la Ley 136 de 1994, modificado por el numeral 2 del artículo 40 de la Ley 617 de 2000: ejercicio de autoridad administrativa dentro de los doce (12) meses anteriores a la elección, derivado de su pertenencia al consejo directivo.</w:t>
      </w:r>
    </w:p>
    <w:p>
      <w:pPr>
        <w:jc w:val="both"/>
      </w:pPr>
      <w:r>
        <w:rPr>
          <w:b/>
        </w:rPr>
        <w:t xml:space="preserve">CUARTO: </w:t>
      </w:r>
      <w:r>
        <w:rPr>
          <w:b w:val="0"/>
        </w:rPr>
        <w:t>Mediante sentencia del 26 de noviembre de 2020, la Sala Plena del Tribunal Administrativo de Antioquia DENEGÓ la pérdida de investidura: los miembros del consejo directivo de un establecimiento educativo estatal no ejercen autoridad administrativa ni son ordenadores del gasto, y no se probó dolo ni culpa grave (sentencia SU-424 de 2016).</w:t>
      </w:r>
    </w:p>
    <w:p>
      <w:pPr>
        <w:jc w:val="both"/>
      </w:pPr>
      <w:r>
        <w:rPr>
          <w:b/>
        </w:rPr>
        <w:t xml:space="preserve">QUINTO: </w:t>
      </w:r>
      <w:r>
        <w:rPr>
          <w:b w:val="0"/>
        </w:rPr>
        <w:t>Apelada la decisión por el solicitante, la Sección Primera del Consejo de Estado, mediante sentencia del 25 de agosto de 2022 (radicado 05001-23-33-000-2020-02441-01, C.P. Oswaldo Giraldo López), REVOCÓ la sentencia de primera instancia y DECRETÓ la pérdida de investidura, con salvamento de voto de la consejera Nubia Margoth Peña Garzón. Esta providencia es el hecho generador del daño.</w:t>
      </w:r>
    </w:p>
    <w:p>
      <w:pPr>
        <w:jc w:val="both"/>
      </w:pPr>
      <w:r>
        <w:rPr>
          <w:b/>
        </w:rPr>
        <w:t xml:space="preserve">SEXTO: </w:t>
      </w:r>
      <w:r>
        <w:rPr>
          <w:b w:val="0"/>
        </w:rPr>
        <w:t>La sentencia del 25 de agosto de 2022 quedó ejecutoriada el 26 de octubre de 2022, según constancia secretarial del 27 de octubre de 2022 (notificaciones por estado del 1 de septiembre y del 21 de octubre de 2022; auto del 10 de octubre de 2022 que resolvió la solicitud de aclaración).</w:t>
      </w:r>
    </w:p>
    <w:p>
      <w:pPr>
        <w:jc w:val="both"/>
      </w:pPr>
      <w:r>
        <w:rPr>
          <w:b/>
        </w:rPr>
        <w:t xml:space="preserve">SÉPTIMO: </w:t>
      </w:r>
      <w:r>
        <w:rPr>
          <w:b w:val="0"/>
        </w:rPr>
        <w:t>Mediante oficio del 28 de octubre de 2022, el Presidente del Concejo Municipal de Bello comunicó al señor Arias Agudelo que, recibida la ejecutoria, "no será llamado en el orden del día a partir de la fecha". Desde ese momento cesó de manera total y definitiva la percepción de los honorarios por asistencia a sesiones. La separación definitiva de la curul se formalizó el 24 de enero de 2023, faltando once (11) meses y seis (6) días para la terminación del período.</w:t>
      </w:r>
    </w:p>
    <w:p>
      <w:pPr>
        <w:jc w:val="both"/>
      </w:pPr>
      <w:r>
        <w:rPr>
          <w:b/>
        </w:rPr>
        <w:t xml:space="preserve">OCTAVO: </w:t>
      </w:r>
      <w:r>
        <w:rPr>
          <w:b w:val="0"/>
        </w:rPr>
        <w:t>El 12 de septiembre de 2022 el señor Arias Agudelo, por conducto de apoderado, interpuso acción de tutela contra la sentencia del 25 de agosto de 2022, por defecto sustantivo y defecto fáctico (radicado 11001-03-15-000-2022-04916-00). La Sección Quinta del Consejo de Estado, en sentencia del 27 de octubre de 2022, la declaró IMPROCEDENTE por supuesta falta de relevancia constitucional; impugnada, la Sección Tercera – Subsección C, en sentencia del 27 de enero de 2023, CONFIRMÓ la improcedencia. Con ello el afectado agotó todos los mecanismos a su alcance contra la providencia dañosa.</w:t>
      </w:r>
    </w:p>
    <w:p>
      <w:pPr>
        <w:jc w:val="both"/>
      </w:pPr>
      <w:r>
        <w:rPr>
          <w:b/>
        </w:rPr>
        <w:t xml:space="preserve">NOVENO: </w:t>
      </w:r>
      <w:r>
        <w:rPr>
          <w:b w:val="0"/>
        </w:rPr>
        <w:t>Seleccionado el asunto para revisión (expedientes T-9.321.704 y T-9.344.130 acumulados), la Sala Plena de la Corte Constitucional profirió la sentencia de unificación SU-501 de 2024 (28 de noviembre de 2024, M.P. Juan Carlos Cortés González), en la cual: (i) revocó los fallos de tutela de instancia; (ii) AMPARÓ los derechos fundamentales al debido proceso, a elegir y ser elegido y al ejercicio de cargos públicos del señor Arias Agudelo; (iii) DEJÓ SIN EFECTOS la sentencia del 25 de agosto de 2022; y (iv) ordenó a la Sección Primera dictar sentencia de reemplazo en treinta (30) días hábiles.</w:t>
      </w:r>
    </w:p>
    <w:p>
      <w:pPr>
        <w:jc w:val="both"/>
      </w:pPr>
      <w:r>
        <w:rPr>
          <w:b/>
        </w:rPr>
        <w:t xml:space="preserve">DÉCIMO: </w:t>
      </w:r>
      <w:r>
        <w:rPr>
          <w:b w:val="0"/>
        </w:rPr>
        <w:t>La Corte Constitucional declaró que la sentencia anulada incurrió en DEFECTO SUSTANTIVO — interpretación extensiva, incompatible con la Constitución, del concepto de "autoridad administrativa" del artículo 190 de la Ley 136 de 1994, pues la coordinación del consejo directivo con el rector no traslada la ordenación del gasto, la autorización de contratos no equivale a su celebración, y el representante docente carece de autonomía decisoria — y en DEFECTO FÁCTICO — del Acta No. 1 del 29 de enero de 2019 "es imposible derivar cualquier tipo de justificación para decretar la pérdida de investidura", por lo que se dio por probado, erradamente, el elemento temporal de la inhabilidad.</w:t>
      </w:r>
    </w:p>
    <w:p>
      <w:pPr>
        <w:jc w:val="both"/>
      </w:pPr>
      <w:r>
        <w:rPr>
          <w:b/>
        </w:rPr>
        <w:t xml:space="preserve">UNDÉCIMO: </w:t>
      </w:r>
      <w:r>
        <w:rPr>
          <w:b w:val="0"/>
        </w:rPr>
        <w:t>En cumplimiento de la SU-501 de 2024, la Sección Primera del Consejo de Estado profirió la sentencia de reemplazo del 8 de mayo de 2025 (C.P. Oswaldo Giraldo López), que CONFIRMÓ la sentencia del 26 de noviembre de 2020 del Tribunal Administrativo de Antioquia, denegatoria de la pérdida de investidura. Es hoy cosa juzgada que el señor Arias Agudelo NO incurrió en causal alguna de pérdida de investidura. El consejero ponente aclaró su voto el 20 de mayo de 2025.</w:t>
      </w:r>
    </w:p>
    <w:p>
      <w:pPr>
        <w:jc w:val="both"/>
      </w:pPr>
      <w:r>
        <w:rPr>
          <w:b/>
        </w:rPr>
        <w:t xml:space="preserve">DUODÉCIMO: </w:t>
      </w:r>
      <w:r>
        <w:rPr>
          <w:b w:val="0"/>
        </w:rPr>
        <w:t>La reparación in natura resultó imposible: la absolución definitiva llegó cuando el período constitucional 2020-2023 había expirado. El tiempo de ejercicio del cargo, la representación política y los honorarios correspondientes se perdieron de manera irreversible; el daño quedó consumado y solo es reparable por equivalente pecuniario.</w:t>
      </w:r>
    </w:p>
    <w:p>
      <w:pPr>
        <w:jc w:val="both"/>
      </w:pPr>
      <w:r>
        <w:rPr>
          <w:b/>
        </w:rPr>
        <w:t xml:space="preserve">DECIMOTERCERO: </w:t>
      </w:r>
      <w:r>
        <w:rPr>
          <w:b w:val="0"/>
        </w:rPr>
        <w:t>Durante la vigencia de la sanción — del 26 de octubre de 2022 hasta la SU-501 de 2024 — el señor Arias Agudelo estuvo cobijado además por la inhabilidad derivada de la pérdida de investidura, con el consiguiente escarnio público, afectación de su honra y buen nombre y frustración de su proyecto de vida político, daños que se extendieron a su cónyuge, madre, hijo y hermanas.</w:t>
      </w:r>
    </w:p>
    <w:p>
      <w:pPr>
        <w:jc w:val="both"/>
      </w:pPr>
      <w:r>
        <w:rPr>
          <w:b/>
        </w:rPr>
        <w:t xml:space="preserve">DECIMOCUARTO: </w:t>
      </w:r>
      <w:r>
        <w:rPr>
          <w:b w:val="0"/>
        </w:rPr>
        <w:t>Como consecuencia directa del error, el señor Arias Agudelo debió sufragar la defensa técnica del proceso de pérdida de investidura y del trámite constitucional: VEINTICINCO MILLONES DE PESOS ($25.000.000) pagados al abogado Hugo de Jesús Henao Longas (recibo y paz y salvo del 1 de diciembre de 2025), además de gastos procesales y administrativos conexos estimados en VEINTE MILLONES DE PESOS ($20.000.000), conforme a los soportes que se alleguen.</w:t>
      </w:r>
    </w:p>
    <w:p>
      <w:pPr>
        <w:jc w:val="both"/>
      </w:pPr>
      <w:r>
        <w:rPr>
          <w:b/>
        </w:rPr>
        <w:t xml:space="preserve">DECIMOQUINTO: </w:t>
      </w:r>
      <w:r>
        <w:rPr>
          <w:b w:val="0"/>
        </w:rPr>
        <w:t>La Secretaría General del Concejo Municipal de Bello certificó el 4 de febrero de 2026 el valor de los honorarios por sesión ($469.766 en 2022 y $531.399 en 2023) y el no pago de honorarios al señor Arias Agudelo desde su separación. Pese a la SU-501 de 2024 y a la sentencia de reemplazo, ni el Concejo ni el Municipio de Bello han reconocido o pagado suma alguna por el período en que el concejal estuvo indebidamente separado de su curul.</w:t>
      </w:r>
    </w:p>
    <w:p>
      <w:pPr>
        <w:jc w:val="both"/>
      </w:pPr>
      <w:r>
        <w:rPr>
          <w:b/>
        </w:rPr>
        <w:t xml:space="preserve">DECIMOSEXTO: </w:t>
      </w:r>
      <w:r>
        <w:rPr>
          <w:b w:val="0"/>
        </w:rPr>
        <w:t>El nexo causal es directo y exclusivo: el daño provino de la sentencia del 25 de agosto de 2022, cuya contrariedad con el ordenamiento declaró la Corte Constitucional. No medió culpa de la víctima — quien obró lícitamente, como lo estableció la justicia —, ni hecho determinante de tercero, ni fuerza mayor.</w:t>
      </w:r>
    </w:p>
    <w:p>
      <w:pPr>
        <w:jc w:val="both"/>
      </w:pPr>
      <w:r>
        <w:rPr>
          <w:b/>
        </w:rPr>
        <w:t xml:space="preserve">DECIMOSÉPTIMO: </w:t>
      </w:r>
      <w:r>
        <w:rPr>
          <w:b w:val="0"/>
        </w:rPr>
        <w:t>Sobre la oportunidad de la demanda (artículo 164, numeral 2, literal i, del CPACA): el término de dos (2) años se cuenta desde cuando el demandante "tuvo o debió tener conocimiento" del daño antijurídico, si fue posterior a su ocurrencia y se prueba la imposibilidad de conocerlo antes. Mientras la sentencia del 25 de agosto de 2022 estuvo en firme y amparada por la presunción de legalidad y la cosa juzgada — presunción que dos fallos de tutela mantuvieron al declarar improcedente el amparo —, el daño no era jurídicamente calificable como antijurídico ni el error podía ser declarado (artículo 66 de la Ley 270 de 1996). Solo con la SU-501 de 2024, proferida el 28 de noviembre de 2024 y notificada en fecha posterior, el demandante tuvo conocimiento cierto y jurídicamente exigible de la antijuridicidad del daño, certeza que se consolidó con la sentencia de reemplazo del 8 de mayo de 2025. El término bienal vence, así, el 28 de noviembre de 2026 en la hipótesis más restrictiva, o el 8 de mayo de 2027 en la segunda, sin contar la suspensión por el trámite conciliatorio.</w:t>
      </w:r>
    </w:p>
    <w:p>
      <w:pPr>
        <w:jc w:val="both"/>
      </w:pPr>
      <w:r>
        <w:rPr>
          <w:b/>
        </w:rPr>
        <w:t xml:space="preserve">DECIMOCTAVO: </w:t>
      </w:r>
      <w:r>
        <w:rPr>
          <w:b w:val="0"/>
        </w:rPr>
        <w:t>Agotamiento del requisito de procedibilidad (artículo 161, numeral 1, del CPACA, modificado por la Ley 2080 de 2021; Ley 2220 de 2022): el 29 de mayo de 2026 se radicó la solicitud de conciliación extrajudicial (IUS E-2026-302190, IUC I-2026-4360943) ante la Procuraduría, admitida por auto del 3 de junio de 2026 y tramitada por la Procuraduría 193 Judicial I para Asuntos Administrativos de Medellín. En la audiencia del 9 de julio de 2026: (i) la Nación – Rama Judicial manifestó concepto desfavorable (sesión 21 del 8 de julio de 2026 del Comité Seccional, certificado 181), invocando caducidad; y (ii) el Concejo Municipal de Bello NO compareció pese a estar debidamente citado. La audiencia se declaró fallida y se dispuso la expedición de la constancia de que tratan los artículos 110 y 112 de la Ley 2220 de 2022, que se anexa. El término de caducidad estuvo suspendido desde la radicación (29 de mayo de 2026) hasta la expedición de la constancia.</w:t>
      </w:r>
    </w:p>
    <w:p>
      <w:pPr>
        <w:jc w:val="both"/>
      </w:pPr>
      <w:r>
        <w:rPr>
          <w:b/>
        </w:rPr>
        <w:t xml:space="preserve">DECIMONOVENO: </w:t>
      </w:r>
      <w:r>
        <w:rPr>
          <w:b w:val="0"/>
        </w:rPr>
        <w:t>El único trámite conciliatorio que soporta el requisito de procedibilidad de esta demanda es el identificado con el radicado IUS E-2026-302190.</w:t>
      </w:r>
    </w:p>
    <w:p>
      <w:pPr>
        <w:spacing w:after="200"/>
        <w:jc w:val="left"/>
      </w:pPr>
      <w:r>
        <w:rPr>
          <w:b/>
          <w:sz w:val="24"/>
        </w:rPr>
        <w:t>IV. FUNDAMENTOS DE DERECHO</w:t>
      </w:r>
    </w:p>
    <w:p>
      <w:pPr>
        <w:spacing w:after="80"/>
        <w:jc w:val="left"/>
      </w:pPr>
      <w:r>
        <w:rPr>
          <w:b/>
          <w:sz w:val="22"/>
        </w:rPr>
        <w:t>1. Título de imputación: error jurisdiccional declarado con fuerza de cosa juzgada constitucional.</w:t>
      </w:r>
    </w:p>
    <w:p>
      <w:pPr>
        <w:spacing w:after="160"/>
        <w:jc w:val="both"/>
      </w:pPr>
      <w:r>
        <w:rPr>
          <w:b w:val="0"/>
          <w:sz w:val="22"/>
        </w:rPr>
        <w:t>El artículo 90 de la Constitución consagra la cláusula general de responsabilidad patrimonial del Estado. Los artículos 65, 66 y 67 de la Ley 270 de 1996 desarrollan la responsabilidad por el error jurisdiccional: providencia contraria a la ley, proferida por una autoridad investida de facultad jurisdiccional, en firme y respecto de la cual el afectado interpuso los recursos de ley. La Corte Constitucional, en la sentencia C-037 de 1996, precisó que frente a las altas corporaciones el error jurisdiccional se configura cuando la providencia constituye una vía de hecho. En este caso, ese estándar está satisfecho por la declaración misma de la Corte Constitucional: la SU-501 de 2024 estableció, con efectos de cosa juzgada constitucional (artículo 243 de la Constitución) y como precedente de unificación de obligatorio acatamiento, que la sentencia del 25 de agosto de 2022 incurrió concurrentemente en defecto sustantivo y en defecto fáctico. El juez de la reparación no debe calificar de nuevo el error: le basta constatar su declaración y los perjuicios derivados. Los presupuestos del artículo 67 están cumplidos: contra la sentencia de segunda instancia no procedía recurso ordinario alguno; el afectado formuló solicitud de aclaración (resuelta el 10 de octubre de 2022) y ejerció la acción de tutela en dos instancias hasta obtener la revisión de la Corte; y la providencia estaba en firme desde el 26 de octubre de 2022.</w:t>
      </w:r>
    </w:p>
    <w:p>
      <w:pPr>
        <w:spacing w:after="80"/>
        <w:jc w:val="left"/>
      </w:pPr>
      <w:r>
        <w:rPr>
          <w:b/>
          <w:sz w:val="22"/>
        </w:rPr>
        <w:t>2. El daño antijurídico y su extensión.</w:t>
      </w:r>
    </w:p>
    <w:p>
      <w:pPr>
        <w:spacing w:after="160"/>
        <w:jc w:val="both"/>
      </w:pPr>
      <w:r>
        <w:rPr>
          <w:b w:val="0"/>
          <w:sz w:val="22"/>
        </w:rPr>
        <w:t>La separación de la curul — declarada contraria a derecho — produjo: (i) lucro cesante, por los honorarios de concejal dejados de percibir entre el 29 de octubre de 2022 y el 31 de diciembre de 2023 (artículo 66 de la Ley 136 de 1994, modificado por la Ley 1368 de 2009); (ii) daño emergente, por los gastos de defensa necesarios para remover la providencia errada; y (iii) perjuicios inmateriales: daño moral y afectación de bienes constitucional y convencionalmente protegidos (derechos políticos — artículo 40 de la Constitución y artículo 23 de la Convención Americana —, honra, buen nombre y proyecto de vida), que se extienden al núcleo familiar conforme a las presunciones derivadas del parentesco.</w:t>
      </w:r>
    </w:p>
    <w:p>
      <w:pPr>
        <w:spacing w:after="80"/>
        <w:jc w:val="left"/>
      </w:pPr>
      <w:r>
        <w:rPr>
          <w:b/>
          <w:sz w:val="22"/>
        </w:rPr>
        <w:t>3. Oportunidad: el cómputo de la caducidad.</w:t>
      </w:r>
    </w:p>
    <w:p>
      <w:pPr>
        <w:spacing w:after="160"/>
        <w:jc w:val="both"/>
      </w:pPr>
      <w:r>
        <w:rPr>
          <w:b w:val="0"/>
          <w:sz w:val="22"/>
        </w:rPr>
        <w:t>El artículo 164, numeral 2, literal i, del CPACA fija el término de dos (2) años "contados a partir del día siguiente al de la ocurrencia de la acción u omisión causante del daño, o de cuando el demandante tuvo o debió tener conocimiento del mismo si fue en fecha posterior y siempre que pruebe la imposibilidad de haberlo conocido en la fecha de su ocurrencia". En materia de error jurisdiccional el daño solo adquiere el carácter de antijurídico — y por ende de indemnizable — cuando una decisión judicial remueve la presunción de legalidad y la cosa juzgada de la providencia que lo causó (artículo 66 de la Ley 270 de 1996). La imposibilidad de conocimiento anterior está probada en el propio expediente: dos fallos de tutela (27 de octubre de 2022 y 27 de enero de 2023) negaron el debate por improcedente. La misma lógica sustenta la sentencia de unificación de la Sala Plena de la Sección Tercera del Consejo de Estado del 29 de enero de 2020 (radicación 85001-33-33-002-2016-00114-01, expediente 61033) que, para la privación injusta de la libertad, computa la caducidad desde la ejecutoria de la providencia que consolida la certeza del carácter injusto del daño: aplicada al presente asunto, el término corre desde la SU-501 de 2024 (28 de noviembre de 2024) o, a lo sumo, desde la sentencia de reemplazo (8 de mayo de 2025). A ello se suma la suspensión del término durante el trámite conciliatorio (29 de mayo de 2026 hasta la expedición de la constancia — Ley 2220 de 2022 y artículo 161 del CPACA). La demanda es, en consecuencia, oportuna bajo cualquiera de las hipótesis.</w:t>
      </w:r>
    </w:p>
    <w:p>
      <w:pPr>
        <w:spacing w:after="80"/>
        <w:jc w:val="left"/>
      </w:pPr>
      <w:r>
        <w:rPr>
          <w:b/>
          <w:sz w:val="22"/>
        </w:rPr>
        <w:t>4. Requisito de procedibilidad.</w:t>
      </w:r>
    </w:p>
    <w:p>
      <w:pPr>
        <w:spacing w:after="160"/>
        <w:jc w:val="both"/>
      </w:pPr>
      <w:r>
        <w:rPr>
          <w:b w:val="0"/>
          <w:sz w:val="22"/>
        </w:rPr>
        <w:t>Agotado conforme al hecho DECIMOCTAVO: concepto desfavorable de la Nación – Rama Judicial e inasistencia injustificada del Concejo Municipal de Bello en la audiencia del 9 de julio de 2026, con constancia expedida en los términos de los artículos 110 y 112 de la Ley 2220 de 2022.</w:t>
      </w:r>
    </w:p>
    <w:p>
      <w:pPr>
        <w:spacing w:after="80"/>
        <w:jc w:val="left"/>
      </w:pPr>
      <w:r>
        <w:rPr>
          <w:b/>
          <w:sz w:val="22"/>
        </w:rPr>
        <w:t>5. Régimen de perjuicios inmateriales.</w:t>
      </w:r>
    </w:p>
    <w:p>
      <w:pPr>
        <w:spacing w:after="160"/>
        <w:jc w:val="both"/>
      </w:pPr>
      <w:r>
        <w:rPr>
          <w:b w:val="0"/>
          <w:sz w:val="22"/>
        </w:rPr>
        <w:t>Las sentencias de unificación de la Sección Tercera del Consejo de Estado del 28 de agosto de 2014 reconocen el daño moral por niveles de cercanía (nivel 1: víctima directa, cónyuge y parientes en primer grado — hasta 100 SMLMV; nivel 2: hermanos — hasta 50 SMLMV) y el daño a bienes constitucional y convencionalmente protegidos (hasta 100 SMLMV para la víctima directa en casos de especial gravedad). Las sumas aquí pedidas respetan esos topes: se solicitan 100 SMLMV para la víctima directa, 50 para cónyuge, madre e hijo, 25 para cada hermana, y 100 SMLMV por la afectación autónoma de los derechos políticos.</w:t>
      </w:r>
    </w:p>
    <w:p>
      <w:pPr>
        <w:spacing w:after="80"/>
        <w:jc w:val="left"/>
      </w:pPr>
      <w:r>
        <w:rPr>
          <w:b/>
          <w:sz w:val="22"/>
        </w:rPr>
        <w:t>6. Competencia y cuantía.</w:t>
      </w:r>
    </w:p>
    <w:p>
      <w:pPr>
        <w:spacing w:after="160"/>
        <w:jc w:val="both"/>
      </w:pPr>
      <w:r>
        <w:rPr>
          <w:b w:val="0"/>
          <w:sz w:val="22"/>
        </w:rPr>
        <w:t>Conforme al artículo 155, numeral 6, del CPACA, modificado por la Ley 2080 de 2021, los juzgados administrativos conocen en primera instancia de los procesos de reparación directa, "inclusive aquellos provenientes de la acción u omisión de los agentes judiciales", cuando la cuantía no exceda de mil (1.000) SMLMV, equivalentes en 2026 a MIL QUINIENTOS SETENTA Y SEIS MILLONES QUINIENTOS MIL PESOS ($1.576.500.000). Según el artículo 157 ibidem, la cuantía se determina por la estimación razonada de los perjuicios, sin computar los inmateriales, y, en caso de acumulación, por la pretensión mayor, con el SMLMV vigente a la presentación de la demanda. La pretensión mayor — los perjuicios materiales de la víctima directa — asciende a $172.164.301,50, equivalente a ciento nueve (109) SMLMV de 2026: la competencia corresponde a los Juzgados Administrativos del Circuito de Medellín. Territorialmente (artículo 156 del CPACA), el daño se concretó en el municipio de Bello, perteneciente al Circuito Judicial de Medellín, donde además tiene su sede la corporación municipal demandada.</w:t>
      </w:r>
    </w:p>
    <w:p>
      <w:pPr>
        <w:spacing w:after="200"/>
        <w:jc w:val="left"/>
      </w:pPr>
      <w:r>
        <w:rPr>
          <w:b/>
          <w:sz w:val="24"/>
        </w:rPr>
        <w:t>V. PRUEBAS</w:t>
      </w:r>
    </w:p>
    <w:p>
      <w:pPr>
        <w:spacing w:after="80"/>
        <w:jc w:val="left"/>
      </w:pPr>
      <w:r>
        <w:rPr>
          <w:b w:val="0"/>
          <w:sz w:val="22"/>
        </w:rPr>
        <w:t>Solicitamos tener y decretar como pruebas:</w:t>
      </w:r>
    </w:p>
    <w:p>
      <w:pPr>
        <w:jc w:val="both"/>
      </w:pPr>
      <w:r>
        <w:rPr>
          <w:b/>
        </w:rPr>
        <w:t xml:space="preserve">1. </w:t>
      </w:r>
      <w:r>
        <w:rPr>
          <w:b w:val="0"/>
        </w:rPr>
        <w:t>Copia de la sentencia de unificación SU-501 de 2024 de la Corte Constitucional y constancia de su notificación.</w:t>
      </w:r>
    </w:p>
    <w:p>
      <w:pPr>
        <w:jc w:val="both"/>
      </w:pPr>
      <w:r>
        <w:rPr>
          <w:b/>
        </w:rPr>
        <w:t xml:space="preserve">2. </w:t>
      </w:r>
      <w:r>
        <w:rPr>
          <w:b w:val="0"/>
        </w:rPr>
        <w:t>Copia de la sentencia de reemplazo del 8 de mayo de 2025 (Sección Primera, rad. 05001-23-33-000-2020-02441-01) y de su aclaración de voto del 20 de mayo de 2025.</w:t>
      </w:r>
    </w:p>
    <w:p>
      <w:pPr>
        <w:jc w:val="both"/>
      </w:pPr>
      <w:r>
        <w:rPr>
          <w:b/>
        </w:rPr>
        <w:t xml:space="preserve">3. </w:t>
      </w:r>
      <w:r>
        <w:rPr>
          <w:b w:val="0"/>
        </w:rPr>
        <w:t>Copia de la sentencia del 25 de agosto de 2022 (providencia generadora del daño), del salvamento de voto y de la constancia secretarial de ejecutoria del 26 de octubre de 2022 (oficio 2637 del 27 de octubre de 2022).</w:t>
      </w:r>
    </w:p>
    <w:p>
      <w:pPr>
        <w:jc w:val="both"/>
      </w:pPr>
      <w:r>
        <w:rPr>
          <w:b/>
        </w:rPr>
        <w:t xml:space="preserve">4. </w:t>
      </w:r>
      <w:r>
        <w:rPr>
          <w:b w:val="0"/>
        </w:rPr>
        <w:t>Copia de la sentencia del 26 de noviembre de 2020 del Tribunal Administrativo de Antioquia.</w:t>
      </w:r>
    </w:p>
    <w:p>
      <w:pPr>
        <w:jc w:val="both"/>
      </w:pPr>
      <w:r>
        <w:rPr>
          <w:b/>
        </w:rPr>
        <w:t xml:space="preserve">5. </w:t>
      </w:r>
      <w:r>
        <w:rPr>
          <w:b w:val="0"/>
        </w:rPr>
        <w:t>Copias de las sentencias de tutela del 27 de octubre de 2022 (Sección Quinta) y del 27 de enero de 2023 (Sección Tercera – Subsección C), rad. 11001-03-15-000-2022-04916.</w:t>
      </w:r>
    </w:p>
    <w:p>
      <w:pPr>
        <w:jc w:val="both"/>
      </w:pPr>
      <w:r>
        <w:rPr>
          <w:b/>
        </w:rPr>
        <w:t xml:space="preserve">6. </w:t>
      </w:r>
      <w:r>
        <w:rPr>
          <w:b w:val="0"/>
        </w:rPr>
        <w:t>Oficio del Concejo Municipal de Bello del 28 de octubre de 2022 (exclusión del orden del día) y acto de formalización de la separación de la curul del 24 de enero de 2023.</w:t>
      </w:r>
    </w:p>
    <w:p>
      <w:pPr>
        <w:jc w:val="both"/>
      </w:pPr>
      <w:r>
        <w:rPr>
          <w:b/>
        </w:rPr>
        <w:t xml:space="preserve">7. </w:t>
      </w:r>
      <w:r>
        <w:rPr>
          <w:b w:val="0"/>
        </w:rPr>
        <w:t>Certificaciones de la Secretaría General del Concejo Municipal de Bello del 4 de febrero de 2026 (valor de honorarios por sesión 2022 y 2023; no pago de honorarios) y respuesta del 12 de febrero de 2026 al derecho de petición.</w:t>
      </w:r>
    </w:p>
    <w:p>
      <w:pPr>
        <w:jc w:val="both"/>
      </w:pPr>
      <w:r>
        <w:rPr>
          <w:b/>
        </w:rPr>
        <w:t xml:space="preserve">8. </w:t>
      </w:r>
      <w:r>
        <w:rPr>
          <w:b w:val="0"/>
        </w:rPr>
        <w:t>Formulario E-26 / credencial que acredita la elección del señor Arias Agudelo como concejal de Bello 2020-2023 y acta de posesión.</w:t>
      </w:r>
    </w:p>
    <w:p>
      <w:pPr>
        <w:jc w:val="both"/>
      </w:pPr>
      <w:r>
        <w:rPr>
          <w:b/>
        </w:rPr>
        <w:t xml:space="preserve">9. </w:t>
      </w:r>
      <w:r>
        <w:rPr>
          <w:b w:val="0"/>
        </w:rPr>
        <w:t>Recibo de pago y paz y salvo del 1 de diciembre de 2025 del abogado Hugo de Jesús Henao Longas y contrato de prestación de servicios profesionales; soportes de gastos procesales conexos.</w:t>
      </w:r>
    </w:p>
    <w:p>
      <w:pPr>
        <w:jc w:val="both"/>
      </w:pPr>
      <w:r>
        <w:rPr>
          <w:b/>
        </w:rPr>
        <w:t xml:space="preserve">10. </w:t>
      </w:r>
      <w:r>
        <w:rPr>
          <w:b w:val="0"/>
        </w:rPr>
        <w:t>Registros civiles de nacimiento de la víctima directa, de su hijo y de sus hermanas; registro civil de nacimiento de la madre; registro civil de matrimonio (o prueba de la convivencia) con Doris Elena Restrepo Giraldo; copias de las cédulas de los demandantes.</w:t>
      </w:r>
    </w:p>
    <w:p>
      <w:pPr>
        <w:jc w:val="both"/>
      </w:pPr>
      <w:r>
        <w:rPr>
          <w:b/>
        </w:rPr>
        <w:t xml:space="preserve">11. </w:t>
      </w:r>
      <w:r>
        <w:rPr>
          <w:b w:val="0"/>
        </w:rPr>
        <w:t>Solicitud de conciliación radicada el 29 de mayo de 2026 (IUS E-2026-302190) con sus anexos; auto admisorio del 3 de junio de 2026; acta de audiencia del 9 de julio de 2026; constancia de agotamiento del requisito de procedibilidad.</w:t>
      </w:r>
    </w:p>
    <w:p>
      <w:pPr>
        <w:jc w:val="both"/>
      </w:pPr>
      <w:r>
        <w:rPr>
          <w:b/>
        </w:rPr>
        <w:t xml:space="preserve">12. </w:t>
      </w:r>
      <w:r>
        <w:rPr>
          <w:b w:val="0"/>
        </w:rPr>
        <w:t>Copia del expediente digital del proceso de pérdida de investidura rad. 05001-23-33-000-2020-02441-00/01, como prueba trasladada.</w:t>
      </w:r>
    </w:p>
    <w:p>
      <w:pPr>
        <w:spacing w:after="80"/>
        <w:jc w:val="left"/>
      </w:pPr>
      <w:r>
        <w:rPr>
          <w:b/>
          <w:sz w:val="22"/>
        </w:rPr>
        <w:t>Por oficio:</w:t>
      </w:r>
    </w:p>
    <w:p>
      <w:pPr>
        <w:spacing w:after="160"/>
        <w:jc w:val="both"/>
      </w:pPr>
      <w:r>
        <w:rPr>
          <w:b w:val="0"/>
          <w:sz w:val="22"/>
        </w:rPr>
        <w:t>Que se oficie a la Secretaría General del Concejo Municipal de Bello para que certifique: (i) el número de sesiones ordinarias y extraordinarias efectivamente realizadas y pagadas a los concejales entre el 28 de octubre de 2022 y el 31 de diciembre de 2023, con sus valores; (ii) la fecha de la última sesión pagada al señor Arias Agudelo; y (iii) el acto mediante el cual se proveyó su reemplazo. Que se oficie a la Corte Constitucional para que certifique la fecha de notificación de la SU-501 de 2024.</w:t>
      </w:r>
    </w:p>
    <w:p>
      <w:pPr>
        <w:spacing w:after="80"/>
        <w:jc w:val="left"/>
      </w:pPr>
      <w:r>
        <w:rPr>
          <w:b/>
          <w:sz w:val="22"/>
        </w:rPr>
        <w:t>Interrogatorios y testimonios:</w:t>
      </w:r>
    </w:p>
    <w:p>
      <w:pPr>
        <w:spacing w:after="160"/>
        <w:jc w:val="both"/>
      </w:pPr>
      <w:r>
        <w:rPr>
          <w:b w:val="0"/>
          <w:sz w:val="22"/>
        </w:rPr>
        <w:t>Interrogatorio de parte de los representantes de las demandadas, y los testimonios que se relacionarán en la oportunidad procesal, dirigidos a acreditar la magnitud del daño moral y la afectación del núcleo familiar.</w:t>
      </w:r>
    </w:p>
    <w:p>
      <w:pPr>
        <w:spacing w:after="200"/>
        <w:jc w:val="left"/>
      </w:pPr>
      <w:r>
        <w:rPr>
          <w:b/>
          <w:sz w:val="24"/>
        </w:rPr>
        <w:t>VI. JURAMENTO ESTIMATORIO</w:t>
      </w:r>
    </w:p>
    <w:p>
      <w:pPr>
        <w:spacing w:after="160"/>
        <w:jc w:val="both"/>
      </w:pPr>
      <w:r>
        <w:rPr>
          <w:b w:val="0"/>
          <w:sz w:val="22"/>
        </w:rPr>
        <w:t>En cumplimiento del artículo 206 del Código General del Proceso, aplicable por remisión del artículo 306 del CPACA, manifestamos bajo la gravedad del juramento que la estimación de los perjuicios materiales reclamados — CIENTO SETENTA Y DOS MILLONES CIENTO SESENTA Y CUATRO MIL TRESCIENTOS UN PESOS CON CINCUENTA CENTAVOS ($172.164.301,50) — es razonada, se discrimina por conceptos en el capítulo de pretensiones y se soporta en las certificaciones, recibos y liquidación técnica anexas. Los perjuicios inmateriales se estiman conforme a los topes de las sentencias de unificación del 28 de agosto de 2014, cuya tasación definitiva corresponde al prudente arbitrio judicial.</w:t>
      </w:r>
    </w:p>
    <w:p>
      <w:pPr>
        <w:spacing w:after="200"/>
        <w:jc w:val="left"/>
      </w:pPr>
      <w:r>
        <w:rPr>
          <w:b/>
          <w:sz w:val="24"/>
        </w:rPr>
        <w:t>VII. ANEXOS</w:t>
      </w:r>
    </w:p>
    <w:p>
      <w:pPr>
        <w:spacing w:after="160"/>
        <w:jc w:val="both"/>
      </w:pPr>
      <w:r>
        <w:rPr>
          <w:b w:val="0"/>
          <w:sz w:val="22"/>
        </w:rPr>
        <w:t>1. Poderes especiales otorgados por los seis demandantes, con facultades expresas. 2. Los documentos relacionados en el capítulo de pruebas. 3. Constancia de agotamiento del requisito de procedibilidad (IUS E-2026-302190). 4. Copias de las cédulas de ciudadanía de los demandantes. 5. Liquidación técnica del lucro cesante. 6. Copias de la demanda para traslados y archivo, conforme al artículo 162 del CPACA.</w:t>
      </w:r>
    </w:p>
    <w:p>
      <w:pPr>
        <w:spacing w:after="200"/>
        <w:jc w:val="left"/>
      </w:pPr>
      <w:r>
        <w:rPr>
          <w:b/>
          <w:sz w:val="24"/>
        </w:rPr>
        <w:t>VIII. NOTIFICACIONES</w:t>
      </w:r>
    </w:p>
    <w:p>
      <w:pPr>
        <w:spacing w:after="160"/>
        <w:jc w:val="both"/>
      </w:pPr>
      <w:r>
        <w:rPr>
          <w:b w:val="0"/>
          <w:sz w:val="22"/>
        </w:rPr>
        <w:t>Demandadas: La Nación – Rama Judicial, Dirección Ejecutiva de Administración Judicial: Carrera 7 No. 27-18, Bogotá D.C., correo deajnotif@deaj.ramajudicial.gov.co; Consejo de Estado – Sección Primera (vinculado): ces1secr@consejodeestado.gov.co; Tribunal Administrativo de Antioquia (vinculado): demandastaant@cendoj.ramajudicial.gov.co. Municipio de Bello – Concejo Municipal de Bello: Carrera 50 No. 51-00, Bello; notificaciones.judiciales@concejodebello.gov.co e info@concejodebello.gov.co; Alcaldía de Bello (representación del Municipio): correo oficial de notificaciones judiciales de la Alcaldía. Agencia Nacional de Defensa Jurídica del Estado: Calle 70 No. 4-60, Bogotá D.C., notificacionesjudiciales@defensajuridica.gov.co.</w:t>
      </w:r>
    </w:p>
    <w:p>
      <w:pPr>
        <w:spacing w:after="160"/>
        <w:jc w:val="both"/>
      </w:pPr>
      <w:r>
        <w:rPr>
          <w:b w:val="0"/>
          <w:sz w:val="22"/>
        </w:rPr>
        <w:t>Demandantes: Óscar Darío Arias Agudelo (oscar1ab@hotmail.com, Carrera 65A No. 76-48, segundo piso, Bello); Doris Elena Restrepo Giraldo y Chris Alvin Arias Restrepo (chrisol21@hotmail.com, Carrera 61 No. 56A-09, Bello); María Mercedes Agudelo Ospina (oscar1ab@hotmail.com, Bello); Luz Mery Arias Agudelo (luzmery0108@hotmail.com, Carrera 65A No. 76-48, apto. 301, Bello); Nubia Ledy Arias Agudelo (oscar1ab@hotmail.com, Carrera 65A No. 76-48, segundo piso, Bello).</w:t>
      </w:r>
    </w:p>
    <w:p>
      <w:pPr>
        <w:spacing w:after="160"/>
        <w:jc w:val="both"/>
      </w:pPr>
      <w:r>
        <w:rPr>
          <w:b w:val="0"/>
          <w:sz w:val="22"/>
        </w:rPr>
        <w:t>Apoderados: Calle 27B No. 58A-16, Bello, Antioquia; correos anapatriciao@hotmail.com y abogadojr@aliado.co.</w:t>
      </w:r>
    </w:p>
    <w:p>
      <w:pPr>
        <w:spacing w:after="160"/>
        <w:jc w:val="left"/>
      </w:pPr>
      <w:r>
        <w:rPr>
          <w:b w:val="0"/>
          <w:sz w:val="22"/>
        </w:rPr>
        <w:t>Del señor Juez, atentamente,</w:t>
      </w:r>
    </w:p>
    <w:p/>
    <w:p/>
    <w:p>
      <w:pPr>
        <w:spacing w:after="0"/>
        <w:jc w:val="left"/>
      </w:pPr>
      <w:r>
        <w:rPr>
          <w:b w:val="0"/>
          <w:sz w:val="22"/>
        </w:rPr>
        <w:t>________________________________________</w:t>
      </w:r>
    </w:p>
    <w:p>
      <w:pPr>
        <w:spacing w:after="0"/>
        <w:jc w:val="left"/>
      </w:pPr>
      <w:r>
        <w:rPr>
          <w:b/>
          <w:sz w:val="22"/>
        </w:rPr>
        <w:t>ANA PATRICIA OCHOA PELÁEZ</w:t>
      </w:r>
    </w:p>
    <w:p>
      <w:pPr>
        <w:spacing w:after="0"/>
        <w:jc w:val="left"/>
      </w:pPr>
      <w:r>
        <w:rPr>
          <w:b w:val="0"/>
          <w:sz w:val="22"/>
        </w:rPr>
        <w:t>T.P. 367.180 del Consejo Superior de la Judicatura — C.C. 43.439.471 de Bello</w:t>
      </w:r>
    </w:p>
    <w:p>
      <w:pPr>
        <w:spacing w:after="160"/>
        <w:jc w:val="left"/>
      </w:pPr>
      <w:r>
        <w:rPr>
          <w:b w:val="0"/>
          <w:sz w:val="22"/>
        </w:rPr>
        <w:t>Apoderada judicial principal</w:t>
      </w:r>
    </w:p>
    <w:p/>
    <w:p>
      <w:pPr>
        <w:spacing w:after="0"/>
        <w:jc w:val="left"/>
      </w:pPr>
      <w:r>
        <w:rPr>
          <w:b w:val="0"/>
          <w:sz w:val="22"/>
        </w:rPr>
        <w:t>________________________________________</w:t>
      </w:r>
    </w:p>
    <w:p>
      <w:pPr>
        <w:spacing w:after="0"/>
        <w:jc w:val="left"/>
      </w:pPr>
      <w:r>
        <w:rPr>
          <w:b/>
          <w:sz w:val="22"/>
        </w:rPr>
        <w:t>JORGE ÁNGEL CORTÉS CARTAGENA</w:t>
      </w:r>
    </w:p>
    <w:p>
      <w:pPr>
        <w:spacing w:after="0"/>
        <w:jc w:val="left"/>
      </w:pPr>
      <w:r>
        <w:rPr>
          <w:b w:val="0"/>
          <w:sz w:val="22"/>
        </w:rPr>
        <w:t>T.P. 365.594 del Consejo Superior de la Judicatura — C.C. 98.624.171 de Itagüí</w:t>
      </w:r>
    </w:p>
    <w:p>
      <w:pPr>
        <w:spacing w:after="160"/>
        <w:jc w:val="left"/>
      </w:pPr>
      <w:r>
        <w:rPr>
          <w:b w:val="0"/>
          <w:sz w:val="22"/>
        </w:rPr>
        <w:t>Apoderado suplente</w:t>
      </w:r>
    </w:p>
    <w:sectPr w:rsidR="00FC693F" w:rsidRPr="0006063C" w:rsidSect="00034616">
      <w:pgSz w:w="12240" w:h="15840"/>
      <w:pgMar w:top="1701"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