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reutilizable de modelos de clasificación y regresión</w:t>
      </w:r>
    </w:p>
    <w:p>
      <w:r>
        <w:rPr>
          <w:b w:val="0"/>
        </w:rPr>
        <w:t>Jorge Josué Flores González | Atlantis University</w:t>
      </w:r>
    </w:p>
    <w:p>
      <w:r>
        <w:rPr>
          <w:b w:val="0"/>
        </w:rPr>
        <w:t>MAI 540 | Kevin A. Garcia Gallardo | 6 de octubre de 2026</w:t>
      </w:r>
    </w:p>
    <w:p>
      <w:r>
        <w:rPr>
          <w:b w:val="0"/>
        </w:rPr>
        <w:t>La Skill convierte los errores de las tareas anteriores en criterios verificables. Se aplicó al archivo de biopsias recibido como original, a Iris y a un caso construido con Insurance. Detectó fuga de información y límites de evaluación; un resultado PASA no certifica seguridad clínica ni ausencia de sesgo.</w:t>
      </w:r>
    </w:p>
    <w:p>
      <w:r>
        <w:rPr>
          <w:b/>
        </w:rPr>
        <w:t>Criterios y origen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Criterio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Origen y regla aplicada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Métricas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Biopsias reportaba solo accuracy. Se exige matriz, precisión, recall y F 1 de malignos; coherencia numérica con predicciones.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Partición y selección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Comparación de Iris: mismos folds y semilla. Ajustar transformaciones y elegir k dentro del entrenamiento externo.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Fuga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Biopsias incluye sesiones derivadas del diagnóstico. FALLA si un predictor depende del objetivo o información posterior.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Subgrupos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20"/>
              </w:rPr>
              <w:t>El desempeño global puede ocultar diferencias. Alerta &gt;0.10 en recall o &gt;20% relativo en RMSE; soporte mínimo 20 y 10 positivos para recall.</w:t>
            </w:r>
          </w:p>
        </w:tc>
      </w:tr>
    </w:tbl>
    <w:p>
      <w:r>
        <w:rPr>
          <w:b w:val="0"/>
        </w:rPr>
        <w:t>Los umbrales son exploratorios, fijados antes de revisar resultados. Cada veredicto cita celda o línea y usa PASA, FALLA o NO SE PUEDE DETERMINAR. La Skill no modifica las entradas. Para regresión se comprueba MSE, RMSE y R²; un R² negativo es válido (scikit-learn developers, s. f.).</w:t>
      </w:r>
    </w:p>
    <w:p>
      <w:r>
        <w:t xml:space="preserve">Repositorio: </w:t>
      </w:r>
      <w:hyperlink r:id="rId10">
        <w:r>
          <w:t>https://github.com/Jorgefloresraiz/Tarea_4_1</w:t>
        </w:r>
      </w:hyperlink>
    </w:p>
    <w:p>
      <w:r/>
    </w:p>
    <w:p>
      <w:pPr>
        <w:pageBreakBefore/>
      </w:pPr>
      <w:r>
        <w:rPr>
          <w:b/>
        </w:rPr>
        <w:t>Resultados por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Proyecto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Detectado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Omisiones y falsos positivos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Biopsias recibido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Fuga; división por cero; falta de estratificación; solo accuracy; NameError en celda 11.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Detectó 2/2 defectos conocidos: fuga y división. Sin falso positivo confirmado en esos controles; no hay referencia exhaustiva.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Iris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KNN anidado correcto; selección exploratoria del árbol; faltan matrices OOF y subgrupos.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Temporalidad y costos requieren contexto. No se puede asegurar cero omisiones o falsos positivos.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Insurance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Métricas coherentes; interpretación residual incompleta;3 predicciones negativas. Regiones bajo umbral.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20"/>
              </w:rPr>
              <w:t>Sin identidad de pacientes ni fechas de captura. No se infiere equidad causal ni ausencia total de fallos.</w:t>
            </w:r>
          </w:p>
        </w:tc>
      </w:tr>
    </w:tbl>
    <w:p>
      <w:r>
        <w:rPr>
          <w:b w:val="0"/>
        </w:rPr>
        <w:t>En biopsias corregido: precisión 0.6923, recall 0.5094 y F1 0.5870 para malignos. Detectó 27 de 53 malignos; priorizar recall responde al costo de los 26 falsos negativos. Es evidencia educativa, no validación clínica.</w:t>
      </w:r>
    </w:p>
    <w:p>
      <w:r>
        <w:rPr>
          <w:b/>
        </w:rPr>
        <w:t>Figura 1</w:t>
      </w:r>
    </w:p>
    <w:p>
      <w:r>
        <w:rPr>
          <w:b w:val="0"/>
        </w:rPr>
        <w:t>Comparación de los cinco clasificadores de Iris</w:t>
      </w:r>
    </w:p>
    <w:p>
      <w:r/>
      <w:r>
        <w:drawing>
          <wp:inline xmlns:a="http://schemas.openxmlformats.org/drawingml/2006/main" xmlns:pic="http://schemas.openxmlformats.org/drawingml/2006/picture">
            <wp:extent cx="512064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Nota. Diez folds externos estratificados idénticos; KNN selecciona k en cinco folds internos. Regresión logística: 96.67%; KNN: 96.00%; Random Forest: 95.33%. Barras: desviación estándar, no intervalos de confianza.</w:t>
      </w:r>
    </w:p>
    <w:p>
      <w:r/>
    </w:p>
    <w:p>
      <w:pPr>
        <w:pageBreakBefore/>
      </w:pPr>
      <w:r>
        <w:rPr>
          <w:b/>
        </w:rPr>
        <w:t>Refinamiento y estabilidad</w:t>
      </w:r>
    </w:p>
    <w:p>
      <w:r>
        <w:rPr>
          <w:b w:val="0"/>
        </w:rPr>
        <w:t>La versión inicial omitía una regla explícita contra seleccionar hiperparámetros con todos los datos antes de validación externa. El caso deliberado seleccion_global.py expuso esa omisión en revisión manual; la versión 2 agregó P3. La versión 3 amplió la cobertura a regresión al incorporar Insurance. Los cambios están en commits separados.</w:t>
      </w:r>
    </w:p>
    <w:p>
      <w:r>
        <w:rPr>
          <w:b w:val="0"/>
        </w:rPr>
        <w:t>Seis pruebas automáticas verificaron clase positiva 0, R² negativo, objetivo constante, soporte insuficiente, disparidad y valores no finitos. Dos procesos produjeron resultados numéricos idénticos. Dos lecturas manuales de Insurance conservaron los nueve veredictos y el hash; al ser de Codex en una misma conversación, no son pruebas ciegas ni garantía de estabilidad general.</w:t>
      </w:r>
    </w:p>
    <w:p>
      <w:r>
        <w:rPr>
          <w:b w:val="0"/>
        </w:rPr>
        <w:t>La prueba adicional en Wine identificó falta de errores por tipo de vino y de análisis residual en main.py. Fue una revisión estática; no se atribuyen resultados de ejecución. Insurance obtuvo RMSE 5940.03 frente a 13172.96 de referencia y R² 0.7959. Ninguna región superó 20%, aunque southwest quedó a 19.38%.</w:t>
      </w:r>
    </w:p>
    <w:p>
      <w:r>
        <w:rPr>
          <w:b/>
        </w:rPr>
        <w:t>Alcance y procedencia</w:t>
      </w:r>
    </w:p>
    <w:p>
      <w:r>
        <w:rPr>
          <w:b w:val="0"/>
        </w:rPr>
        <w:t>Insurance fue elegido entre los datasets compartidos del aula y construido para este caso; no se atribuye al profesor un notebook inexistente. Biopsias se conservó tal como fue recibido por correo, sin verificar descarga directa del aula. La asistencia utilizada fue Codex, no Claude Code; esta diferencia y las limitaciones de las pruebas se declaran en la bitácora.</w:t>
      </w:r>
    </w:p>
    <w:p>
      <w:r>
        <w:rPr>
          <w:b/>
        </w:rPr>
        <w:t>Referencias</w:t>
      </w:r>
    </w:p>
    <w:p>
      <w:r>
        <w:rPr>
          <w:b w:val="0"/>
        </w:rPr>
        <w:t>Anthropic. (s. f.). Extend Claude with skills. https://code.claude.com/docs/en/skills</w:t>
      </w:r>
    </w:p>
    <w:p>
      <w:r>
        <w:rPr>
          <w:b w:val="0"/>
        </w:rPr>
        <w:t>scikit-learn developers. (s. f.). Model evaluation: Quantifying the quality of predictions. https://scikit-learn.org/stable/modules/model_evaluation.html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Jorgefloresraiz/Tarea_4_1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Josué Flores González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