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91iw6fpanxcy" w:id="0"/>
      <w:bookmarkEnd w:id="0"/>
      <w:r w:rsidDel="00000000" w:rsidR="00000000" w:rsidRPr="00000000">
        <w:rPr>
          <w:rtl w:val="0"/>
        </w:rPr>
        <w:t xml:space="preserve">Definición inicial del dominio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el comercio electrónico actual existe la tabla PRICES que refleja el precio a aplicar para un producto determinado de una marca concreta en un periodo de tiempo especificado.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PRICES son: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BRAND_ID: foreign key de la cadena del grupo (Ejemplo 1 = ZARA).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START_DATE: fecha de inicio en el que aplica el precio tarifa indicado.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END_DATE: fecha de fin en el que aplica el precio tarifa indicado.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PRICE_LIST: Identificador de la tarifa de precios aplicable.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PRODUCT_ID: Identificador del código de producto.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PRIORITY: Desambiguador de aplicación de precios. Si dos tarifas coinciden en un rago de fechas se aplica la de mayor prioridad (mayor valor numérico).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PRICE: precio final de venta.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CURR: iso de la moneda.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lpt46feh2feg" w:id="1"/>
      <w:bookmarkEnd w:id="1"/>
      <w:r w:rsidDel="00000000" w:rsidR="00000000" w:rsidRPr="00000000">
        <w:rPr>
          <w:rtl w:val="0"/>
        </w:rPr>
        <w:t xml:space="preserve">Modelo del dominio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Con el propósito de representar las relaciones de la tarifa a aplicar para un producto durante un periodo de tiempo, se ha definido las tablas BRAND y PRODUCT.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BRAND son: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id: Identificador del código de la marca.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name: Nombre de la marca.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description: Descripción de la marca.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active: Indica si la marca se encuentra disponible.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Los campos que definen a la tabla PRODUCT son: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id: Identificador del código del producto.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name: Nombre del producto.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description: Descripción del producto.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active: Indica si el producto se encuentra disponible.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0670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la tabla PRODUCT se define una relación de “1 a N” con la tabla PRICES porque para un producto puede existir diferentes precios a aplicar.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la tabla BRAND se define una relación de “1 a N” con la tabla PRICES porque para una marca puede existir diferentes relaciones de precio de sus productos a aplicar.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4"/>
        </w:numPr>
        <w:ind w:left="720" w:hanging="360"/>
        <w:jc w:val="both"/>
        <w:rPr/>
      </w:pPr>
      <w:bookmarkStart w:colFirst="0" w:colLast="0" w:name="_5nmh5iovim6y" w:id="2"/>
      <w:bookmarkEnd w:id="2"/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e7ogn5wl7euc" w:id="3"/>
      <w:bookmarkEnd w:id="3"/>
      <w:r w:rsidDel="00000000" w:rsidR="00000000" w:rsidRPr="00000000">
        <w:rPr>
          <w:rtl w:val="0"/>
        </w:rPr>
        <w:t xml:space="preserve">3.1 Conceptos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 ha definido las clases de los 3 modelos con los atributos de acuerdo a la definición anterior.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9620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 ha definido los servicios con las funciones de acceso a la BBDD de los 3 modelos.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90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 han generado los controladores REST para dar disponibilidad a los endpoints que efectuarán las consultas sobre la BBDD.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e26k0ezh4vb9" w:id="4"/>
      <w:bookmarkEnd w:id="4"/>
      <w:r w:rsidDel="00000000" w:rsidR="00000000" w:rsidRPr="00000000">
        <w:rPr>
          <w:rtl w:val="0"/>
        </w:rPr>
        <w:t xml:space="preserve">3.1 Servicios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POST con path “/brand/registerData” que recibe en el body un JSON con la lista de marcas que se deben insertar en la tabla BRAND.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POST con path “/product/registerData” que recibe en el body un JSON con la lista de productos que se deben insertar en la tabla BRAND.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POST con path “/prices/registerData” que recibe en el body un JSON con la lista de precios a aplicar para cada producto de una marca en un periodo concreto.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GET con path “/prices/getFirstPricesByProductIdBrandIdDate” que recibe en el body un JSON con un id de producto, id de marca y una fecha y busca en la tabla PRICES un registro que cumpla con las condiciones.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 aplica la validación de los campos de entrada para comprobar si el id de la marca y el id del producto especificados existen.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njktjrpfzdvl" w:id="5"/>
      <w:bookmarkEnd w:id="5"/>
      <w:r w:rsidDel="00000000" w:rsidR="00000000" w:rsidRPr="00000000">
        <w:rPr>
          <w:rtl w:val="0"/>
        </w:rPr>
        <w:t xml:space="preserve">BATERÍA DE PRUEBAS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awtlwd6137oa" w:id="6"/>
      <w:bookmarkEnd w:id="6"/>
      <w:r w:rsidDel="00000000" w:rsidR="00000000" w:rsidRPr="00000000">
        <w:rPr>
          <w:rtl w:val="0"/>
        </w:rPr>
        <w:t xml:space="preserve">4.1 Tests unitario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98154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8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Se han definido los ficheros “BrandList.json”, “PricesList.json” y “ProductList.json” con los datos que serán registrados en la BBDD. De esta forma, cada vez que se ejecute un test, lo primero que se aplicará será la inserción de los datos.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RESULTADO TABLA BRAND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00300" cy="12763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RESULTADO TABLA PRODUCT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1266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RESULTADO TABLA PRICES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En el fichero “PayrollApplicationTests” se puede lanzar las pruebas solicitadas: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“onlyProductAvailableWithLessPriority_1”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"2020-06-14T10:00:00"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“onlyProductAvailableWithLessPriority_2”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“severalProductsAvailableWithDifferentPriority_1”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"2020-06-14T16:00:00"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35.50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"2020-06-14T00:00:00.000+00:00"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“severalProductsAvailableWithDifferentPriority_2”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"2020-06-15T10:00:00"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30.50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"2020-06-15T00:00:00.000+00:00"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"2020-06-15T11:00:00.000+00:00"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“severalProductsAvailableWithDifferentPriority_3”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"2020-06-16T21:00:00"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Encuentra resultado: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"priceList"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38.95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"curr"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"2020-06-15T16:00:00.000+00:00"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"2020-12-31T23:59:59.000+00:00"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“noneProductAvailable"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"brandId"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"2010-06-16T21:00:00"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 encuentra ningún resultado.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Resultado global de pruebas OK.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coox96qj8vs0" w:id="7"/>
      <w:bookmarkEnd w:id="7"/>
      <w:r w:rsidDel="00000000" w:rsidR="00000000" w:rsidRPr="00000000">
        <w:rPr>
          <w:rtl w:val="0"/>
        </w:rPr>
        <w:t xml:space="preserve">4.2 Test de integración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Se inicia la aplicación y se ejecuta la prueba.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rt5s49b5xmgc" w:id="8"/>
      <w:bookmarkEnd w:id="8"/>
      <w:r w:rsidDel="00000000" w:rsidR="00000000" w:rsidRPr="00000000">
        <w:rPr>
          <w:rtl w:val="0"/>
        </w:rPr>
        <w:t xml:space="preserve">Referencias Bibliográficas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Para desempeñar esta práctica se ha consultado: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https://www.h2database.com/html/quickstart.html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https://spring.io/guides/tutorials/rest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https://chatgpt.com/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https://jestjs.io/docs/setup-teardown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https://intellij-support.jetbrains.com/hc/en-us/community/posts/360007745820-Cannot-resolve-column-COLUMN-NAME-because-of-the-catalog-annotation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https://stackoverflow.com/questions/57726223/what-does-it-exactly-mean-to-use-dirtiescontext-annotation-on-a-class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https://stackoverflow.com/questions/326390/how-do-i-create-a-java-string-from-the-contents-of-a-file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https://stackoverflow.com/questions/15426736/how-can-i-mark-a-foreign-key-constraint-using-hibernate-annotations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https://stackoverflow.com/questions/42781264/multiple-base-repositories-in-spring-data-jpa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https://stackoverflow.com/questions/4618794/intellij-idea-cannot-resolve-symbol-and-cannot-resolve-method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https://www.youtube.com/watch?v=M7lhQMzzHWU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https://www.youtube.com/watch?v=rUq1o2fTxUY&amp;list=LL&amp;index=8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https://www.youtube.com/watch?v=fEv3AXFqLXg&amp;list=LL&amp;index=7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https://www.youtube.com/watch?v=PpBb-hYvMsk&amp;list=LL&amp;index=5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https://www.youtube.com/watch?v=I9xeZ7aCKkY&amp;list=LL&amp;index=2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https://www.youtube.com/watch?v=ZX4mqtyz2Q0&amp;list=LL&amp;index=1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https://www.youtube.com/watch?v=8awDPq4Yn-o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4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3.png"/><Relationship Id="rId24" Type="http://schemas.openxmlformats.org/officeDocument/2006/relationships/hyperlink" Target="https://spring.io/guides/tutorials/rest" TargetMode="External"/><Relationship Id="rId23" Type="http://schemas.openxmlformats.org/officeDocument/2006/relationships/hyperlink" Target="https://www.h2database.com/html/quicksta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jestjs.io/docs/setup-teardown" TargetMode="External"/><Relationship Id="rId25" Type="http://schemas.openxmlformats.org/officeDocument/2006/relationships/hyperlink" Target="https://chatgpt.com/" TargetMode="External"/><Relationship Id="rId28" Type="http://schemas.openxmlformats.org/officeDocument/2006/relationships/hyperlink" Target="https://stackoverflow.com/questions/57726223/what-does-it-exactly-mean-to-use-dirtiescontext-annotation-on-a-class" TargetMode="External"/><Relationship Id="rId27" Type="http://schemas.openxmlformats.org/officeDocument/2006/relationships/hyperlink" Target="https://intellij-support.jetbrains.com/hc/en-us/community/posts/360007745820-Cannot-resolve-column-COLUMN-NAME-because-of-the-catalog-annot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hyperlink" Target="https://stackoverflow.com/questions/326390/how-do-i-create-a-java-string-from-the-contents-of-a-file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5.png"/><Relationship Id="rId31" Type="http://schemas.openxmlformats.org/officeDocument/2006/relationships/hyperlink" Target="https://stackoverflow.com/questions/42781264/multiple-base-repositories-in-spring-data-jpa" TargetMode="External"/><Relationship Id="rId30" Type="http://schemas.openxmlformats.org/officeDocument/2006/relationships/hyperlink" Target="https://stackoverflow.com/questions/15426736/how-can-i-mark-a-foreign-key-constraint-using-hibernate-annotations" TargetMode="External"/><Relationship Id="rId11" Type="http://schemas.openxmlformats.org/officeDocument/2006/relationships/image" Target="media/image16.png"/><Relationship Id="rId33" Type="http://schemas.openxmlformats.org/officeDocument/2006/relationships/hyperlink" Target="https://www.youtube.com/watch?v=M7lhQMzzHWU" TargetMode="External"/><Relationship Id="rId10" Type="http://schemas.openxmlformats.org/officeDocument/2006/relationships/image" Target="media/image12.png"/><Relationship Id="rId32" Type="http://schemas.openxmlformats.org/officeDocument/2006/relationships/hyperlink" Target="https://stackoverflow.com/questions/4618794/intellij-idea-cannot-resolve-symbol-and-cannot-resolve-method" TargetMode="External"/><Relationship Id="rId13" Type="http://schemas.openxmlformats.org/officeDocument/2006/relationships/image" Target="media/image6.png"/><Relationship Id="rId35" Type="http://schemas.openxmlformats.org/officeDocument/2006/relationships/hyperlink" Target="https://www.youtube.com/watch?v=fEv3AXFqLXg&amp;list=LL&amp;index=7" TargetMode="External"/><Relationship Id="rId12" Type="http://schemas.openxmlformats.org/officeDocument/2006/relationships/image" Target="media/image17.png"/><Relationship Id="rId34" Type="http://schemas.openxmlformats.org/officeDocument/2006/relationships/hyperlink" Target="https://www.youtube.com/watch?v=rUq1o2fTxUY&amp;list=LL&amp;index=8" TargetMode="External"/><Relationship Id="rId15" Type="http://schemas.openxmlformats.org/officeDocument/2006/relationships/image" Target="media/image15.png"/><Relationship Id="rId37" Type="http://schemas.openxmlformats.org/officeDocument/2006/relationships/hyperlink" Target="https://www.youtube.com/watch?v=I9xeZ7aCKkY&amp;list=LL&amp;index=2" TargetMode="External"/><Relationship Id="rId14" Type="http://schemas.openxmlformats.org/officeDocument/2006/relationships/image" Target="media/image14.png"/><Relationship Id="rId36" Type="http://schemas.openxmlformats.org/officeDocument/2006/relationships/hyperlink" Target="https://www.youtube.com/watch?v=PpBb-hYvMsk&amp;list=LL&amp;index=5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www.youtube.com/watch?v=8awDPq4Yn-o" TargetMode="External"/><Relationship Id="rId16" Type="http://schemas.openxmlformats.org/officeDocument/2006/relationships/image" Target="media/image7.png"/><Relationship Id="rId38" Type="http://schemas.openxmlformats.org/officeDocument/2006/relationships/hyperlink" Target="https://www.youtube.com/watch?v=ZX4mqtyz2Q0&amp;list=LL&amp;index=1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