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1C3DB" w14:textId="77777777" w:rsidR="00790DC3" w:rsidRPr="002A133E" w:rsidRDefault="00790DC3" w:rsidP="002E6F8E">
      <w:pPr>
        <w:spacing w:line="480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571791D3" w14:textId="77777777" w:rsidR="00DE6441" w:rsidRPr="002A133E" w:rsidRDefault="00DE6441" w:rsidP="002E6F8E">
      <w:pPr>
        <w:spacing w:line="48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3E422B90" w14:textId="77777777" w:rsidR="00DE6441" w:rsidRPr="002A133E" w:rsidRDefault="00DE6441" w:rsidP="002E6F8E">
      <w:pPr>
        <w:spacing w:line="480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1054B515" w14:textId="36001D93" w:rsidR="00E87025" w:rsidRPr="002A133E" w:rsidRDefault="00831959" w:rsidP="002E6F8E">
      <w:pPr>
        <w:spacing w:line="480" w:lineRule="auto"/>
        <w:jc w:val="center"/>
        <w:rPr>
          <w:rFonts w:ascii="Garamond" w:hAnsi="Garamond"/>
          <w:sz w:val="22"/>
          <w:szCs w:val="22"/>
        </w:rPr>
      </w:pPr>
      <w:r w:rsidRPr="002A133E">
        <w:rPr>
          <w:rFonts w:ascii="Garamond" w:hAnsi="Garamond"/>
          <w:sz w:val="22"/>
          <w:szCs w:val="22"/>
        </w:rPr>
        <w:t>Advanced Capital Budgeting</w:t>
      </w:r>
    </w:p>
    <w:p w14:paraId="14C1C77D" w14:textId="77777777" w:rsidR="00DE6441" w:rsidRPr="002A133E" w:rsidRDefault="00DE6441" w:rsidP="002E6F8E">
      <w:pPr>
        <w:spacing w:line="480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690EC174" w14:textId="77777777" w:rsidR="00DE6441" w:rsidRPr="002A133E" w:rsidRDefault="00DE6441" w:rsidP="002E6F8E">
      <w:pPr>
        <w:spacing w:line="480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  <w:r w:rsidRPr="002A133E">
        <w:rPr>
          <w:rFonts w:ascii="Garamond" w:hAnsi="Garamond"/>
          <w:color w:val="000000" w:themeColor="text1"/>
          <w:sz w:val="22"/>
          <w:szCs w:val="22"/>
        </w:rPr>
        <w:t>By</w:t>
      </w:r>
    </w:p>
    <w:p w14:paraId="76205E12" w14:textId="23738FE2" w:rsidR="00DE6441" w:rsidRPr="002A133E" w:rsidRDefault="009E0823" w:rsidP="002E6F8E">
      <w:pPr>
        <w:spacing w:line="480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  <w:r w:rsidRPr="002A133E">
        <w:rPr>
          <w:rFonts w:ascii="Garamond" w:hAnsi="Garamond"/>
          <w:color w:val="000000" w:themeColor="text1"/>
          <w:sz w:val="22"/>
          <w:szCs w:val="22"/>
        </w:rPr>
        <w:t>Jorge Ruiz</w:t>
      </w:r>
    </w:p>
    <w:p w14:paraId="52C5DE0F" w14:textId="0CCF5194" w:rsidR="00DE6441" w:rsidRPr="002A133E" w:rsidRDefault="00831959" w:rsidP="002E6F8E">
      <w:pPr>
        <w:spacing w:line="480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  <w:r w:rsidRPr="002A133E">
        <w:rPr>
          <w:rFonts w:ascii="Garamond" w:hAnsi="Garamond"/>
          <w:color w:val="000000" w:themeColor="text1"/>
          <w:sz w:val="22"/>
          <w:szCs w:val="22"/>
        </w:rPr>
        <w:t>Apr</w:t>
      </w:r>
      <w:r w:rsidR="00841BE4" w:rsidRPr="002A133E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Pr="002A133E">
        <w:rPr>
          <w:rFonts w:ascii="Garamond" w:hAnsi="Garamond"/>
          <w:color w:val="000000" w:themeColor="text1"/>
          <w:sz w:val="22"/>
          <w:szCs w:val="22"/>
        </w:rPr>
        <w:t>18</w:t>
      </w:r>
      <w:r w:rsidR="00DE6441" w:rsidRPr="002A133E">
        <w:rPr>
          <w:rFonts w:ascii="Garamond" w:hAnsi="Garamond"/>
          <w:color w:val="000000" w:themeColor="text1"/>
          <w:sz w:val="22"/>
          <w:szCs w:val="22"/>
        </w:rPr>
        <w:t>, 20</w:t>
      </w:r>
      <w:r w:rsidR="009E0823" w:rsidRPr="002A133E">
        <w:rPr>
          <w:rFonts w:ascii="Garamond" w:hAnsi="Garamond"/>
          <w:color w:val="000000" w:themeColor="text1"/>
          <w:sz w:val="22"/>
          <w:szCs w:val="22"/>
        </w:rPr>
        <w:t>20</w:t>
      </w:r>
    </w:p>
    <w:p w14:paraId="0BE4D9AB" w14:textId="4BC444FC" w:rsidR="00E62389" w:rsidRPr="002A133E" w:rsidRDefault="001E08F3" w:rsidP="002E6F8E">
      <w:pPr>
        <w:spacing w:line="480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  <w:r w:rsidRPr="002A133E">
        <w:rPr>
          <w:rFonts w:ascii="Garamond" w:hAnsi="Garamond"/>
          <w:color w:val="000000" w:themeColor="text1"/>
          <w:sz w:val="22"/>
          <w:szCs w:val="22"/>
        </w:rPr>
        <w:t>Finance 431</w:t>
      </w:r>
      <w:r w:rsidR="00E87025" w:rsidRPr="002A133E">
        <w:rPr>
          <w:rFonts w:ascii="Garamond" w:hAnsi="Garamond"/>
          <w:color w:val="000000" w:themeColor="text1"/>
          <w:sz w:val="22"/>
          <w:szCs w:val="22"/>
        </w:rPr>
        <w:t>1</w:t>
      </w:r>
    </w:p>
    <w:p w14:paraId="657F1E08" w14:textId="56ABF10B" w:rsidR="00DE6441" w:rsidRPr="002A133E" w:rsidRDefault="00DE6441" w:rsidP="002E6F8E">
      <w:pPr>
        <w:spacing w:line="480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1D4B2976" w14:textId="77777777" w:rsidR="00C97543" w:rsidRPr="002A133E" w:rsidRDefault="00C97543" w:rsidP="002E6F8E">
      <w:pPr>
        <w:spacing w:line="480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16F2C575" w14:textId="77777777" w:rsidR="00685FA1" w:rsidRPr="002A133E" w:rsidRDefault="00685FA1" w:rsidP="002E6F8E">
      <w:pPr>
        <w:spacing w:line="48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7FC4828E" w14:textId="095C4742" w:rsidR="007A3CD8" w:rsidRDefault="00DE6441" w:rsidP="002E6F8E">
      <w:pPr>
        <w:spacing w:line="480" w:lineRule="auto"/>
        <w:rPr>
          <w:rFonts w:ascii="Garamond" w:hAnsi="Garamond"/>
          <w:color w:val="000000" w:themeColor="text1"/>
          <w:sz w:val="22"/>
          <w:szCs w:val="22"/>
        </w:rPr>
      </w:pPr>
      <w:r w:rsidRPr="002A133E">
        <w:rPr>
          <w:rFonts w:ascii="Garamond" w:hAnsi="Garamond"/>
          <w:b/>
          <w:color w:val="000000" w:themeColor="text1"/>
          <w:sz w:val="22"/>
          <w:szCs w:val="22"/>
        </w:rPr>
        <w:t>Executive Summary:</w:t>
      </w:r>
      <w:r w:rsidRPr="002A133E">
        <w:rPr>
          <w:rFonts w:ascii="Garamond" w:hAnsi="Garamond"/>
          <w:color w:val="000000" w:themeColor="text1"/>
          <w:sz w:val="22"/>
          <w:szCs w:val="22"/>
        </w:rPr>
        <w:t xml:space="preserve"> </w:t>
      </w:r>
    </w:p>
    <w:p w14:paraId="41E3538F" w14:textId="6E2649AC" w:rsidR="00B50996" w:rsidRDefault="00B50996" w:rsidP="00130020">
      <w:pPr>
        <w:spacing w:line="480" w:lineRule="auto"/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For this project we created a capital budgeting model to determine if a project is </w:t>
      </w:r>
      <w:r w:rsidR="00130020">
        <w:rPr>
          <w:rFonts w:ascii="Garamond" w:hAnsi="Garamond"/>
          <w:sz w:val="22"/>
          <w:szCs w:val="22"/>
        </w:rPr>
        <w:t>feasible</w:t>
      </w:r>
      <w:r>
        <w:rPr>
          <w:rFonts w:ascii="Garamond" w:hAnsi="Garamond"/>
          <w:sz w:val="22"/>
          <w:szCs w:val="22"/>
        </w:rPr>
        <w:t xml:space="preserve"> or not. To do so we</w:t>
      </w:r>
      <w:r w:rsidR="00130020">
        <w:rPr>
          <w:rFonts w:ascii="Garamond" w:hAnsi="Garamond"/>
          <w:sz w:val="22"/>
          <w:szCs w:val="22"/>
        </w:rPr>
        <w:t xml:space="preserve"> the weighted average cost of capital (WACC: 8.32%)</w:t>
      </w:r>
      <w:r>
        <w:rPr>
          <w:rFonts w:ascii="Garamond" w:hAnsi="Garamond"/>
          <w:sz w:val="22"/>
          <w:szCs w:val="22"/>
        </w:rPr>
        <w:t xml:space="preserve"> </w:t>
      </w:r>
      <w:r w:rsidR="00130020">
        <w:rPr>
          <w:rFonts w:ascii="Garamond" w:hAnsi="Garamond"/>
          <w:sz w:val="22"/>
          <w:szCs w:val="22"/>
        </w:rPr>
        <w:t xml:space="preserve">by multiplying the weight of capital time the return on capital for investors and then utilized the sales growth (sales growth average: 7.94%) to forecast 10 years of business operation. Having these information we </w:t>
      </w:r>
      <w:r>
        <w:rPr>
          <w:rFonts w:ascii="Garamond" w:hAnsi="Garamond"/>
          <w:sz w:val="22"/>
          <w:szCs w:val="22"/>
        </w:rPr>
        <w:t>used three different methods</w:t>
      </w:r>
      <w:r w:rsidR="00130020">
        <w:rPr>
          <w:rFonts w:ascii="Garamond" w:hAnsi="Garamond"/>
          <w:sz w:val="22"/>
          <w:szCs w:val="22"/>
        </w:rPr>
        <w:t xml:space="preserve"> to model</w:t>
      </w:r>
      <w:r>
        <w:rPr>
          <w:rFonts w:ascii="Garamond" w:hAnsi="Garamond"/>
          <w:sz w:val="22"/>
          <w:szCs w:val="22"/>
        </w:rPr>
        <w:t>: capital budgeting with results of NPV:</w:t>
      </w:r>
      <w:r w:rsidR="00FF273A">
        <w:rPr>
          <w:rFonts w:ascii="Garamond" w:hAnsi="Garamond"/>
          <w:sz w:val="22"/>
          <w:szCs w:val="22"/>
        </w:rPr>
        <w:t xml:space="preserve"> $125,861</w:t>
      </w:r>
      <w:r>
        <w:rPr>
          <w:rFonts w:ascii="Garamond" w:hAnsi="Garamond"/>
          <w:sz w:val="22"/>
          <w:szCs w:val="22"/>
        </w:rPr>
        <w:t xml:space="preserve">, IRR: </w:t>
      </w:r>
      <w:r w:rsidR="00FF273A">
        <w:rPr>
          <w:rFonts w:ascii="Garamond" w:hAnsi="Garamond"/>
          <w:sz w:val="22"/>
          <w:szCs w:val="22"/>
        </w:rPr>
        <w:t xml:space="preserve">10%, </w:t>
      </w:r>
      <w:r>
        <w:rPr>
          <w:rFonts w:ascii="Garamond" w:hAnsi="Garamond"/>
          <w:sz w:val="22"/>
          <w:szCs w:val="22"/>
        </w:rPr>
        <w:t>MIRR:</w:t>
      </w:r>
      <w:r w:rsidR="00FF273A">
        <w:rPr>
          <w:rFonts w:ascii="Garamond" w:hAnsi="Garamond"/>
          <w:sz w:val="22"/>
          <w:szCs w:val="22"/>
        </w:rPr>
        <w:t xml:space="preserve"> 9%</w:t>
      </w:r>
      <w:r w:rsidR="00130020">
        <w:rPr>
          <w:rFonts w:ascii="Garamond" w:hAnsi="Garamond"/>
          <w:sz w:val="22"/>
          <w:szCs w:val="22"/>
        </w:rPr>
        <w:t>;</w:t>
      </w:r>
      <w:r>
        <w:rPr>
          <w:rFonts w:ascii="Garamond" w:hAnsi="Garamond"/>
          <w:sz w:val="22"/>
          <w:szCs w:val="22"/>
        </w:rPr>
        <w:t xml:space="preserve"> capacity</w:t>
      </w:r>
      <w:r w:rsidR="00130020">
        <w:rPr>
          <w:rFonts w:ascii="Garamond" w:hAnsi="Garamond"/>
          <w:sz w:val="22"/>
          <w:szCs w:val="22"/>
        </w:rPr>
        <w:t xml:space="preserve"> budgeting with results of NPV: </w:t>
      </w:r>
      <w:r w:rsidR="00437C82">
        <w:rPr>
          <w:rFonts w:ascii="Garamond" w:hAnsi="Garamond"/>
          <w:sz w:val="22"/>
          <w:szCs w:val="22"/>
        </w:rPr>
        <w:t xml:space="preserve">$223,742, </w:t>
      </w:r>
      <w:r w:rsidR="00130020">
        <w:rPr>
          <w:rFonts w:ascii="Garamond" w:hAnsi="Garamond"/>
          <w:sz w:val="22"/>
          <w:szCs w:val="22"/>
        </w:rPr>
        <w:t>IRR:</w:t>
      </w:r>
      <w:r w:rsidR="00437C82">
        <w:rPr>
          <w:rFonts w:ascii="Garamond" w:hAnsi="Garamond"/>
          <w:sz w:val="22"/>
          <w:szCs w:val="22"/>
        </w:rPr>
        <w:t xml:space="preserve"> 11%</w:t>
      </w:r>
      <w:r w:rsidR="00130020">
        <w:rPr>
          <w:rFonts w:ascii="Garamond" w:hAnsi="Garamond"/>
          <w:sz w:val="22"/>
          <w:szCs w:val="22"/>
        </w:rPr>
        <w:t xml:space="preserve">, MIRR: </w:t>
      </w:r>
      <w:r w:rsidR="00437C82">
        <w:rPr>
          <w:rFonts w:ascii="Garamond" w:hAnsi="Garamond"/>
          <w:sz w:val="22"/>
          <w:szCs w:val="22"/>
        </w:rPr>
        <w:t>10%</w:t>
      </w:r>
      <w:r w:rsidR="00130020">
        <w:rPr>
          <w:rFonts w:ascii="Garamond" w:hAnsi="Garamond"/>
          <w:sz w:val="22"/>
          <w:szCs w:val="22"/>
        </w:rPr>
        <w:t xml:space="preserve">; </w:t>
      </w:r>
      <w:r>
        <w:rPr>
          <w:rFonts w:ascii="Garamond" w:hAnsi="Garamond"/>
          <w:sz w:val="22"/>
          <w:szCs w:val="22"/>
        </w:rPr>
        <w:t>demand budgeting</w:t>
      </w:r>
      <w:r w:rsidR="00130020">
        <w:rPr>
          <w:rFonts w:ascii="Garamond" w:hAnsi="Garamond"/>
          <w:sz w:val="22"/>
          <w:szCs w:val="22"/>
        </w:rPr>
        <w:t xml:space="preserve"> with results of NPV: </w:t>
      </w:r>
      <w:r w:rsidR="00437C82">
        <w:rPr>
          <w:rFonts w:ascii="Garamond" w:hAnsi="Garamond"/>
          <w:sz w:val="22"/>
          <w:szCs w:val="22"/>
        </w:rPr>
        <w:t>$223,269</w:t>
      </w:r>
      <w:r w:rsidR="00130020">
        <w:rPr>
          <w:rFonts w:ascii="Garamond" w:hAnsi="Garamond"/>
          <w:sz w:val="22"/>
          <w:szCs w:val="22"/>
        </w:rPr>
        <w:t xml:space="preserve">, IRR: </w:t>
      </w:r>
      <w:r w:rsidR="00437C82">
        <w:rPr>
          <w:rFonts w:ascii="Garamond" w:hAnsi="Garamond"/>
          <w:sz w:val="22"/>
          <w:szCs w:val="22"/>
        </w:rPr>
        <w:t xml:space="preserve">11%, </w:t>
      </w:r>
      <w:r w:rsidR="00130020">
        <w:rPr>
          <w:rFonts w:ascii="Garamond" w:hAnsi="Garamond"/>
          <w:sz w:val="22"/>
          <w:szCs w:val="22"/>
        </w:rPr>
        <w:t xml:space="preserve">MIRR: </w:t>
      </w:r>
      <w:r w:rsidR="00437C82">
        <w:rPr>
          <w:rFonts w:ascii="Garamond" w:hAnsi="Garamond"/>
          <w:sz w:val="22"/>
          <w:szCs w:val="22"/>
        </w:rPr>
        <w:t xml:space="preserve">10%. </w:t>
      </w:r>
      <w:r w:rsidR="00130020">
        <w:rPr>
          <w:rFonts w:ascii="Garamond" w:hAnsi="Garamond"/>
          <w:sz w:val="22"/>
          <w:szCs w:val="22"/>
        </w:rPr>
        <w:t xml:space="preserve">After modeling, the projects break-even year is year 9 and if we were to </w:t>
      </w:r>
      <w:r w:rsidR="000C3BBD">
        <w:rPr>
          <w:rFonts w:ascii="Garamond" w:hAnsi="Garamond"/>
          <w:sz w:val="22"/>
          <w:szCs w:val="22"/>
        </w:rPr>
        <w:t>optimize</w:t>
      </w:r>
      <w:r w:rsidR="00130020">
        <w:rPr>
          <w:rFonts w:ascii="Garamond" w:hAnsi="Garamond"/>
          <w:sz w:val="22"/>
          <w:szCs w:val="22"/>
        </w:rPr>
        <w:t xml:space="preserve"> the models to bre</w:t>
      </w:r>
      <w:r w:rsidR="00674652">
        <w:rPr>
          <w:rFonts w:ascii="Garamond" w:hAnsi="Garamond"/>
          <w:sz w:val="22"/>
          <w:szCs w:val="22"/>
        </w:rPr>
        <w:t>a</w:t>
      </w:r>
      <w:r w:rsidR="00130020">
        <w:rPr>
          <w:rFonts w:ascii="Garamond" w:hAnsi="Garamond"/>
          <w:sz w:val="22"/>
          <w:szCs w:val="22"/>
        </w:rPr>
        <w:t>k</w:t>
      </w:r>
      <w:r w:rsidR="009174B8">
        <w:rPr>
          <w:rFonts w:ascii="Garamond" w:hAnsi="Garamond"/>
          <w:sz w:val="22"/>
          <w:szCs w:val="22"/>
        </w:rPr>
        <w:t>-</w:t>
      </w:r>
      <w:r w:rsidR="00130020">
        <w:rPr>
          <w:rFonts w:ascii="Garamond" w:hAnsi="Garamond"/>
          <w:sz w:val="22"/>
          <w:szCs w:val="22"/>
        </w:rPr>
        <w:t xml:space="preserve">even on year </w:t>
      </w:r>
      <w:r w:rsidR="00CF2D6D">
        <w:rPr>
          <w:rFonts w:ascii="Garamond" w:hAnsi="Garamond"/>
          <w:sz w:val="22"/>
          <w:szCs w:val="22"/>
        </w:rPr>
        <w:t>five,</w:t>
      </w:r>
      <w:r w:rsidR="00130020">
        <w:rPr>
          <w:rFonts w:ascii="Garamond" w:hAnsi="Garamond"/>
          <w:sz w:val="22"/>
          <w:szCs w:val="22"/>
        </w:rPr>
        <w:t xml:space="preserve"> the most significant input to change would be </w:t>
      </w:r>
      <w:r w:rsidR="00CF2D6D">
        <w:rPr>
          <w:rFonts w:ascii="Garamond" w:hAnsi="Garamond"/>
          <w:sz w:val="22"/>
          <w:szCs w:val="22"/>
        </w:rPr>
        <w:t xml:space="preserve">the </w:t>
      </w:r>
      <w:r w:rsidR="00130020">
        <w:rPr>
          <w:rFonts w:ascii="Garamond" w:hAnsi="Garamond"/>
          <w:sz w:val="22"/>
          <w:szCs w:val="22"/>
        </w:rPr>
        <w:t>SG&amp;A expense.</w:t>
      </w:r>
    </w:p>
    <w:p w14:paraId="1C6AC7CF" w14:textId="47800267" w:rsidR="00E47F2A" w:rsidRPr="002A133E" w:rsidRDefault="00E47F2A" w:rsidP="002E6F8E">
      <w:pPr>
        <w:spacing w:line="48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14E8F7B9" w14:textId="77777777" w:rsidR="00E47F2A" w:rsidRPr="002A133E" w:rsidRDefault="00E47F2A" w:rsidP="002E6F8E">
      <w:pPr>
        <w:spacing w:line="48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184A179E" w14:textId="24FB44B1" w:rsidR="004652E7" w:rsidRDefault="00AF258A" w:rsidP="002E6F8E">
      <w:pPr>
        <w:spacing w:line="480" w:lineRule="auto"/>
        <w:rPr>
          <w:rFonts w:ascii="Garamond" w:hAnsi="Garamond"/>
          <w:color w:val="000000" w:themeColor="text1"/>
          <w:sz w:val="22"/>
          <w:szCs w:val="22"/>
        </w:rPr>
      </w:pPr>
      <w:r w:rsidRPr="002A133E">
        <w:rPr>
          <w:rFonts w:ascii="Garamond" w:hAnsi="Garamond"/>
          <w:color w:val="000000" w:themeColor="text1"/>
          <w:sz w:val="22"/>
          <w:szCs w:val="22"/>
        </w:rPr>
        <w:t xml:space="preserve">Word Count </w:t>
      </w:r>
      <w:r w:rsidR="00CE4B58" w:rsidRPr="002A133E">
        <w:rPr>
          <w:rFonts w:ascii="Garamond" w:hAnsi="Garamond"/>
          <w:color w:val="000000" w:themeColor="text1"/>
          <w:sz w:val="22"/>
          <w:szCs w:val="22"/>
        </w:rPr>
        <w:t>1</w:t>
      </w:r>
      <w:r w:rsidR="00D54ECB">
        <w:rPr>
          <w:rFonts w:ascii="Garamond" w:hAnsi="Garamond"/>
          <w:color w:val="000000" w:themeColor="text1"/>
          <w:sz w:val="22"/>
          <w:szCs w:val="22"/>
        </w:rPr>
        <w:t>36</w:t>
      </w:r>
      <w:r w:rsidRPr="002A133E">
        <w:rPr>
          <w:rFonts w:ascii="Garamond" w:hAnsi="Garamond"/>
          <w:color w:val="000000" w:themeColor="text1"/>
          <w:sz w:val="22"/>
          <w:szCs w:val="22"/>
        </w:rPr>
        <w:t>.</w:t>
      </w:r>
    </w:p>
    <w:p w14:paraId="5686EFB9" w14:textId="77777777" w:rsidR="00A81BDF" w:rsidRPr="002A133E" w:rsidRDefault="00A81BDF" w:rsidP="002E6F8E">
      <w:pPr>
        <w:spacing w:line="48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109E0404" w14:textId="77777777" w:rsidR="004E357D" w:rsidRPr="002A133E" w:rsidRDefault="004E357D" w:rsidP="002E6F8E">
      <w:pPr>
        <w:spacing w:line="480" w:lineRule="auto"/>
        <w:rPr>
          <w:rFonts w:ascii="Garamond" w:hAnsi="Garamond"/>
          <w:color w:val="000000" w:themeColor="text1"/>
          <w:sz w:val="22"/>
          <w:szCs w:val="22"/>
        </w:rPr>
      </w:pPr>
    </w:p>
    <w:p w14:paraId="1A1AA554" w14:textId="28BFE45C" w:rsidR="0063730A" w:rsidRPr="002A133E" w:rsidRDefault="00C656FF" w:rsidP="002E6F8E">
      <w:pPr>
        <w:pStyle w:val="ListParagraph"/>
        <w:numPr>
          <w:ilvl w:val="0"/>
          <w:numId w:val="2"/>
        </w:numPr>
        <w:spacing w:line="480" w:lineRule="auto"/>
        <w:rPr>
          <w:color w:val="000000" w:themeColor="text1"/>
        </w:rPr>
      </w:pPr>
      <w:r w:rsidRPr="002A133E">
        <w:rPr>
          <w:b/>
          <w:color w:val="000000" w:themeColor="text1"/>
        </w:rPr>
        <w:lastRenderedPageBreak/>
        <w:t>Introduction:</w:t>
      </w:r>
    </w:p>
    <w:p w14:paraId="2AB4ABAE" w14:textId="3D7DE9C6" w:rsidR="00831959" w:rsidRDefault="00521979" w:rsidP="008A0BEA">
      <w:pPr>
        <w:spacing w:line="480" w:lineRule="auto"/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Capital budgeting is a modeling technique used to assess the potential projects to take from a financial perspective. </w:t>
      </w:r>
      <w:r w:rsidR="004C3FC1">
        <w:rPr>
          <w:rFonts w:ascii="Garamond" w:hAnsi="Garamond"/>
          <w:sz w:val="22"/>
          <w:szCs w:val="22"/>
        </w:rPr>
        <w:t>Since capital is a limited resource</w:t>
      </w:r>
      <w:r w:rsidR="00561D3B">
        <w:rPr>
          <w:rFonts w:ascii="Garamond" w:hAnsi="Garamond"/>
          <w:sz w:val="22"/>
          <w:szCs w:val="22"/>
        </w:rPr>
        <w:t xml:space="preserve">, </w:t>
      </w:r>
      <w:r w:rsidR="004C3FC1">
        <w:rPr>
          <w:rFonts w:ascii="Garamond" w:hAnsi="Garamond"/>
          <w:sz w:val="22"/>
          <w:szCs w:val="22"/>
        </w:rPr>
        <w:t>f</w:t>
      </w:r>
      <w:r w:rsidR="0014213E">
        <w:rPr>
          <w:rFonts w:ascii="Garamond" w:hAnsi="Garamond"/>
          <w:sz w:val="22"/>
          <w:szCs w:val="22"/>
        </w:rPr>
        <w:t xml:space="preserve">or this </w:t>
      </w:r>
      <w:r w:rsidR="00480733">
        <w:rPr>
          <w:rFonts w:ascii="Garamond" w:hAnsi="Garamond"/>
          <w:sz w:val="22"/>
          <w:szCs w:val="22"/>
        </w:rPr>
        <w:t>project</w:t>
      </w:r>
      <w:r w:rsidR="0014213E">
        <w:rPr>
          <w:rFonts w:ascii="Garamond" w:hAnsi="Garamond"/>
          <w:sz w:val="22"/>
          <w:szCs w:val="22"/>
        </w:rPr>
        <w:t xml:space="preserve"> we </w:t>
      </w:r>
      <w:r w:rsidR="0055371C">
        <w:rPr>
          <w:rFonts w:ascii="Garamond" w:hAnsi="Garamond"/>
          <w:sz w:val="22"/>
          <w:szCs w:val="22"/>
        </w:rPr>
        <w:t xml:space="preserve">created a model </w:t>
      </w:r>
      <w:r w:rsidR="004C3FC1">
        <w:rPr>
          <w:rFonts w:ascii="Garamond" w:hAnsi="Garamond"/>
          <w:sz w:val="22"/>
          <w:szCs w:val="22"/>
        </w:rPr>
        <w:t xml:space="preserve">with different methods </w:t>
      </w:r>
      <w:r w:rsidR="0055371C">
        <w:rPr>
          <w:rFonts w:ascii="Garamond" w:hAnsi="Garamond"/>
          <w:sz w:val="22"/>
          <w:szCs w:val="22"/>
        </w:rPr>
        <w:t xml:space="preserve">to determine if a project is </w:t>
      </w:r>
      <w:r w:rsidR="00734737">
        <w:rPr>
          <w:rFonts w:ascii="Garamond" w:hAnsi="Garamond"/>
          <w:sz w:val="22"/>
          <w:szCs w:val="22"/>
        </w:rPr>
        <w:t>feasible</w:t>
      </w:r>
      <w:r w:rsidR="0055371C">
        <w:rPr>
          <w:rFonts w:ascii="Garamond" w:hAnsi="Garamond"/>
          <w:sz w:val="22"/>
          <w:szCs w:val="22"/>
        </w:rPr>
        <w:t xml:space="preserve"> or not</w:t>
      </w:r>
      <w:r w:rsidR="00BF0B06">
        <w:rPr>
          <w:rFonts w:ascii="Garamond" w:hAnsi="Garamond"/>
          <w:sz w:val="22"/>
          <w:szCs w:val="22"/>
        </w:rPr>
        <w:t xml:space="preserve">. </w:t>
      </w:r>
      <w:r w:rsidR="0055371C">
        <w:rPr>
          <w:rFonts w:ascii="Garamond" w:hAnsi="Garamond"/>
          <w:sz w:val="22"/>
          <w:szCs w:val="22"/>
        </w:rPr>
        <w:t>To do so we used three different methods</w:t>
      </w:r>
      <w:r w:rsidR="00B50996">
        <w:rPr>
          <w:rFonts w:ascii="Garamond" w:hAnsi="Garamond"/>
          <w:sz w:val="22"/>
          <w:szCs w:val="22"/>
        </w:rPr>
        <w:t>, capital, capacity, and demand budgeting.</w:t>
      </w:r>
      <w:r w:rsidR="00561D3B">
        <w:rPr>
          <w:rFonts w:ascii="Garamond" w:hAnsi="Garamond"/>
          <w:sz w:val="22"/>
          <w:szCs w:val="22"/>
        </w:rPr>
        <w:t xml:space="preserve"> Each method takes as input the cost of capital and an estimation of future demand </w:t>
      </w:r>
      <w:r w:rsidR="00FF2C29">
        <w:rPr>
          <w:rFonts w:ascii="Garamond" w:hAnsi="Garamond"/>
          <w:sz w:val="22"/>
          <w:szCs w:val="22"/>
        </w:rPr>
        <w:t>into</w:t>
      </w:r>
      <w:r w:rsidR="00561D3B">
        <w:rPr>
          <w:rFonts w:ascii="Garamond" w:hAnsi="Garamond"/>
          <w:sz w:val="22"/>
          <w:szCs w:val="22"/>
        </w:rPr>
        <w:t xml:space="preserve"> the model.</w:t>
      </w:r>
      <w:r w:rsidR="00FF2C29">
        <w:rPr>
          <w:rFonts w:ascii="Garamond" w:hAnsi="Garamond"/>
          <w:sz w:val="22"/>
          <w:szCs w:val="22"/>
        </w:rPr>
        <w:t xml:space="preserve"> After that we take </w:t>
      </w:r>
      <w:r w:rsidR="000029A2">
        <w:rPr>
          <w:rFonts w:ascii="Garamond" w:hAnsi="Garamond"/>
          <w:sz w:val="22"/>
          <w:szCs w:val="22"/>
        </w:rPr>
        <w:t xml:space="preserve">net income for the period and add back the depreciation to calculate the </w:t>
      </w:r>
      <w:r w:rsidR="00FF2C29">
        <w:rPr>
          <w:rFonts w:ascii="Garamond" w:hAnsi="Garamond"/>
          <w:sz w:val="22"/>
          <w:szCs w:val="22"/>
        </w:rPr>
        <w:t>net present value of the cashflow</w:t>
      </w:r>
      <w:r w:rsidR="000630DF">
        <w:rPr>
          <w:rFonts w:ascii="Garamond" w:hAnsi="Garamond"/>
          <w:sz w:val="22"/>
          <w:szCs w:val="22"/>
        </w:rPr>
        <w:t>s</w:t>
      </w:r>
      <w:r w:rsidR="00461E69">
        <w:rPr>
          <w:rFonts w:ascii="Garamond" w:hAnsi="Garamond"/>
          <w:sz w:val="22"/>
          <w:szCs w:val="22"/>
        </w:rPr>
        <w:t>. We also calculate the IRR w</w:t>
      </w:r>
      <w:r w:rsidR="00B12042">
        <w:rPr>
          <w:rFonts w:ascii="Garamond" w:hAnsi="Garamond"/>
          <w:sz w:val="22"/>
          <w:szCs w:val="22"/>
        </w:rPr>
        <w:t>h</w:t>
      </w:r>
      <w:r w:rsidR="00461E69">
        <w:rPr>
          <w:rFonts w:ascii="Garamond" w:hAnsi="Garamond"/>
          <w:sz w:val="22"/>
          <w:szCs w:val="22"/>
        </w:rPr>
        <w:t xml:space="preserve">ich is </w:t>
      </w:r>
      <w:r w:rsidR="00B12042">
        <w:rPr>
          <w:rFonts w:ascii="Garamond" w:hAnsi="Garamond"/>
          <w:sz w:val="22"/>
          <w:szCs w:val="22"/>
        </w:rPr>
        <w:t xml:space="preserve">how much return we will get from investing after investing into this project, </w:t>
      </w:r>
      <w:r w:rsidR="00461E69">
        <w:rPr>
          <w:rFonts w:ascii="Garamond" w:hAnsi="Garamond"/>
          <w:sz w:val="22"/>
          <w:szCs w:val="22"/>
        </w:rPr>
        <w:t xml:space="preserve">and the MIRR which is the </w:t>
      </w:r>
      <w:r w:rsidR="00B12042">
        <w:rPr>
          <w:rFonts w:ascii="Garamond" w:hAnsi="Garamond"/>
          <w:sz w:val="22"/>
          <w:szCs w:val="22"/>
        </w:rPr>
        <w:t>same as IR</w:t>
      </w:r>
      <w:r w:rsidR="00123DD6">
        <w:rPr>
          <w:rFonts w:ascii="Garamond" w:hAnsi="Garamond"/>
          <w:sz w:val="22"/>
          <w:szCs w:val="22"/>
        </w:rPr>
        <w:t>R</w:t>
      </w:r>
      <w:r w:rsidR="00B12042">
        <w:rPr>
          <w:rFonts w:ascii="Garamond" w:hAnsi="Garamond"/>
          <w:sz w:val="22"/>
          <w:szCs w:val="22"/>
        </w:rPr>
        <w:t xml:space="preserve"> but instead of investing on the project we buyback our stock. </w:t>
      </w:r>
      <w:r w:rsidR="00461E69">
        <w:rPr>
          <w:rFonts w:ascii="Garamond" w:hAnsi="Garamond"/>
          <w:sz w:val="22"/>
          <w:szCs w:val="22"/>
        </w:rPr>
        <w:t xml:space="preserve">After having these ending </w:t>
      </w:r>
      <w:r w:rsidR="0090517C">
        <w:rPr>
          <w:rFonts w:ascii="Garamond" w:hAnsi="Garamond"/>
          <w:sz w:val="22"/>
          <w:szCs w:val="22"/>
        </w:rPr>
        <w:t>values,</w:t>
      </w:r>
      <w:r w:rsidR="00461E69">
        <w:rPr>
          <w:rFonts w:ascii="Garamond" w:hAnsi="Garamond"/>
          <w:sz w:val="22"/>
          <w:szCs w:val="22"/>
        </w:rPr>
        <w:t xml:space="preserve"> we can take a decision on the project or see a way to alter the financing and </w:t>
      </w:r>
      <w:r w:rsidR="00AD64C4">
        <w:rPr>
          <w:rFonts w:ascii="Garamond" w:hAnsi="Garamond"/>
          <w:sz w:val="22"/>
          <w:szCs w:val="22"/>
        </w:rPr>
        <w:t xml:space="preserve">IRRs </w:t>
      </w:r>
      <w:r w:rsidR="00461E69">
        <w:rPr>
          <w:rFonts w:ascii="Garamond" w:hAnsi="Garamond"/>
          <w:sz w:val="22"/>
          <w:szCs w:val="22"/>
        </w:rPr>
        <w:t>into the future.</w:t>
      </w:r>
    </w:p>
    <w:p w14:paraId="0C3FE7E9" w14:textId="55C0BB22" w:rsidR="005E58EA" w:rsidRPr="002A133E" w:rsidRDefault="005E58EA" w:rsidP="002E6F8E">
      <w:pPr>
        <w:spacing w:line="480" w:lineRule="auto"/>
        <w:rPr>
          <w:rFonts w:ascii="Garamond" w:hAnsi="Garamond"/>
          <w:sz w:val="22"/>
          <w:szCs w:val="22"/>
        </w:rPr>
      </w:pPr>
    </w:p>
    <w:p w14:paraId="5DD7E349" w14:textId="77777777" w:rsidR="008D739D" w:rsidRPr="002A133E" w:rsidRDefault="008D739D" w:rsidP="002E6F8E">
      <w:pPr>
        <w:spacing w:line="480" w:lineRule="auto"/>
        <w:rPr>
          <w:rFonts w:ascii="Garamond" w:hAnsi="Garamond"/>
          <w:sz w:val="22"/>
          <w:szCs w:val="22"/>
        </w:rPr>
      </w:pPr>
    </w:p>
    <w:p w14:paraId="4AC6B673" w14:textId="477FC89C" w:rsidR="00D8158C" w:rsidRPr="002A133E" w:rsidRDefault="00F8535C" w:rsidP="002E6F8E">
      <w:pPr>
        <w:spacing w:line="480" w:lineRule="auto"/>
        <w:rPr>
          <w:rFonts w:ascii="Garamond" w:hAnsi="Garamond"/>
          <w:color w:val="000000" w:themeColor="text1"/>
          <w:sz w:val="22"/>
          <w:szCs w:val="22"/>
        </w:rPr>
      </w:pPr>
      <w:r w:rsidRPr="002A133E">
        <w:rPr>
          <w:rFonts w:ascii="Garamond" w:hAnsi="Garamond"/>
          <w:b/>
          <w:color w:val="000000" w:themeColor="text1"/>
          <w:sz w:val="22"/>
          <w:szCs w:val="22"/>
        </w:rPr>
        <w:t xml:space="preserve">2.0 </w:t>
      </w:r>
      <w:r w:rsidR="00C656FF" w:rsidRPr="002A133E">
        <w:rPr>
          <w:rFonts w:ascii="Garamond" w:hAnsi="Garamond"/>
          <w:b/>
          <w:color w:val="000000" w:themeColor="text1"/>
          <w:sz w:val="22"/>
          <w:szCs w:val="22"/>
        </w:rPr>
        <w:t>Data and Sample:</w:t>
      </w:r>
    </w:p>
    <w:p w14:paraId="6489979D" w14:textId="0FD7B6D5" w:rsidR="00FF3AE6" w:rsidRPr="002A133E" w:rsidRDefault="001A22D8" w:rsidP="002E6F8E">
      <w:pPr>
        <w:spacing w:line="480" w:lineRule="auto"/>
        <w:rPr>
          <w:rFonts w:ascii="Garamond" w:hAnsi="Garamond"/>
          <w:sz w:val="22"/>
          <w:szCs w:val="22"/>
        </w:rPr>
      </w:pPr>
      <w:r w:rsidRPr="002A133E">
        <w:rPr>
          <w:rFonts w:ascii="Garamond" w:hAnsi="Garamond"/>
          <w:sz w:val="22"/>
          <w:szCs w:val="22"/>
        </w:rPr>
        <w:t>2.1 Data</w:t>
      </w:r>
    </w:p>
    <w:p w14:paraId="5C2341EF" w14:textId="360BC20E" w:rsidR="00CB28EC" w:rsidRPr="002A133E" w:rsidRDefault="00CB28EC" w:rsidP="002E6F8E">
      <w:pPr>
        <w:spacing w:line="480" w:lineRule="auto"/>
        <w:ind w:firstLine="720"/>
        <w:rPr>
          <w:rFonts w:ascii="Garamond" w:hAnsi="Garamond"/>
          <w:sz w:val="22"/>
          <w:szCs w:val="22"/>
        </w:rPr>
      </w:pPr>
      <w:r w:rsidRPr="002A133E">
        <w:rPr>
          <w:rFonts w:ascii="Garamond" w:hAnsi="Garamond"/>
          <w:sz w:val="22"/>
          <w:szCs w:val="22"/>
        </w:rPr>
        <w:t xml:space="preserve">The data utilized for this analysis is based on a stock </w:t>
      </w:r>
      <w:r w:rsidR="00472A4E">
        <w:rPr>
          <w:rFonts w:ascii="Garamond" w:hAnsi="Garamond"/>
          <w:sz w:val="22"/>
          <w:szCs w:val="22"/>
        </w:rPr>
        <w:t xml:space="preserve">and values </w:t>
      </w:r>
      <w:r w:rsidRPr="002A133E">
        <w:rPr>
          <w:rFonts w:ascii="Garamond" w:hAnsi="Garamond"/>
          <w:sz w:val="22"/>
          <w:szCs w:val="22"/>
        </w:rPr>
        <w:t xml:space="preserve">assigned by the professor and was pulled from the ‘Compustat – Capital IQ’ in the Wharton Research Data Services (WRDS) database. To build </w:t>
      </w:r>
      <w:r w:rsidR="00627CD1" w:rsidRPr="002A133E">
        <w:rPr>
          <w:rFonts w:ascii="Garamond" w:hAnsi="Garamond"/>
          <w:sz w:val="22"/>
          <w:szCs w:val="22"/>
        </w:rPr>
        <w:t xml:space="preserve">these models we used information from the company’s </w:t>
      </w:r>
      <w:r w:rsidR="00C8123E" w:rsidRPr="002A133E">
        <w:rPr>
          <w:rFonts w:ascii="Garamond" w:hAnsi="Garamond"/>
          <w:sz w:val="22"/>
          <w:szCs w:val="22"/>
        </w:rPr>
        <w:t xml:space="preserve"> Ten last year’s </w:t>
      </w:r>
      <w:r w:rsidR="00627CD1" w:rsidRPr="002A133E">
        <w:rPr>
          <w:rFonts w:ascii="Garamond" w:hAnsi="Garamond"/>
          <w:sz w:val="22"/>
          <w:szCs w:val="22"/>
        </w:rPr>
        <w:t>balance sheet</w:t>
      </w:r>
      <w:r w:rsidR="00605F71" w:rsidRPr="002A133E">
        <w:rPr>
          <w:rFonts w:ascii="Garamond" w:hAnsi="Garamond"/>
          <w:sz w:val="22"/>
          <w:szCs w:val="22"/>
        </w:rPr>
        <w:t>s (2008 – 2018)</w:t>
      </w:r>
      <w:r w:rsidR="00627CD1" w:rsidRPr="002A133E">
        <w:rPr>
          <w:rFonts w:ascii="Garamond" w:hAnsi="Garamond"/>
          <w:sz w:val="22"/>
          <w:szCs w:val="22"/>
        </w:rPr>
        <w:t>.</w:t>
      </w:r>
      <w:r w:rsidR="000419FD" w:rsidRPr="002A133E">
        <w:rPr>
          <w:rFonts w:ascii="Garamond" w:hAnsi="Garamond"/>
          <w:sz w:val="22"/>
          <w:szCs w:val="22"/>
        </w:rPr>
        <w:t xml:space="preserve"> The sales forecast was built using sales from the last 25 years</w:t>
      </w:r>
      <w:r w:rsidR="00605F71" w:rsidRPr="002A133E">
        <w:rPr>
          <w:rFonts w:ascii="Garamond" w:hAnsi="Garamond"/>
          <w:sz w:val="22"/>
          <w:szCs w:val="22"/>
        </w:rPr>
        <w:t xml:space="preserve"> (1994 – 2018)</w:t>
      </w:r>
      <w:r w:rsidR="000419FD" w:rsidRPr="002A133E">
        <w:rPr>
          <w:rFonts w:ascii="Garamond" w:hAnsi="Garamond"/>
          <w:sz w:val="22"/>
          <w:szCs w:val="22"/>
        </w:rPr>
        <w:t>.</w:t>
      </w:r>
      <w:r w:rsidR="003E41F5">
        <w:rPr>
          <w:rFonts w:ascii="Garamond" w:hAnsi="Garamond"/>
          <w:sz w:val="22"/>
          <w:szCs w:val="22"/>
        </w:rPr>
        <w:t xml:space="preserve"> To calculate the WACC we utilized 10 bonds from the company assigned we gather from the </w:t>
      </w:r>
      <w:r w:rsidR="00F36D0E">
        <w:rPr>
          <w:rFonts w:ascii="Garamond" w:hAnsi="Garamond"/>
          <w:sz w:val="22"/>
          <w:szCs w:val="22"/>
        </w:rPr>
        <w:t>Morningstar-F</w:t>
      </w:r>
      <w:r w:rsidR="002A5500">
        <w:rPr>
          <w:rFonts w:ascii="Garamond" w:hAnsi="Garamond"/>
          <w:sz w:val="22"/>
          <w:szCs w:val="22"/>
        </w:rPr>
        <w:t xml:space="preserve">INRA </w:t>
      </w:r>
      <w:r w:rsidR="003E41F5">
        <w:rPr>
          <w:rFonts w:ascii="Garamond" w:hAnsi="Garamond"/>
          <w:sz w:val="22"/>
          <w:szCs w:val="22"/>
        </w:rPr>
        <w:t>website.</w:t>
      </w:r>
    </w:p>
    <w:p w14:paraId="3425449D" w14:textId="77777777" w:rsidR="00D16B82" w:rsidRPr="002A133E" w:rsidRDefault="00D16B82" w:rsidP="002E6F8E">
      <w:pPr>
        <w:spacing w:line="480" w:lineRule="auto"/>
        <w:rPr>
          <w:rFonts w:ascii="Garamond" w:hAnsi="Garamond"/>
          <w:sz w:val="22"/>
          <w:szCs w:val="22"/>
        </w:rPr>
      </w:pPr>
    </w:p>
    <w:p w14:paraId="5905EADF" w14:textId="1B606584" w:rsidR="00A85AD5" w:rsidRPr="002A133E" w:rsidRDefault="001A22D8" w:rsidP="002E6F8E">
      <w:pPr>
        <w:spacing w:line="480" w:lineRule="auto"/>
        <w:rPr>
          <w:rFonts w:ascii="Garamond" w:hAnsi="Garamond"/>
          <w:sz w:val="22"/>
          <w:szCs w:val="22"/>
        </w:rPr>
      </w:pPr>
      <w:r w:rsidRPr="002A133E">
        <w:rPr>
          <w:rFonts w:ascii="Garamond" w:hAnsi="Garamond"/>
          <w:sz w:val="22"/>
          <w:szCs w:val="22"/>
        </w:rPr>
        <w:t>2.2 Sample</w:t>
      </w:r>
    </w:p>
    <w:p w14:paraId="397FE312" w14:textId="160B8DA7" w:rsidR="0099705B" w:rsidRDefault="00A85AD5" w:rsidP="00CF6CA5">
      <w:pPr>
        <w:spacing w:line="480" w:lineRule="auto"/>
        <w:ind w:firstLine="720"/>
        <w:rPr>
          <w:rFonts w:ascii="Garamond" w:hAnsi="Garamond"/>
          <w:color w:val="000000"/>
          <w:sz w:val="22"/>
          <w:szCs w:val="22"/>
          <w:shd w:val="clear" w:color="auto" w:fill="FFFFFF"/>
        </w:rPr>
      </w:pPr>
      <w:r w:rsidRPr="002A133E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BSX - </w:t>
      </w:r>
      <w:r w:rsidR="009F47A3" w:rsidRPr="002A133E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Boston Scientific Corporation develops, manufactures, and markets medical devices for use in various interventional medical specialties worldwide. It operates through three segments: MedSurg, Rhythm and Neuro, and Cardiovascular. </w:t>
      </w:r>
      <w:r w:rsidR="00492EF6" w:rsidRPr="002A133E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It’s part of the healthcare </w:t>
      </w:r>
      <w:r w:rsidR="00491EC5" w:rsidRPr="002A133E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industry </w:t>
      </w:r>
      <w:r w:rsidR="00492EF6" w:rsidRPr="002A133E">
        <w:rPr>
          <w:rFonts w:ascii="Garamond" w:hAnsi="Garamond"/>
          <w:color w:val="000000"/>
          <w:sz w:val="22"/>
          <w:szCs w:val="22"/>
          <w:shd w:val="clear" w:color="auto" w:fill="FFFFFF"/>
        </w:rPr>
        <w:t>and is headquartered in Marlborough, Massachusetts.</w:t>
      </w:r>
    </w:p>
    <w:p w14:paraId="3FEBB39C" w14:textId="77777777" w:rsidR="004270F6" w:rsidRDefault="004270F6" w:rsidP="002E6F8E">
      <w:pPr>
        <w:spacing w:line="480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67FD353C" w14:textId="66A76C1E" w:rsidR="00A26AA6" w:rsidRPr="002A133E" w:rsidRDefault="00F8535C" w:rsidP="002E6F8E">
      <w:pPr>
        <w:spacing w:line="480" w:lineRule="auto"/>
        <w:rPr>
          <w:rFonts w:ascii="Garamond" w:hAnsi="Garamond"/>
          <w:b/>
          <w:color w:val="000000" w:themeColor="text1"/>
          <w:sz w:val="22"/>
          <w:szCs w:val="22"/>
        </w:rPr>
      </w:pPr>
      <w:r w:rsidRPr="002A133E">
        <w:rPr>
          <w:rFonts w:ascii="Garamond" w:hAnsi="Garamond"/>
          <w:b/>
          <w:color w:val="000000" w:themeColor="text1"/>
          <w:sz w:val="22"/>
          <w:szCs w:val="22"/>
        </w:rPr>
        <w:lastRenderedPageBreak/>
        <w:t xml:space="preserve">3.0 </w:t>
      </w:r>
      <w:r w:rsidR="00AF258A" w:rsidRPr="002A133E">
        <w:rPr>
          <w:rFonts w:ascii="Garamond" w:hAnsi="Garamond"/>
          <w:b/>
          <w:color w:val="000000" w:themeColor="text1"/>
          <w:sz w:val="22"/>
          <w:szCs w:val="22"/>
        </w:rPr>
        <w:t>Results:</w:t>
      </w:r>
    </w:p>
    <w:p w14:paraId="7391CC5B" w14:textId="21FC034D" w:rsidR="00915602" w:rsidRDefault="00915602" w:rsidP="002E6F8E">
      <w:pPr>
        <w:spacing w:line="48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3.1 </w:t>
      </w:r>
      <w:r w:rsidR="00822334">
        <w:rPr>
          <w:rFonts w:ascii="Garamond" w:hAnsi="Garamond"/>
          <w:sz w:val="22"/>
          <w:szCs w:val="22"/>
        </w:rPr>
        <w:t>Input parameters</w:t>
      </w:r>
    </w:p>
    <w:p w14:paraId="72E43FDE" w14:textId="116C76CF" w:rsidR="007C1546" w:rsidRDefault="00CC1982" w:rsidP="00AF678B">
      <w:pPr>
        <w:spacing w:line="480" w:lineRule="auto"/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 input parameters used for the model</w:t>
      </w:r>
      <w:r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will </w:t>
      </w:r>
      <w:r w:rsidR="001377CC">
        <w:rPr>
          <w:rFonts w:ascii="Garamond" w:hAnsi="Garamond"/>
          <w:sz w:val="22"/>
          <w:szCs w:val="22"/>
        </w:rPr>
        <w:t>are the ones that set</w:t>
      </w:r>
      <w:r>
        <w:rPr>
          <w:rFonts w:ascii="Garamond" w:hAnsi="Garamond"/>
          <w:sz w:val="22"/>
          <w:szCs w:val="22"/>
        </w:rPr>
        <w:t xml:space="preserve"> the rules of the results, at the end the output is based on the relationship with the input.</w:t>
      </w:r>
      <w:r w:rsidR="000842FF">
        <w:rPr>
          <w:rFonts w:ascii="Garamond" w:hAnsi="Garamond"/>
          <w:sz w:val="22"/>
          <w:szCs w:val="22"/>
        </w:rPr>
        <w:t xml:space="preserve"> An important input is the cost of capital which was calculated using the WACC formula for this we took 10 corporate bonds from the assigned company and calculated a contribution yield. Then </w:t>
      </w:r>
      <w:r w:rsidR="00331B4F">
        <w:rPr>
          <w:rFonts w:ascii="Garamond" w:hAnsi="Garamond"/>
          <w:sz w:val="22"/>
          <w:szCs w:val="22"/>
        </w:rPr>
        <w:t>the value obtained is divided by the total capital the company has to have weight of debt in the company. After that we</w:t>
      </w:r>
      <w:r w:rsidR="000842FF">
        <w:rPr>
          <w:rFonts w:ascii="Garamond" w:hAnsi="Garamond"/>
          <w:sz w:val="22"/>
          <w:szCs w:val="22"/>
        </w:rPr>
        <w:t xml:space="preserve"> multiply </w:t>
      </w:r>
      <w:r w:rsidR="00CD0E84">
        <w:rPr>
          <w:rFonts w:ascii="Garamond" w:hAnsi="Garamond"/>
          <w:sz w:val="22"/>
          <w:szCs w:val="22"/>
        </w:rPr>
        <w:t>the weight of debt,</w:t>
      </w:r>
      <w:r w:rsidR="000842FF">
        <w:rPr>
          <w:rFonts w:ascii="Garamond" w:hAnsi="Garamond"/>
          <w:sz w:val="22"/>
          <w:szCs w:val="22"/>
        </w:rPr>
        <w:t xml:space="preserve"> with the </w:t>
      </w:r>
      <w:r w:rsidR="00D24F5E">
        <w:rPr>
          <w:rFonts w:ascii="Garamond" w:hAnsi="Garamond"/>
          <w:sz w:val="22"/>
          <w:szCs w:val="22"/>
        </w:rPr>
        <w:t>yield contribution</w:t>
      </w:r>
      <w:r w:rsidR="000842FF">
        <w:rPr>
          <w:rFonts w:ascii="Garamond" w:hAnsi="Garamond"/>
          <w:sz w:val="22"/>
          <w:szCs w:val="22"/>
        </w:rPr>
        <w:t xml:space="preserve"> to have the total cost of debt</w:t>
      </w:r>
      <w:r w:rsidR="00B21AF6">
        <w:rPr>
          <w:rFonts w:ascii="Garamond" w:hAnsi="Garamond"/>
          <w:sz w:val="22"/>
          <w:szCs w:val="22"/>
        </w:rPr>
        <w:t xml:space="preserve"> and finally we have to discount the tax from the value.</w:t>
      </w:r>
    </w:p>
    <w:p w14:paraId="09169149" w14:textId="77777777" w:rsidR="00D0249C" w:rsidRDefault="00D0249C" w:rsidP="00AF678B">
      <w:pPr>
        <w:spacing w:line="480" w:lineRule="auto"/>
        <w:ind w:firstLine="720"/>
        <w:rPr>
          <w:rFonts w:ascii="Garamond" w:hAnsi="Garamond"/>
          <w:sz w:val="22"/>
          <w:szCs w:val="2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99"/>
        <w:gridCol w:w="1130"/>
        <w:gridCol w:w="903"/>
        <w:gridCol w:w="657"/>
        <w:gridCol w:w="1017"/>
        <w:gridCol w:w="1366"/>
        <w:gridCol w:w="655"/>
        <w:gridCol w:w="1366"/>
        <w:gridCol w:w="741"/>
        <w:gridCol w:w="1126"/>
      </w:tblGrid>
      <w:tr w:rsidR="00197DEC" w:rsidRPr="00197DEC" w14:paraId="230A36EA" w14:textId="77777777" w:rsidTr="00FE7051">
        <w:trPr>
          <w:trHeight w:val="20"/>
          <w:jc w:val="center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130CD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Table - 1 Bonds</w:t>
            </w:r>
          </w:p>
        </w:tc>
      </w:tr>
      <w:tr w:rsidR="00197DEC" w:rsidRPr="00197DEC" w14:paraId="3E805BB8" w14:textId="77777777" w:rsidTr="00FE7051">
        <w:trPr>
          <w:trHeight w:val="20"/>
          <w:jc w:val="center"/>
        </w:trPr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E96E05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#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2EACCD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Bond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A81F64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C94752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YTM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C208B5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D4BB27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Offering Outstanding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CB83D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Bond Count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D4B350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EFAB8D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% Value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950F7F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Yield Contribution</w:t>
            </w:r>
          </w:p>
        </w:tc>
      </w:tr>
      <w:tr w:rsidR="00197DEC" w:rsidRPr="00197DEC" w14:paraId="4F0589ED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80DA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1153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BSX4039299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66BC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10/1/23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FC03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4.07%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BE08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1,001.70 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0290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243,571.00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16FD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EF74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243,985.07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259D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3.64%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9DCD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0.148%</w:t>
            </w:r>
          </w:p>
        </w:tc>
      </w:tr>
      <w:tr w:rsidR="00197DEC" w:rsidRPr="00197DEC" w14:paraId="452F826B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93BBD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980E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BSX4800731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1520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3/1/24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1D66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3.36%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BC5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1,003.30 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0F5F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850,000.00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A48E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846C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852,805.00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FCDB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12.74%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0AF8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0.428%</w:t>
            </w:r>
          </w:p>
        </w:tc>
      </w:tr>
      <w:tr w:rsidR="00197DEC" w:rsidRPr="00197DEC" w14:paraId="2484F567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10CC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385B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BSX4243438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B128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5/15/25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2AEB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2.88%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359D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1,046.20 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A35F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522,883.00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5D75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4B90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547,040.19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A91B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8.17%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49D3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0.235%</w:t>
            </w:r>
          </w:p>
        </w:tc>
      </w:tr>
      <w:tr w:rsidR="00197DEC" w:rsidRPr="00197DEC" w14:paraId="1DCEA24D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72A6A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E9D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BSX4800732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C929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3/1/26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18B6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3.31%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F0C3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1,022.90 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18DE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850,000.00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E70C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8E80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869,465.00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A7DA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12.99%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50DB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0.430%</w:t>
            </w:r>
          </w:p>
        </w:tc>
      </w:tr>
      <w:tr w:rsidR="00197DEC" w:rsidRPr="00197DEC" w14:paraId="2588F1CF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5150E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6C96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BSX4602368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A0AA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3/1/28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825C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2.78%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CCC7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1,083.80 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C177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433,545.00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D88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F94D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469,876.07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D237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7.02%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809E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0.195%</w:t>
            </w:r>
          </w:p>
        </w:tc>
      </w:tr>
      <w:tr w:rsidR="00197DEC" w:rsidRPr="00197DEC" w14:paraId="1E403D6E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165D3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F80A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BSX4800733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6DCD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3/1/29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26F7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3.86%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B53C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1,010.20 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A108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850,000.00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6867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0F9C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858,670.00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A57F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12.83%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BA19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0.495%</w:t>
            </w:r>
          </w:p>
        </w:tc>
      </w:tr>
      <w:tr w:rsidR="00197DEC" w:rsidRPr="00197DEC" w14:paraId="2579A632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719D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66E7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BSX.GE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A814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11/15/35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B9FF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4.21%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1DFC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1,317.60 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4F26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350,000.00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4649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446C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461,160.00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BE45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6.89%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5181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0.290%</w:t>
            </w:r>
          </w:p>
        </w:tc>
      </w:tr>
      <w:tr w:rsidR="00197DEC" w:rsidRPr="00197DEC" w14:paraId="32A245F8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987F5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99E6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BSX4801033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C281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3/1/39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A04F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4.06%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E18B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1,062.80 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9299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750,000.00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D039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EFFA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797,100.00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186B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11.91%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AF77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0.484%</w:t>
            </w:r>
          </w:p>
        </w:tc>
      </w:tr>
      <w:tr w:rsidR="00197DEC" w:rsidRPr="00197DEC" w14:paraId="313A1A87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2F77D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3952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BSX.GJ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E080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1/15/40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3C95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3.30%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EECE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1,588.30 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240A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300,000.00 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46E2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2F3B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    476,490.00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D02F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7.12%</w:t>
            </w: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8E8A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0.235%</w:t>
            </w:r>
          </w:p>
        </w:tc>
      </w:tr>
      <w:tr w:rsidR="00197DEC" w:rsidRPr="00197DEC" w14:paraId="23A1B6E7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87115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6E368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BSX4801034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EF022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3/1/49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F4303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4.00%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A8AE7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1,117.80 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F9E55" w14:textId="682F89B2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</w:t>
            </w:r>
            <w:r w:rsidR="00F47500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</w:t>
            </w: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1,000,000.00 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9D143" w14:textId="77777777" w:rsidR="00197DEC" w:rsidRPr="00197DEC" w:rsidRDefault="00197DEC">
            <w:pPr>
              <w:jc w:val="center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DBB87" w14:textId="31B3611B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</w:t>
            </w:r>
            <w:r w:rsidR="002A2531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</w:t>
            </w: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1,117,800.00 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FE8C3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16.70%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13597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0.668%</w:t>
            </w:r>
          </w:p>
        </w:tc>
      </w:tr>
      <w:tr w:rsidR="00197DEC" w:rsidRPr="00197DEC" w14:paraId="416DB5C6" w14:textId="77777777" w:rsidTr="00197DEC">
        <w:trPr>
          <w:trHeight w:val="20"/>
          <w:jc w:val="center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759E" w14:textId="77777777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DCA2" w14:textId="77777777" w:rsidR="00197DEC" w:rsidRPr="00197DEC" w:rsidRDefault="00197DEC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E91A" w14:textId="77777777" w:rsidR="00197DEC" w:rsidRPr="00197DEC" w:rsidRDefault="00197DEC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5168" w14:textId="77777777" w:rsidR="00197DEC" w:rsidRPr="00197DEC" w:rsidRDefault="00197DEC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B6C8" w14:textId="77777777" w:rsidR="00197DEC" w:rsidRPr="00197DEC" w:rsidRDefault="00197DEC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F2BF" w14:textId="77777777" w:rsidR="00197DEC" w:rsidRPr="00197DEC" w:rsidRDefault="00197DEC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45EE" w14:textId="77777777" w:rsidR="00197DEC" w:rsidRPr="00197DEC" w:rsidRDefault="00197DEC">
            <w:pPr>
              <w:rPr>
                <w:rFonts w:ascii="Garamond" w:hAnsi="Garamond"/>
                <w:sz w:val="18"/>
                <w:szCs w:val="18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8C50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 xml:space="preserve"> $  6,694,391.34 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8C2B" w14:textId="77777777" w:rsidR="00197DEC" w:rsidRPr="00197DEC" w:rsidRDefault="00197DEC">
            <w:pPr>
              <w:rPr>
                <w:rFonts w:ascii="Garamond" w:hAnsi="Garamond" w:cs="Calibri"/>
                <w:color w:val="000000"/>
                <w:sz w:val="18"/>
                <w:szCs w:val="18"/>
              </w:rPr>
            </w:pPr>
          </w:p>
        </w:tc>
        <w:tc>
          <w:tcPr>
            <w:tcW w:w="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FC73" w14:textId="3D89C4E6" w:rsidR="00197DEC" w:rsidRPr="00197DEC" w:rsidRDefault="00197DEC">
            <w:pPr>
              <w:jc w:val="right"/>
              <w:rPr>
                <w:rFonts w:ascii="Garamond" w:hAnsi="Garamond" w:cs="Calibri"/>
                <w:color w:val="000000"/>
                <w:sz w:val="18"/>
                <w:szCs w:val="18"/>
              </w:rPr>
            </w:pP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3.6</w:t>
            </w:r>
            <w:r w:rsidR="00B3538C">
              <w:rPr>
                <w:rFonts w:ascii="Garamond" w:hAnsi="Garamond" w:cs="Calibri"/>
                <w:color w:val="000000"/>
                <w:sz w:val="18"/>
                <w:szCs w:val="18"/>
              </w:rPr>
              <w:t>1</w:t>
            </w:r>
            <w:r w:rsidRPr="00197DEC">
              <w:rPr>
                <w:rFonts w:ascii="Garamond" w:hAnsi="Garamond" w:cs="Calibri"/>
                <w:color w:val="000000"/>
                <w:sz w:val="18"/>
                <w:szCs w:val="18"/>
              </w:rPr>
              <w:t>%</w:t>
            </w:r>
          </w:p>
        </w:tc>
      </w:tr>
    </w:tbl>
    <w:p w14:paraId="054FBFB4" w14:textId="6C7C465D" w:rsidR="00C2439D" w:rsidRDefault="00C2439D" w:rsidP="00C2439D">
      <w:pPr>
        <w:spacing w:line="480" w:lineRule="auto"/>
        <w:rPr>
          <w:rFonts w:ascii="Garamond" w:hAnsi="Garamond"/>
          <w:sz w:val="22"/>
          <w:szCs w:val="22"/>
        </w:rPr>
      </w:pPr>
    </w:p>
    <w:tbl>
      <w:tblPr>
        <w:tblpPr w:leftFromText="180" w:rightFromText="180" w:vertAnchor="text" w:horzAnchor="margin" w:tblpY="424"/>
        <w:tblW w:w="3501" w:type="dxa"/>
        <w:tblLook w:val="04A0" w:firstRow="1" w:lastRow="0" w:firstColumn="1" w:lastColumn="0" w:noHBand="0" w:noVBand="1"/>
      </w:tblPr>
      <w:tblGrid>
        <w:gridCol w:w="1639"/>
        <w:gridCol w:w="1862"/>
      </w:tblGrid>
      <w:tr w:rsidR="001A4214" w:rsidRPr="00835C57" w14:paraId="26B3017F" w14:textId="77777777" w:rsidTr="00222CD0">
        <w:trPr>
          <w:trHeight w:val="448"/>
        </w:trPr>
        <w:tc>
          <w:tcPr>
            <w:tcW w:w="35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2D004" w14:textId="77777777" w:rsidR="001A4214" w:rsidRPr="00835C57" w:rsidRDefault="001A4214" w:rsidP="001A4214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Table </w:t>
            </w:r>
            <w:r>
              <w:rPr>
                <w:rFonts w:ascii="Garamond" w:hAnsi="Garamond" w:cs="Calibri"/>
                <w:color w:val="000000"/>
                <w:sz w:val="22"/>
                <w:szCs w:val="22"/>
              </w:rPr>
              <w:t>2</w:t>
            </w: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-  WACC</w:t>
            </w:r>
          </w:p>
        </w:tc>
      </w:tr>
      <w:tr w:rsidR="001A4214" w:rsidRPr="00835C57" w14:paraId="5DE85F32" w14:textId="77777777" w:rsidTr="00222CD0">
        <w:trPr>
          <w:trHeight w:val="477"/>
        </w:trPr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2906" w14:textId="77777777" w:rsidR="001A4214" w:rsidRPr="00835C57" w:rsidRDefault="001A4214" w:rsidP="001A421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Tax Rate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9462" w14:textId="77777777" w:rsidR="001A4214" w:rsidRPr="00835C57" w:rsidRDefault="001A4214" w:rsidP="001A4214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39%</w:t>
            </w:r>
          </w:p>
        </w:tc>
      </w:tr>
      <w:tr w:rsidR="001A4214" w:rsidRPr="00835C57" w14:paraId="560046DD" w14:textId="77777777" w:rsidTr="00116C7A">
        <w:trPr>
          <w:trHeight w:val="448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FB13" w14:textId="77777777" w:rsidR="001A4214" w:rsidRPr="00835C57" w:rsidRDefault="001A4214" w:rsidP="001A421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Value of Equity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CFB0" w14:textId="77777777" w:rsidR="001A4214" w:rsidRPr="00835C57" w:rsidRDefault="001A4214" w:rsidP="001A421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</w:t>
            </w: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47,685,782 </w:t>
            </w:r>
          </w:p>
        </w:tc>
      </w:tr>
      <w:tr w:rsidR="001A4214" w:rsidRPr="00835C57" w14:paraId="50594CE3" w14:textId="77777777" w:rsidTr="00116C7A">
        <w:trPr>
          <w:trHeight w:val="448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6167" w14:textId="77777777" w:rsidR="001A4214" w:rsidRPr="00835C57" w:rsidRDefault="001A4214" w:rsidP="001A421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Value of Debt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9372" w14:textId="77777777" w:rsidR="001A4214" w:rsidRPr="00835C57" w:rsidRDefault="001A4214" w:rsidP="001A421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$       </w:t>
            </w: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4,803,000 </w:t>
            </w:r>
          </w:p>
        </w:tc>
      </w:tr>
      <w:tr w:rsidR="001A4214" w:rsidRPr="00835C57" w14:paraId="3A9E8986" w14:textId="77777777" w:rsidTr="00116C7A">
        <w:trPr>
          <w:trHeight w:val="448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7D74" w14:textId="77777777" w:rsidR="001A4214" w:rsidRPr="00835C57" w:rsidRDefault="001A4214" w:rsidP="001A421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Return Equity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8E94" w14:textId="77777777" w:rsidR="001A4214" w:rsidRPr="00835C57" w:rsidRDefault="001A4214" w:rsidP="001A4214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8.94%</w:t>
            </w:r>
          </w:p>
        </w:tc>
      </w:tr>
      <w:tr w:rsidR="001A4214" w:rsidRPr="00835C57" w14:paraId="1D44715D" w14:textId="77777777" w:rsidTr="00116C7A">
        <w:trPr>
          <w:trHeight w:val="448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B7A3" w14:textId="77777777" w:rsidR="001A4214" w:rsidRPr="00835C57" w:rsidRDefault="001A4214" w:rsidP="001A421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Return Debt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DFE1" w14:textId="77777777" w:rsidR="001A4214" w:rsidRPr="00835C57" w:rsidRDefault="001A4214" w:rsidP="001A4214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3.61%</w:t>
            </w:r>
          </w:p>
        </w:tc>
      </w:tr>
      <w:tr w:rsidR="001A4214" w:rsidRPr="00835C57" w14:paraId="54788331" w14:textId="77777777" w:rsidTr="00116C7A">
        <w:trPr>
          <w:trHeight w:val="448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C038" w14:textId="77777777" w:rsidR="001A4214" w:rsidRPr="00835C57" w:rsidRDefault="001A4214" w:rsidP="001A421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WACC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1077" w14:textId="77777777" w:rsidR="001A4214" w:rsidRPr="00835C57" w:rsidRDefault="001A4214" w:rsidP="001A4214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835C57">
              <w:rPr>
                <w:rFonts w:ascii="Garamond" w:hAnsi="Garamond" w:cs="Calibri"/>
                <w:color w:val="000000"/>
                <w:sz w:val="22"/>
                <w:szCs w:val="22"/>
              </w:rPr>
              <w:t>8.32%</w:t>
            </w:r>
          </w:p>
        </w:tc>
      </w:tr>
    </w:tbl>
    <w:p w14:paraId="76A4610E" w14:textId="77777777" w:rsidR="004A628C" w:rsidRDefault="004A628C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199A2DB0" w14:textId="1BBACE4D" w:rsidR="00F57AA2" w:rsidRDefault="00B21AF6" w:rsidP="00C2439D">
      <w:pPr>
        <w:spacing w:line="48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The value of equity was taken from the current market cap for the </w:t>
      </w:r>
      <w:r w:rsidR="001A4214">
        <w:rPr>
          <w:rFonts w:ascii="Garamond" w:hAnsi="Garamond"/>
          <w:sz w:val="22"/>
          <w:szCs w:val="22"/>
        </w:rPr>
        <w:t>stock and divide it to total capital of the company to have the weight of equity.</w:t>
      </w:r>
      <w:r>
        <w:rPr>
          <w:rFonts w:ascii="Garamond" w:hAnsi="Garamond"/>
          <w:sz w:val="22"/>
          <w:szCs w:val="22"/>
        </w:rPr>
        <w:t xml:space="preserve"> </w:t>
      </w:r>
      <w:r w:rsidR="001A4214">
        <w:rPr>
          <w:rFonts w:ascii="Garamond" w:hAnsi="Garamond"/>
          <w:sz w:val="22"/>
          <w:szCs w:val="22"/>
        </w:rPr>
        <w:t>T</w:t>
      </w:r>
      <w:r>
        <w:rPr>
          <w:rFonts w:ascii="Garamond" w:hAnsi="Garamond"/>
          <w:sz w:val="22"/>
          <w:szCs w:val="22"/>
        </w:rPr>
        <w:t>hen we multiply it times the return on equity from the company</w:t>
      </w:r>
      <w:r w:rsidR="001A4214">
        <w:rPr>
          <w:rFonts w:ascii="Garamond" w:hAnsi="Garamond"/>
          <w:sz w:val="22"/>
          <w:szCs w:val="22"/>
        </w:rPr>
        <w:t xml:space="preserve"> to have the cost of equity</w:t>
      </w:r>
      <w:r>
        <w:rPr>
          <w:rFonts w:ascii="Garamond" w:hAnsi="Garamond"/>
          <w:sz w:val="22"/>
          <w:szCs w:val="22"/>
        </w:rPr>
        <w:t>.</w:t>
      </w:r>
      <w:r w:rsidR="00331B4F">
        <w:rPr>
          <w:rFonts w:ascii="Garamond" w:hAnsi="Garamond"/>
          <w:sz w:val="22"/>
          <w:szCs w:val="22"/>
        </w:rPr>
        <w:t xml:space="preserve"> Finally</w:t>
      </w:r>
      <w:r w:rsidR="00115204">
        <w:rPr>
          <w:rFonts w:ascii="Garamond" w:hAnsi="Garamond"/>
          <w:sz w:val="22"/>
          <w:szCs w:val="22"/>
        </w:rPr>
        <w:t>,</w:t>
      </w:r>
      <w:r w:rsidR="00331B4F">
        <w:rPr>
          <w:rFonts w:ascii="Garamond" w:hAnsi="Garamond"/>
          <w:sz w:val="22"/>
          <w:szCs w:val="22"/>
        </w:rPr>
        <w:t xml:space="preserve"> we add the two values and we have the weighted average cost of capital</w:t>
      </w:r>
      <w:r w:rsidR="001A4214">
        <w:rPr>
          <w:rFonts w:ascii="Garamond" w:hAnsi="Garamond"/>
          <w:sz w:val="22"/>
          <w:szCs w:val="22"/>
        </w:rPr>
        <w:t>, this value is used to discount the cashflows of the project we will assess.</w:t>
      </w:r>
    </w:p>
    <w:p w14:paraId="15F14939" w14:textId="2C421D53" w:rsidR="004270F6" w:rsidRDefault="004270F6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7F6BCDBE" w14:textId="77777777" w:rsidR="00AF529A" w:rsidRPr="002A133E" w:rsidRDefault="00AF529A" w:rsidP="00C2439D">
      <w:pPr>
        <w:spacing w:line="480" w:lineRule="auto"/>
        <w:rPr>
          <w:rFonts w:ascii="Garamond" w:hAnsi="Garamond"/>
          <w:sz w:val="22"/>
          <w:szCs w:val="22"/>
        </w:rPr>
      </w:pPr>
    </w:p>
    <w:tbl>
      <w:tblPr>
        <w:tblW w:w="6209" w:type="dxa"/>
        <w:jc w:val="center"/>
        <w:tblLook w:val="04A0" w:firstRow="1" w:lastRow="0" w:firstColumn="1" w:lastColumn="0" w:noHBand="0" w:noVBand="1"/>
      </w:tblPr>
      <w:tblGrid>
        <w:gridCol w:w="2485"/>
        <w:gridCol w:w="1486"/>
        <w:gridCol w:w="222"/>
        <w:gridCol w:w="715"/>
        <w:gridCol w:w="1301"/>
      </w:tblGrid>
      <w:tr w:rsidR="00D07144" w:rsidRPr="003009CD" w14:paraId="21C6B009" w14:textId="77777777" w:rsidTr="001366F5">
        <w:trPr>
          <w:trHeight w:val="360"/>
          <w:jc w:val="center"/>
        </w:trPr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D6D84B" w14:textId="3BD25765" w:rsidR="00D07144" w:rsidRPr="003009CD" w:rsidRDefault="004270F6" w:rsidP="00035345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Garamond" w:hAnsi="Garamond" w:cs="Calibri"/>
                <w:color w:val="000000"/>
                <w:sz w:val="22"/>
                <w:szCs w:val="22"/>
              </w:rPr>
              <w:lastRenderedPageBreak/>
              <w:t>Table 3 – inputs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3482F2" w14:textId="44FB8643" w:rsidR="00D07144" w:rsidRPr="003009CD" w:rsidRDefault="00D07144" w:rsidP="00B85FDA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90659D" w14:textId="77777777" w:rsidR="00D07144" w:rsidRPr="003009CD" w:rsidRDefault="00D07144" w:rsidP="00D0714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9720DB" w14:textId="77777777" w:rsidR="00D07144" w:rsidRPr="003009CD" w:rsidRDefault="00D07144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D4762E" w14:textId="77777777" w:rsidR="00D07144" w:rsidRPr="003009CD" w:rsidRDefault="00D07144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</w:tr>
      <w:tr w:rsidR="00493699" w:rsidRPr="003009CD" w14:paraId="31B3BAFF" w14:textId="77777777" w:rsidTr="001366F5">
        <w:trPr>
          <w:trHeight w:val="360"/>
          <w:jc w:val="center"/>
        </w:trPr>
        <w:tc>
          <w:tcPr>
            <w:tcW w:w="2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6B84" w14:textId="4FC834B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Cap</w:t>
            </w:r>
            <w:r>
              <w:rPr>
                <w:rFonts w:ascii="Garamond" w:hAnsi="Garamond" w:cs="Calibri"/>
                <w:color w:val="000000"/>
                <w:sz w:val="22"/>
                <w:szCs w:val="22"/>
              </w:rPr>
              <w:t>ital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A894" w14:textId="3F541F05" w:rsidR="00493699" w:rsidRPr="003009CD" w:rsidRDefault="0049369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$</w:t>
            </w: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</w:t>
            </w: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1,658,087 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18E6" w14:textId="77777777" w:rsidR="00493699" w:rsidRPr="003009CD" w:rsidRDefault="0049369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EEF2" w14:textId="7777777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VC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8705" w14:textId="73412C1A" w:rsidR="00493699" w:rsidRPr="003009CD" w:rsidRDefault="0049369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$</w:t>
            </w: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</w:t>
            </w: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2.56 </w:t>
            </w:r>
          </w:p>
        </w:tc>
      </w:tr>
      <w:tr w:rsidR="00493699" w:rsidRPr="003009CD" w14:paraId="338C92DB" w14:textId="77777777" w:rsidTr="0019457D">
        <w:trPr>
          <w:trHeight w:val="360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A3E6" w14:textId="7777777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Salvage Value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918A" w14:textId="77777777" w:rsidR="00493699" w:rsidRPr="003009CD" w:rsidRDefault="0049369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0C95" w14:textId="77777777" w:rsidR="00493699" w:rsidRPr="003009CD" w:rsidRDefault="0049369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ABD5" w14:textId="7777777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0664" w14:textId="556AF540" w:rsidR="00493699" w:rsidRPr="003009CD" w:rsidRDefault="0049369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$</w:t>
            </w: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</w:t>
            </w: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4.28 </w:t>
            </w:r>
          </w:p>
        </w:tc>
      </w:tr>
      <w:tr w:rsidR="00493699" w:rsidRPr="003009CD" w14:paraId="753472CE" w14:textId="77777777" w:rsidTr="0019457D">
        <w:trPr>
          <w:trHeight w:val="360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B70C" w14:textId="7777777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Years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18E1" w14:textId="77777777" w:rsidR="00493699" w:rsidRPr="003009CD" w:rsidRDefault="0049369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618D" w14:textId="77777777" w:rsidR="00493699" w:rsidRPr="003009CD" w:rsidRDefault="0049369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5B21" w14:textId="7777777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Units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D2F6" w14:textId="77777777" w:rsidR="00493699" w:rsidRPr="003009CD" w:rsidRDefault="0049369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386,728 </w:t>
            </w:r>
          </w:p>
        </w:tc>
      </w:tr>
      <w:tr w:rsidR="00493699" w:rsidRPr="003009CD" w14:paraId="266A4A8D" w14:textId="77777777" w:rsidTr="0019457D">
        <w:trPr>
          <w:trHeight w:val="360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3C72" w14:textId="7777777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Tax Rate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CEC1B" w14:textId="095DC76B" w:rsidR="00493699" w:rsidRPr="003009CD" w:rsidRDefault="0049369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     </w:t>
            </w: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39%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AA0B" w14:textId="77777777" w:rsidR="00493699" w:rsidRPr="003009CD" w:rsidRDefault="0049369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207E" w14:textId="7777777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SGA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59F6" w14:textId="6AF2ED22" w:rsidR="00493699" w:rsidRPr="003009CD" w:rsidRDefault="0049369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</w:t>
            </w: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22.60%</w:t>
            </w:r>
          </w:p>
        </w:tc>
      </w:tr>
      <w:tr w:rsidR="00493699" w:rsidRPr="003009CD" w14:paraId="16CB1FEC" w14:textId="77777777" w:rsidTr="0019457D">
        <w:trPr>
          <w:trHeight w:val="360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C934" w14:textId="7777777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Discount Rate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C2C1" w14:textId="77777777" w:rsidR="00493699" w:rsidRPr="003009CD" w:rsidRDefault="0049369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8.32%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5168" w14:textId="77777777" w:rsidR="00493699" w:rsidRPr="003009CD" w:rsidRDefault="0049369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072F" w14:textId="77777777" w:rsidR="00493699" w:rsidRPr="003009CD" w:rsidRDefault="004936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480D" w14:textId="77777777" w:rsidR="00493699" w:rsidRPr="003009CD" w:rsidRDefault="00493699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93699" w:rsidRPr="003009CD" w14:paraId="3B37169A" w14:textId="77777777" w:rsidTr="0019457D">
        <w:trPr>
          <w:trHeight w:val="360"/>
          <w:jc w:val="center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4F0B" w14:textId="77777777" w:rsidR="00493699" w:rsidRPr="003009CD" w:rsidRDefault="0049369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Reinvestment Rate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1637" w14:textId="77777777" w:rsidR="00493699" w:rsidRPr="003009CD" w:rsidRDefault="0049369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3009CD">
              <w:rPr>
                <w:rFonts w:ascii="Garamond" w:hAnsi="Garamond" w:cs="Calibri"/>
                <w:color w:val="000000"/>
                <w:sz w:val="22"/>
                <w:szCs w:val="22"/>
              </w:rPr>
              <w:t>8.32%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FED2" w14:textId="77777777" w:rsidR="00493699" w:rsidRPr="003009CD" w:rsidRDefault="0049369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72A9" w14:textId="77777777" w:rsidR="00493699" w:rsidRPr="003009CD" w:rsidRDefault="00493699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BC54" w14:textId="77777777" w:rsidR="00493699" w:rsidRPr="003009CD" w:rsidRDefault="00493699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470A9D4C" w14:textId="6492DED4" w:rsidR="00F57AA2" w:rsidRDefault="00F57AA2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717B6406" w14:textId="77777777" w:rsidR="004270F6" w:rsidRDefault="004270F6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46A76A50" w14:textId="1FA656CE" w:rsidR="00D72396" w:rsidRDefault="00D72396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4B5CEB36" w14:textId="77777777" w:rsidR="00D72396" w:rsidRDefault="00D72396" w:rsidP="00C2439D">
      <w:pPr>
        <w:spacing w:line="480" w:lineRule="auto"/>
        <w:rPr>
          <w:rFonts w:ascii="Garamond" w:hAnsi="Garamond"/>
          <w:sz w:val="22"/>
          <w:szCs w:val="22"/>
        </w:rPr>
      </w:pPr>
    </w:p>
    <w:tbl>
      <w:tblPr>
        <w:tblpPr w:leftFromText="180" w:rightFromText="180" w:vertAnchor="page" w:horzAnchor="margin" w:tblpY="5749"/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9F42B7" w:rsidRPr="009F42B7" w14:paraId="5EAD70D2" w14:textId="77777777" w:rsidTr="002639FA">
        <w:trPr>
          <w:trHeight w:val="300"/>
        </w:trPr>
        <w:tc>
          <w:tcPr>
            <w:tcW w:w="3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93B1C" w14:textId="0C93FC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Table </w:t>
            </w:r>
            <w:r w:rsidR="00920FE4">
              <w:rPr>
                <w:rFonts w:ascii="Garamond" w:hAnsi="Garamond" w:cs="Calibri"/>
                <w:color w:val="000000"/>
                <w:sz w:val="22"/>
                <w:szCs w:val="22"/>
              </w:rPr>
              <w:t>4</w:t>
            </w: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- </w:t>
            </w:r>
            <w:r w:rsidR="0012614E">
              <w:rPr>
                <w:rFonts w:ascii="Garamond" w:hAnsi="Garamond" w:cs="Calibri"/>
                <w:color w:val="000000"/>
                <w:sz w:val="22"/>
                <w:szCs w:val="22"/>
              </w:rPr>
              <w:t>S</w:t>
            </w: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ales </w:t>
            </w:r>
            <w:r w:rsidR="0012614E">
              <w:rPr>
                <w:rFonts w:ascii="Garamond" w:hAnsi="Garamond" w:cs="Calibri"/>
                <w:color w:val="000000"/>
                <w:sz w:val="22"/>
                <w:szCs w:val="22"/>
              </w:rPr>
              <w:t>G</w:t>
            </w: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rowth</w:t>
            </w:r>
          </w:p>
        </w:tc>
      </w:tr>
      <w:tr w:rsidR="009F42B7" w:rsidRPr="009F42B7" w14:paraId="5CE186F7" w14:textId="77777777" w:rsidTr="002639FA">
        <w:trPr>
          <w:trHeight w:val="64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E055A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0181A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% Sales Change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95F14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% Error</w:t>
            </w:r>
          </w:p>
        </w:tc>
      </w:tr>
      <w:tr w:rsidR="009F42B7" w:rsidRPr="009F42B7" w14:paraId="07D5243D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38B1E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CF27D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F712B" w14:textId="77777777" w:rsidR="009F42B7" w:rsidRPr="009F42B7" w:rsidRDefault="009F42B7" w:rsidP="004270F6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F42B7" w:rsidRPr="009F42B7" w14:paraId="29EEA0D8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DBF2AF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F9D1BC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4.02%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FC894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8.60%</w:t>
            </w:r>
          </w:p>
        </w:tc>
      </w:tr>
      <w:tr w:rsidR="009F42B7" w:rsidRPr="009F42B7" w14:paraId="13F34D8D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D5875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7601D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3.87%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F09AF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8.39%</w:t>
            </w:r>
          </w:p>
        </w:tc>
      </w:tr>
      <w:tr w:rsidR="009F42B7" w:rsidRPr="009F42B7" w14:paraId="43B826BC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2DEEE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F3FF4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3.72%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55845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8.21%</w:t>
            </w:r>
          </w:p>
        </w:tc>
      </w:tr>
      <w:tr w:rsidR="009F42B7" w:rsidRPr="009F42B7" w14:paraId="12EAA668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2C1B5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DF434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3.59%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E3240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8.04%</w:t>
            </w:r>
          </w:p>
        </w:tc>
      </w:tr>
      <w:tr w:rsidR="009F42B7" w:rsidRPr="009F42B7" w14:paraId="75823631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E9F80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9C26D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3.46%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489AA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7.89%</w:t>
            </w:r>
          </w:p>
        </w:tc>
      </w:tr>
      <w:tr w:rsidR="009F42B7" w:rsidRPr="009F42B7" w14:paraId="4782AB40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5E42C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EF34E4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3.35%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CDE8D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7.76%</w:t>
            </w:r>
          </w:p>
        </w:tc>
      </w:tr>
      <w:tr w:rsidR="009F42B7" w:rsidRPr="009F42B7" w14:paraId="403C86E4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0A2E5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61390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3.24%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97C91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7.63%</w:t>
            </w:r>
          </w:p>
        </w:tc>
      </w:tr>
      <w:tr w:rsidR="009F42B7" w:rsidRPr="009F42B7" w14:paraId="4E0B9E23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FA5DA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A91E9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3.14%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C58E9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7.52%</w:t>
            </w:r>
          </w:p>
        </w:tc>
      </w:tr>
      <w:tr w:rsidR="009F42B7" w:rsidRPr="009F42B7" w14:paraId="01CA5B7E" w14:textId="77777777" w:rsidTr="004270F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E8719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2028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19083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3.04%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1E7E6" w14:textId="77777777" w:rsidR="009F42B7" w:rsidRPr="009F42B7" w:rsidRDefault="009F42B7" w:rsidP="004270F6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9F42B7">
              <w:rPr>
                <w:rFonts w:ascii="Garamond" w:hAnsi="Garamond" w:cs="Calibri"/>
                <w:color w:val="000000"/>
                <w:sz w:val="22"/>
                <w:szCs w:val="22"/>
              </w:rPr>
              <w:t>7.42%</w:t>
            </w:r>
          </w:p>
        </w:tc>
      </w:tr>
    </w:tbl>
    <w:p w14:paraId="494618B9" w14:textId="5E911797" w:rsidR="00336E6F" w:rsidRPr="002A133E" w:rsidRDefault="00662C77" w:rsidP="00795205">
      <w:pPr>
        <w:spacing w:line="48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Table 3 has final </w:t>
      </w:r>
      <w:r>
        <w:rPr>
          <w:rFonts w:ascii="Garamond" w:hAnsi="Garamond"/>
          <w:sz w:val="22"/>
          <w:szCs w:val="22"/>
        </w:rPr>
        <w:t xml:space="preserve">table of input parameter we used to build the models. </w:t>
      </w:r>
      <w:r w:rsidR="002B6F20">
        <w:rPr>
          <w:rFonts w:ascii="Garamond" w:hAnsi="Garamond"/>
          <w:sz w:val="22"/>
          <w:szCs w:val="22"/>
        </w:rPr>
        <w:t xml:space="preserve">Sales growth assumption is based on our change of slope </w:t>
      </w:r>
      <w:r>
        <w:rPr>
          <w:rFonts w:ascii="Garamond" w:hAnsi="Garamond"/>
          <w:sz w:val="22"/>
          <w:szCs w:val="22"/>
        </w:rPr>
        <w:t xml:space="preserve">linear regression </w:t>
      </w:r>
      <w:r w:rsidR="002B6F20">
        <w:rPr>
          <w:rFonts w:ascii="Garamond" w:hAnsi="Garamond"/>
          <w:sz w:val="22"/>
          <w:szCs w:val="22"/>
        </w:rPr>
        <w:t>forecast</w:t>
      </w:r>
      <w:r>
        <w:rPr>
          <w:rFonts w:ascii="Garamond" w:hAnsi="Garamond"/>
          <w:sz w:val="22"/>
          <w:szCs w:val="22"/>
        </w:rPr>
        <w:t xml:space="preserve"> first 10 years of forecast and we took the change %.</w:t>
      </w:r>
      <w:r w:rsidR="00BF4B05">
        <w:rPr>
          <w:rFonts w:ascii="Garamond" w:hAnsi="Garamond"/>
          <w:sz w:val="22"/>
          <w:szCs w:val="22"/>
        </w:rPr>
        <w:t xml:space="preserve"> In table 4 we can also observe</w:t>
      </w:r>
      <w:r w:rsidR="00BD31D8">
        <w:rPr>
          <w:rFonts w:ascii="Garamond" w:hAnsi="Garamond"/>
          <w:sz w:val="22"/>
          <w:szCs w:val="22"/>
        </w:rPr>
        <w:t xml:space="preserve"> the percentage for the forecasted year and the error rate produced</w:t>
      </w:r>
      <w:r w:rsidR="00D72396">
        <w:rPr>
          <w:rFonts w:ascii="Garamond" w:hAnsi="Garamond"/>
          <w:sz w:val="22"/>
          <w:szCs w:val="22"/>
        </w:rPr>
        <w:t xml:space="preserve">, in average we have </w:t>
      </w:r>
      <w:proofErr w:type="gramStart"/>
      <w:r w:rsidR="00D72396">
        <w:rPr>
          <w:rFonts w:ascii="Garamond" w:hAnsi="Garamond"/>
          <w:sz w:val="22"/>
          <w:szCs w:val="22"/>
        </w:rPr>
        <w:t>an</w:t>
      </w:r>
      <w:proofErr w:type="gramEnd"/>
      <w:r w:rsidR="00D72396">
        <w:rPr>
          <w:rFonts w:ascii="Garamond" w:hAnsi="Garamond"/>
          <w:sz w:val="22"/>
          <w:szCs w:val="22"/>
        </w:rPr>
        <w:t xml:space="preserve"> forecast error of 7.95%</w:t>
      </w:r>
    </w:p>
    <w:p w14:paraId="21A4625F" w14:textId="69817654" w:rsidR="00F6332A" w:rsidRDefault="00F6332A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26A55181" w14:textId="34EDEFFE" w:rsidR="00F16C21" w:rsidRDefault="00F16C2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271CB459" w14:textId="133F8257" w:rsidR="00201881" w:rsidRDefault="0020188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06780C71" w14:textId="4681ED71" w:rsidR="00201881" w:rsidRDefault="0020188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017EF035" w14:textId="7DD1C0CC" w:rsidR="00201881" w:rsidRDefault="0020188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72DE3E01" w14:textId="35E5DA83" w:rsidR="00201881" w:rsidRDefault="0020188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4DFC9ED1" w14:textId="77777777" w:rsidR="00BF1257" w:rsidRDefault="00BF1257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6808D179" w14:textId="3559033F" w:rsidR="00201881" w:rsidRDefault="0020188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32DE5E21" w14:textId="17CDF474" w:rsidR="00201881" w:rsidRDefault="0020188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5327BF29" w14:textId="36DD6A80" w:rsidR="00201881" w:rsidRDefault="0020188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674B8BD6" w14:textId="77777777" w:rsidR="00201881" w:rsidRDefault="0020188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7CC6D485" w14:textId="2B11E76A" w:rsidR="00336E6F" w:rsidRDefault="00A1753F" w:rsidP="00C2439D">
      <w:pPr>
        <w:spacing w:line="48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3.2 NPV, IRR, MIRR</w:t>
      </w:r>
    </w:p>
    <w:p w14:paraId="68E7A493" w14:textId="7EF67109" w:rsidR="00332C8C" w:rsidRPr="002A133E" w:rsidRDefault="00332C8C" w:rsidP="0093329C">
      <w:pPr>
        <w:pBdr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Table – 5 final results </w:t>
      </w:r>
      <w:r w:rsidR="004C38AA">
        <w:rPr>
          <w:rFonts w:ascii="Garamond" w:hAnsi="Garamond"/>
          <w:sz w:val="22"/>
          <w:szCs w:val="22"/>
        </w:rPr>
        <w:t>per</w:t>
      </w:r>
      <w:r>
        <w:rPr>
          <w:rFonts w:ascii="Garamond" w:hAnsi="Garamond"/>
          <w:sz w:val="22"/>
          <w:szCs w:val="22"/>
        </w:rPr>
        <w:t xml:space="preserve"> model</w:t>
      </w:r>
    </w:p>
    <w:tbl>
      <w:tblPr>
        <w:tblW w:w="9667" w:type="dxa"/>
        <w:jc w:val="center"/>
        <w:tblLook w:val="04A0" w:firstRow="1" w:lastRow="0" w:firstColumn="1" w:lastColumn="0" w:noHBand="0" w:noVBand="1"/>
      </w:tblPr>
      <w:tblGrid>
        <w:gridCol w:w="582"/>
        <w:gridCol w:w="606"/>
        <w:gridCol w:w="976"/>
        <w:gridCol w:w="976"/>
        <w:gridCol w:w="976"/>
        <w:gridCol w:w="866"/>
        <w:gridCol w:w="866"/>
        <w:gridCol w:w="866"/>
        <w:gridCol w:w="866"/>
        <w:gridCol w:w="866"/>
        <w:gridCol w:w="791"/>
        <w:gridCol w:w="773"/>
      </w:tblGrid>
      <w:tr w:rsidR="00634F33" w:rsidRPr="00B60640" w14:paraId="32AD61EC" w14:textId="77777777" w:rsidTr="00B60640">
        <w:trPr>
          <w:cantSplit/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F488D" w14:textId="2EC37C2F" w:rsidR="00BF0797" w:rsidRPr="00B60640" w:rsidRDefault="00BF0797" w:rsidP="00B17554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F357F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40EBF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68569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8E6B0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6A3BC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44D2B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15DB5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4E8F5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9D0C0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A361B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A9A47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10</w:t>
            </w:r>
          </w:p>
        </w:tc>
      </w:tr>
      <w:tr w:rsidR="00B60640" w:rsidRPr="00B60640" w14:paraId="722EFE48" w14:textId="77777777" w:rsidTr="00B60640">
        <w:trPr>
          <w:cantSplit/>
          <w:trHeight w:val="144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0926331" w14:textId="77777777" w:rsidR="00BF0797" w:rsidRPr="00B60640" w:rsidRDefault="00BF0797" w:rsidP="00175F62">
            <w:pPr>
              <w:spacing w:line="480" w:lineRule="auto"/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1B14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NPV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A4A9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($1,434,458)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AB6F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($1,221,920)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721A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($1,020,088)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32CE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($828,571)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C528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($646,976)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4B7A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($474,909)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46CA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($311,977)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6117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($157,792)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818E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($11,971)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207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 xml:space="preserve">$125,861 </w:t>
            </w:r>
          </w:p>
        </w:tc>
      </w:tr>
      <w:tr w:rsidR="00B60640" w:rsidRPr="00B60640" w14:paraId="24889ED3" w14:textId="77777777" w:rsidTr="00B60640">
        <w:trPr>
          <w:cantSplit/>
          <w:trHeight w:val="144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E04E6" w14:textId="77777777" w:rsidR="00BF0797" w:rsidRPr="00B60640" w:rsidRDefault="00BF0797" w:rsidP="00175F62">
            <w:pPr>
              <w:spacing w:line="480" w:lineRule="auto"/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9F08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C794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5228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-53%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96C1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5C3A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-17%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0F68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1007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B124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6853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2578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6D65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10%</w:t>
            </w:r>
          </w:p>
        </w:tc>
      </w:tr>
      <w:tr w:rsidR="00B60640" w:rsidRPr="00B60640" w14:paraId="1328B925" w14:textId="77777777" w:rsidTr="00B60640">
        <w:trPr>
          <w:cantSplit/>
          <w:trHeight w:val="144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1C40B" w14:textId="77777777" w:rsidR="00BF0797" w:rsidRPr="00B60640" w:rsidRDefault="00BF0797" w:rsidP="00175F62">
            <w:pPr>
              <w:spacing w:line="480" w:lineRule="auto"/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A718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MIRR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4065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6C7C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-44%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AC63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-21%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158C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95EB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2E16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FA67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1749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2B80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C17D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9%</w:t>
            </w:r>
          </w:p>
        </w:tc>
      </w:tr>
      <w:tr w:rsidR="00B60640" w:rsidRPr="00B60640" w14:paraId="1B26C0DE" w14:textId="77777777" w:rsidTr="00B60640">
        <w:trPr>
          <w:cantSplit/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8707" w14:textId="77777777" w:rsidR="00BF0797" w:rsidRPr="00B60640" w:rsidRDefault="00BF0797" w:rsidP="00175F62">
            <w:pPr>
              <w:spacing w:line="480" w:lineRule="auto"/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CF11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8982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FAE5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05A5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7EDA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7152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4802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39D0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A62B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B602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4444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B60640" w:rsidRPr="00B60640" w14:paraId="0F6CA4DE" w14:textId="77777777" w:rsidTr="00B60640">
        <w:trPr>
          <w:cantSplit/>
          <w:trHeight w:val="144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8C1C829" w14:textId="77777777" w:rsidR="00BF0797" w:rsidRPr="00B60640" w:rsidRDefault="00BF0797" w:rsidP="00175F62">
            <w:pPr>
              <w:spacing w:line="480" w:lineRule="auto"/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Capacity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99E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NPV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429A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($1,198,474)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DFB1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($994,072)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69AA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($799,752)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427F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($615,170)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4A1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($604,137)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8CF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($432,070)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EC3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($269,137)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EA33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($114,952)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4433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 xml:space="preserve">$30,869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2FAB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 xml:space="preserve">$223,742 </w:t>
            </w:r>
          </w:p>
        </w:tc>
      </w:tr>
      <w:tr w:rsidR="00B60640" w:rsidRPr="00B60640" w14:paraId="3A7D24E9" w14:textId="77777777" w:rsidTr="00B60640">
        <w:trPr>
          <w:cantSplit/>
          <w:trHeight w:val="144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D81EF" w14:textId="77777777" w:rsidR="00BF0797" w:rsidRPr="00B60640" w:rsidRDefault="00BF0797" w:rsidP="00175F62">
            <w:pPr>
              <w:spacing w:line="480" w:lineRule="auto"/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8AE2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F0DF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5CB9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0A8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0D40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F29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-12%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85DB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29F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219F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C28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9E5D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11%</w:t>
            </w:r>
          </w:p>
        </w:tc>
      </w:tr>
      <w:tr w:rsidR="00B60640" w:rsidRPr="00B60640" w14:paraId="730357E4" w14:textId="77777777" w:rsidTr="00B60640">
        <w:trPr>
          <w:cantSplit/>
          <w:trHeight w:val="144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DD14A" w14:textId="77777777" w:rsidR="00BF0797" w:rsidRPr="00B60640" w:rsidRDefault="00BF0797" w:rsidP="00175F62">
            <w:pPr>
              <w:spacing w:line="480" w:lineRule="auto"/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EB22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MIRR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5CE1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024C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-41%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004A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F931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8C44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E0C6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DE20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556F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34B4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ABC4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10%</w:t>
            </w:r>
          </w:p>
        </w:tc>
      </w:tr>
      <w:tr w:rsidR="00B60640" w:rsidRPr="00B60640" w14:paraId="395F7F09" w14:textId="77777777" w:rsidTr="00B60640">
        <w:trPr>
          <w:cantSplit/>
          <w:trHeight w:val="14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AFED" w14:textId="77777777" w:rsidR="00BF0797" w:rsidRPr="00B60640" w:rsidRDefault="00BF0797" w:rsidP="00175F62">
            <w:pPr>
              <w:spacing w:line="480" w:lineRule="auto"/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F8BB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EB69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EDF0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0560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1103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7177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9FBF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4118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2657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8B4F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15EB" w14:textId="77777777" w:rsidR="00BF0797" w:rsidRPr="00B60640" w:rsidRDefault="00BF0797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B60640" w:rsidRPr="00B60640" w14:paraId="7019B079" w14:textId="77777777" w:rsidTr="00B60640">
        <w:trPr>
          <w:cantSplit/>
          <w:trHeight w:val="144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F994BA0" w14:textId="77777777" w:rsidR="00BF0797" w:rsidRPr="00B60640" w:rsidRDefault="00BF0797" w:rsidP="00175F62">
            <w:pPr>
              <w:spacing w:line="480" w:lineRule="auto"/>
              <w:jc w:val="center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Demand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EAF4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NPV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6476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($1,195,940)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EA31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($991,971)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4625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($798,062)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EC75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($613,870)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175F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($602,860)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93AB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($431,156)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E023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($268,568)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7076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FF0000"/>
                <w:sz w:val="16"/>
                <w:szCs w:val="16"/>
              </w:rPr>
              <w:t>($114,709)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3F3A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 xml:space="preserve">$30,803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5E2D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 xml:space="preserve">$223,269 </w:t>
            </w:r>
          </w:p>
        </w:tc>
      </w:tr>
      <w:tr w:rsidR="00B60640" w:rsidRPr="00B60640" w14:paraId="29D7ED28" w14:textId="77777777" w:rsidTr="00B60640">
        <w:trPr>
          <w:cantSplit/>
          <w:trHeight w:val="144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400C7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9EA5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FD4D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5941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C3C4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-27%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160A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3D5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-12%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5BC4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3409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2233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CBB5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95AC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11%</w:t>
            </w:r>
          </w:p>
        </w:tc>
      </w:tr>
      <w:tr w:rsidR="00B60640" w:rsidRPr="00B60640" w14:paraId="25987383" w14:textId="77777777" w:rsidTr="00B60640">
        <w:trPr>
          <w:cantSplit/>
          <w:trHeight w:val="144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1F32B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9814" w14:textId="77777777" w:rsidR="00BF0797" w:rsidRPr="00B60640" w:rsidRDefault="00BF0797">
            <w:pPr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MIRR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20D6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AF5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-41%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C71C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73B5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CE61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-3%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118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1819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63E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7EB0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F882" w14:textId="77777777" w:rsidR="00BF0797" w:rsidRPr="00B60640" w:rsidRDefault="00BF0797">
            <w:pPr>
              <w:jc w:val="right"/>
              <w:rPr>
                <w:rFonts w:ascii="Garamond" w:hAnsi="Garamond" w:cs="Calibri"/>
                <w:color w:val="000000"/>
                <w:sz w:val="16"/>
                <w:szCs w:val="16"/>
              </w:rPr>
            </w:pPr>
            <w:r w:rsidRPr="00B60640">
              <w:rPr>
                <w:rFonts w:ascii="Garamond" w:hAnsi="Garamond" w:cs="Calibri"/>
                <w:color w:val="000000"/>
                <w:sz w:val="16"/>
                <w:szCs w:val="16"/>
              </w:rPr>
              <w:t>10%</w:t>
            </w:r>
          </w:p>
        </w:tc>
      </w:tr>
    </w:tbl>
    <w:p w14:paraId="56105A79" w14:textId="64942BB9" w:rsidR="006A0A72" w:rsidRPr="002A133E" w:rsidRDefault="006A0A72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4DA47A7D" w14:textId="7F911723" w:rsidR="00453224" w:rsidRDefault="00453224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03800EB1" w14:textId="7C38F0C6" w:rsidR="002D0C10" w:rsidRDefault="00453224" w:rsidP="00C2439D">
      <w:pPr>
        <w:spacing w:line="48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>The table 5 has a summary of results for the 3 models used</w:t>
      </w:r>
      <w:r w:rsidR="00183560">
        <w:rPr>
          <w:rFonts w:ascii="Garamond" w:hAnsi="Garamond"/>
          <w:sz w:val="22"/>
          <w:szCs w:val="22"/>
        </w:rPr>
        <w:t>, the capacity model is the one that can generate the highest NPV at the end of the periods</w:t>
      </w:r>
      <w:r w:rsidR="00BE6FC6">
        <w:rPr>
          <w:rFonts w:ascii="Garamond" w:hAnsi="Garamond"/>
          <w:sz w:val="22"/>
          <w:szCs w:val="22"/>
        </w:rPr>
        <w:t xml:space="preserve"> and the capital model generates the lowest NPV at the of the periods. if we watch closely the IRR follows closely the </w:t>
      </w:r>
      <w:r w:rsidR="0063209F">
        <w:rPr>
          <w:rFonts w:ascii="Garamond" w:hAnsi="Garamond"/>
          <w:sz w:val="22"/>
          <w:szCs w:val="22"/>
        </w:rPr>
        <w:t>M</w:t>
      </w:r>
      <w:r w:rsidR="00BE6FC6">
        <w:rPr>
          <w:rFonts w:ascii="Garamond" w:hAnsi="Garamond"/>
          <w:sz w:val="22"/>
          <w:szCs w:val="22"/>
        </w:rPr>
        <w:t xml:space="preserve">IRR but </w:t>
      </w:r>
      <w:r w:rsidR="00CF47C5">
        <w:rPr>
          <w:rFonts w:ascii="Garamond" w:hAnsi="Garamond"/>
          <w:sz w:val="22"/>
          <w:szCs w:val="22"/>
        </w:rPr>
        <w:t xml:space="preserve">once we hit a break-even the IRR </w:t>
      </w:r>
      <w:r w:rsidR="00D74FFF">
        <w:rPr>
          <w:rFonts w:ascii="Garamond" w:hAnsi="Garamond"/>
          <w:sz w:val="22"/>
          <w:szCs w:val="22"/>
        </w:rPr>
        <w:t>surpasses</w:t>
      </w:r>
      <w:r w:rsidR="00CF47C5">
        <w:rPr>
          <w:rFonts w:ascii="Garamond" w:hAnsi="Garamond"/>
          <w:sz w:val="22"/>
          <w:szCs w:val="22"/>
        </w:rPr>
        <w:t xml:space="preserve"> the MIRR</w:t>
      </w:r>
      <w:r w:rsidR="000829F3">
        <w:rPr>
          <w:rFonts w:ascii="Garamond" w:hAnsi="Garamond"/>
          <w:sz w:val="22"/>
          <w:szCs w:val="22"/>
        </w:rPr>
        <w:t xml:space="preserve">. The fact that some models have a higher return that the others does not mean that they are correct or better, in fact we fall into </w:t>
      </w:r>
      <w:r w:rsidR="001F2582">
        <w:rPr>
          <w:rFonts w:ascii="Garamond" w:hAnsi="Garamond"/>
          <w:sz w:val="22"/>
          <w:szCs w:val="22"/>
        </w:rPr>
        <w:t xml:space="preserve">no free lunch theorem </w:t>
      </w:r>
      <w:r w:rsidR="000829F3">
        <w:rPr>
          <w:rFonts w:ascii="Garamond" w:hAnsi="Garamond"/>
          <w:sz w:val="22"/>
          <w:szCs w:val="22"/>
        </w:rPr>
        <w:t>problem</w:t>
      </w:r>
      <w:r w:rsidR="00C8276F">
        <w:rPr>
          <w:rFonts w:ascii="Garamond" w:hAnsi="Garamond"/>
          <w:sz w:val="22"/>
          <w:szCs w:val="22"/>
        </w:rPr>
        <w:t>,</w:t>
      </w:r>
      <w:r w:rsidR="000829F3">
        <w:rPr>
          <w:rFonts w:ascii="Garamond" w:hAnsi="Garamond"/>
          <w:sz w:val="22"/>
          <w:szCs w:val="22"/>
        </w:rPr>
        <w:t xml:space="preserve"> </w:t>
      </w:r>
      <w:r w:rsidR="001F2582">
        <w:rPr>
          <w:rFonts w:ascii="Garamond" w:hAnsi="Garamond"/>
          <w:sz w:val="22"/>
          <w:szCs w:val="22"/>
        </w:rPr>
        <w:t xml:space="preserve">but we can </w:t>
      </w:r>
      <w:r w:rsidR="00B26E78">
        <w:rPr>
          <w:rFonts w:ascii="Garamond" w:hAnsi="Garamond"/>
          <w:sz w:val="22"/>
          <w:szCs w:val="22"/>
        </w:rPr>
        <w:t xml:space="preserve">definitely </w:t>
      </w:r>
      <w:r w:rsidR="001F2582">
        <w:rPr>
          <w:rFonts w:ascii="Garamond" w:hAnsi="Garamond"/>
          <w:sz w:val="22"/>
          <w:szCs w:val="22"/>
        </w:rPr>
        <w:t>use it to estimate the constraint of our decision.</w:t>
      </w:r>
    </w:p>
    <w:p w14:paraId="76F4944E" w14:textId="77777777" w:rsidR="006C56EC" w:rsidRPr="002A133E" w:rsidRDefault="006C56EC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2A06CA06" w14:textId="7D05F6CB" w:rsidR="006A0A72" w:rsidRPr="002A133E" w:rsidRDefault="006A0A72" w:rsidP="00C2439D">
      <w:pPr>
        <w:spacing w:line="480" w:lineRule="auto"/>
        <w:rPr>
          <w:rFonts w:ascii="Garamond" w:hAnsi="Garamond"/>
          <w:sz w:val="22"/>
          <w:szCs w:val="22"/>
        </w:rPr>
      </w:pPr>
      <w:r w:rsidRPr="002A133E">
        <w:rPr>
          <w:rFonts w:ascii="Garamond" w:hAnsi="Garamond"/>
          <w:noProof/>
          <w:sz w:val="22"/>
          <w:szCs w:val="22"/>
        </w:rPr>
        <w:drawing>
          <wp:inline distT="0" distB="0" distL="0" distR="0" wp14:anchorId="0B87A97D" wp14:editId="6585A2E5">
            <wp:extent cx="5995035" cy="2345635"/>
            <wp:effectExtent l="0" t="0" r="12065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27C50F-1F88-7B48-9FE7-56C1EB863F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37D6E84" w14:textId="77777777" w:rsidR="00155AA7" w:rsidRDefault="00187B42" w:rsidP="00DA5BD6">
      <w:pPr>
        <w:spacing w:line="480" w:lineRule="auto"/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Figure 1 shows the relationship</w:t>
      </w:r>
      <w:r w:rsidR="00EF7EF5"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 xml:space="preserve"> of </w:t>
      </w:r>
      <w:r w:rsidR="00A81BA2">
        <w:rPr>
          <w:rFonts w:ascii="Garamond" w:hAnsi="Garamond"/>
          <w:sz w:val="22"/>
          <w:szCs w:val="22"/>
        </w:rPr>
        <w:t xml:space="preserve">the </w:t>
      </w:r>
      <w:r>
        <w:rPr>
          <w:rFonts w:ascii="Garamond" w:hAnsi="Garamond"/>
          <w:sz w:val="22"/>
          <w:szCs w:val="22"/>
        </w:rPr>
        <w:t>capital budgeting model</w:t>
      </w:r>
      <w:r w:rsidR="00A81BA2">
        <w:rPr>
          <w:rFonts w:ascii="Garamond" w:hAnsi="Garamond"/>
          <w:sz w:val="22"/>
          <w:szCs w:val="22"/>
        </w:rPr>
        <w:t xml:space="preserve"> results</w:t>
      </w:r>
      <w:r w:rsidR="00155AA7">
        <w:rPr>
          <w:rFonts w:ascii="Garamond" w:hAnsi="Garamond"/>
          <w:sz w:val="22"/>
          <w:szCs w:val="22"/>
        </w:rPr>
        <w:t>. capital budgeting plans out for a big capital expenditure. Sometimes planning for this can be tough specially if it’s hard to calculate how the asset helps to generate cashflow.</w:t>
      </w:r>
    </w:p>
    <w:p w14:paraId="0E6C62F2" w14:textId="0F9FF6C0" w:rsidR="00BD2E51" w:rsidRDefault="00B21C48" w:rsidP="00DF17DC">
      <w:pPr>
        <w:spacing w:line="480" w:lineRule="auto"/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These big expenses</w:t>
      </w:r>
      <w:r w:rsidR="00155AA7">
        <w:rPr>
          <w:rFonts w:ascii="Garamond" w:hAnsi="Garamond"/>
          <w:sz w:val="22"/>
          <w:szCs w:val="22"/>
        </w:rPr>
        <w:t xml:space="preserve"> can be balanced </w:t>
      </w:r>
      <w:r w:rsidR="00A5123D">
        <w:rPr>
          <w:rFonts w:ascii="Garamond" w:hAnsi="Garamond"/>
          <w:sz w:val="22"/>
          <w:szCs w:val="22"/>
        </w:rPr>
        <w:t xml:space="preserve">to not spend a big </w:t>
      </w:r>
      <w:r w:rsidR="005834CD">
        <w:rPr>
          <w:rFonts w:ascii="Garamond" w:hAnsi="Garamond"/>
          <w:sz w:val="22"/>
          <w:szCs w:val="22"/>
        </w:rPr>
        <w:t>chunk</w:t>
      </w:r>
      <w:r w:rsidR="00A5123D">
        <w:rPr>
          <w:rFonts w:ascii="Garamond" w:hAnsi="Garamond"/>
          <w:sz w:val="22"/>
          <w:szCs w:val="22"/>
        </w:rPr>
        <w:t xml:space="preserve"> of our cash in the first period</w:t>
      </w:r>
      <w:r>
        <w:rPr>
          <w:rFonts w:ascii="Garamond" w:hAnsi="Garamond"/>
          <w:sz w:val="22"/>
          <w:szCs w:val="22"/>
        </w:rPr>
        <w:t>. For this we use the capacity budgeting</w:t>
      </w:r>
      <w:r w:rsidR="008100FB">
        <w:rPr>
          <w:rFonts w:ascii="Garamond" w:hAnsi="Garamond"/>
          <w:sz w:val="22"/>
          <w:szCs w:val="22"/>
        </w:rPr>
        <w:t xml:space="preserve"> show in Figure 2</w:t>
      </w:r>
      <w:r>
        <w:rPr>
          <w:rFonts w:ascii="Garamond" w:hAnsi="Garamond"/>
          <w:sz w:val="22"/>
          <w:szCs w:val="22"/>
        </w:rPr>
        <w:t xml:space="preserve">. We </w:t>
      </w:r>
      <w:r w:rsidR="00115921">
        <w:rPr>
          <w:rFonts w:ascii="Garamond" w:hAnsi="Garamond"/>
          <w:sz w:val="22"/>
          <w:szCs w:val="22"/>
        </w:rPr>
        <w:t>a</w:t>
      </w:r>
      <w:r>
        <w:rPr>
          <w:rFonts w:ascii="Garamond" w:hAnsi="Garamond"/>
          <w:sz w:val="22"/>
          <w:szCs w:val="22"/>
        </w:rPr>
        <w:t>dapt the</w:t>
      </w:r>
      <w:r w:rsidR="00290AC5">
        <w:rPr>
          <w:rFonts w:ascii="Garamond" w:hAnsi="Garamond"/>
          <w:sz w:val="22"/>
          <w:szCs w:val="22"/>
        </w:rPr>
        <w:t xml:space="preserve"> cash loadouts according to some goals or easier expenses we can make. In our capacity model we see that if we spend less at the beginning and at the fourth </w:t>
      </w:r>
      <w:r w:rsidR="00845B67">
        <w:rPr>
          <w:rFonts w:ascii="Garamond" w:hAnsi="Garamond"/>
          <w:sz w:val="22"/>
          <w:szCs w:val="22"/>
        </w:rPr>
        <w:t>period,</w:t>
      </w:r>
      <w:r w:rsidR="00290AC5">
        <w:rPr>
          <w:rFonts w:ascii="Garamond" w:hAnsi="Garamond"/>
          <w:sz w:val="22"/>
          <w:szCs w:val="22"/>
        </w:rPr>
        <w:t xml:space="preserve"> we invest again we can generate bigger and </w:t>
      </w:r>
      <w:r w:rsidR="008B6049">
        <w:rPr>
          <w:rFonts w:ascii="Garamond" w:hAnsi="Garamond"/>
          <w:sz w:val="22"/>
          <w:szCs w:val="22"/>
        </w:rPr>
        <w:t>healthier</w:t>
      </w:r>
      <w:r w:rsidR="00290AC5">
        <w:rPr>
          <w:rFonts w:ascii="Garamond" w:hAnsi="Garamond"/>
          <w:sz w:val="22"/>
          <w:szCs w:val="22"/>
        </w:rPr>
        <w:t xml:space="preserve"> cashflows and a bigger NPV</w:t>
      </w:r>
      <w:r w:rsidR="008C7169">
        <w:rPr>
          <w:rFonts w:ascii="Garamond" w:hAnsi="Garamond"/>
          <w:sz w:val="22"/>
          <w:szCs w:val="22"/>
        </w:rPr>
        <w:t xml:space="preserve"> at the end of the venture</w:t>
      </w:r>
      <w:r w:rsidR="00451AA5">
        <w:rPr>
          <w:rFonts w:ascii="Garamond" w:hAnsi="Garamond"/>
          <w:sz w:val="22"/>
          <w:szCs w:val="22"/>
        </w:rPr>
        <w:t>.</w:t>
      </w:r>
    </w:p>
    <w:p w14:paraId="3852A05C" w14:textId="77777777" w:rsidR="00BD2E51" w:rsidRPr="002A133E" w:rsidRDefault="00BD2E51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2E37D187" w14:textId="4050DF06" w:rsidR="000F7710" w:rsidRDefault="006A0A72" w:rsidP="00C2439D">
      <w:pPr>
        <w:spacing w:line="480" w:lineRule="auto"/>
        <w:rPr>
          <w:rFonts w:ascii="Garamond" w:hAnsi="Garamond"/>
          <w:sz w:val="22"/>
          <w:szCs w:val="22"/>
        </w:rPr>
      </w:pPr>
      <w:r w:rsidRPr="002A133E">
        <w:rPr>
          <w:rFonts w:ascii="Garamond" w:hAnsi="Garamond"/>
          <w:noProof/>
          <w:sz w:val="22"/>
          <w:szCs w:val="22"/>
        </w:rPr>
        <w:drawing>
          <wp:inline distT="0" distB="0" distL="0" distR="0" wp14:anchorId="38EACC13" wp14:editId="31A305A8">
            <wp:extent cx="5995035" cy="2337435"/>
            <wp:effectExtent l="0" t="0" r="12065" b="1206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DF57BB6-2200-7240-8E48-532E3637D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88AE43" w14:textId="77777777" w:rsidR="00B821EF" w:rsidRPr="002A133E" w:rsidRDefault="00B821EF" w:rsidP="00C2439D">
      <w:pPr>
        <w:spacing w:line="480" w:lineRule="auto"/>
        <w:rPr>
          <w:rFonts w:ascii="Garamond" w:hAnsi="Garamond"/>
          <w:sz w:val="22"/>
          <w:szCs w:val="22"/>
        </w:rPr>
      </w:pPr>
    </w:p>
    <w:p w14:paraId="27CFE5D1" w14:textId="171B391A" w:rsidR="00BD2E51" w:rsidRPr="002A133E" w:rsidRDefault="00B16B6B" w:rsidP="00B8046A">
      <w:pPr>
        <w:spacing w:line="480" w:lineRule="auto"/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The quantity demand assumption is fixed so we can take into consideration the supply and demand function on price and quantity</w:t>
      </w:r>
      <w:r w:rsidR="00885A3B">
        <w:rPr>
          <w:rFonts w:ascii="Garamond" w:hAnsi="Garamond"/>
          <w:sz w:val="22"/>
          <w:szCs w:val="22"/>
        </w:rPr>
        <w:t>. In our third model shown in Figure 3, we replaced the quantity sold by a forecast made with a linear regression based on price and demand.</w:t>
      </w:r>
      <w:r w:rsidR="00F66855">
        <w:rPr>
          <w:rFonts w:ascii="Garamond" w:hAnsi="Garamond"/>
          <w:sz w:val="22"/>
          <w:szCs w:val="22"/>
        </w:rPr>
        <w:t xml:space="preserve"> Then results of the analysis we quite astonishing, like an R</w:t>
      </w:r>
      <w:r w:rsidR="00F66855">
        <w:rPr>
          <w:rFonts w:ascii="Garamond" w:hAnsi="Garamond"/>
          <w:sz w:val="22"/>
          <w:szCs w:val="22"/>
          <w:vertAlign w:val="superscript"/>
        </w:rPr>
        <w:t xml:space="preserve">2 </w:t>
      </w:r>
      <w:r w:rsidR="00F66855">
        <w:rPr>
          <w:rFonts w:ascii="Garamond" w:hAnsi="Garamond"/>
          <w:sz w:val="22"/>
          <w:szCs w:val="22"/>
        </w:rPr>
        <w:t xml:space="preserve">of 98%, but since </w:t>
      </w:r>
      <w:r w:rsidR="00B8046A">
        <w:rPr>
          <w:rFonts w:ascii="Garamond" w:hAnsi="Garamond"/>
          <w:sz w:val="22"/>
          <w:szCs w:val="22"/>
        </w:rPr>
        <w:t>these assumptions</w:t>
      </w:r>
      <w:r w:rsidR="00F66855">
        <w:rPr>
          <w:rFonts w:ascii="Garamond" w:hAnsi="Garamond"/>
          <w:sz w:val="22"/>
          <w:szCs w:val="22"/>
        </w:rPr>
        <w:t xml:space="preserve"> are randomly generated or the sample is not to big this is common.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68"/>
        <w:gridCol w:w="902"/>
        <w:gridCol w:w="1433"/>
        <w:gridCol w:w="1488"/>
        <w:gridCol w:w="736"/>
        <w:gridCol w:w="1351"/>
        <w:gridCol w:w="1296"/>
        <w:gridCol w:w="986"/>
      </w:tblGrid>
      <w:tr w:rsidR="00112F5B" w:rsidRPr="00112F5B" w14:paraId="0003B416" w14:textId="77777777" w:rsidTr="00BA7E7B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008EF" w14:textId="7CDC5F08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Table </w:t>
            </w:r>
            <w:r w:rsidR="00F10804">
              <w:rPr>
                <w:rFonts w:ascii="Garamond" w:hAnsi="Garamond" w:cs="Calibri"/>
                <w:color w:val="000000"/>
                <w:sz w:val="22"/>
                <w:szCs w:val="22"/>
              </w:rPr>
              <w:t>6</w:t>
            </w: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- Demand estimation</w:t>
            </w:r>
          </w:p>
        </w:tc>
      </w:tr>
      <w:tr w:rsidR="00112F5B" w:rsidRPr="00112F5B" w14:paraId="73D93256" w14:textId="77777777" w:rsidTr="00BA7E7B">
        <w:trPr>
          <w:trHeight w:val="640"/>
        </w:trPr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205BD4" w14:textId="77777777" w:rsidR="00112F5B" w:rsidRPr="00112F5B" w:rsidRDefault="00112F5B" w:rsidP="008D6E4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6F9175" w14:textId="77777777" w:rsidR="00112F5B" w:rsidRPr="00112F5B" w:rsidRDefault="00112F5B" w:rsidP="008D6E4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Price Squared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2C1B12" w14:textId="77777777" w:rsidR="00112F5B" w:rsidRPr="00112F5B" w:rsidRDefault="00112F5B" w:rsidP="008D6E4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Demand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17505D" w14:textId="77777777" w:rsidR="00112F5B" w:rsidRPr="00112F5B" w:rsidRDefault="00112F5B" w:rsidP="008D6E4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Forecast Demand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72DCEB" w14:textId="3BC87045" w:rsidR="00112F5B" w:rsidRPr="00112F5B" w:rsidRDefault="00112F5B" w:rsidP="008D6E4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921B1B" w14:textId="77777777" w:rsidR="00112F5B" w:rsidRPr="00112F5B" w:rsidRDefault="00112F5B" w:rsidP="008D6E4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X^2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26BED6" w14:textId="77777777" w:rsidR="00112F5B" w:rsidRPr="00112F5B" w:rsidRDefault="00112F5B" w:rsidP="008D6E4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740463" w14:textId="77777777" w:rsidR="00112F5B" w:rsidRPr="00112F5B" w:rsidRDefault="00112F5B" w:rsidP="008D6E49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Int</w:t>
            </w:r>
          </w:p>
        </w:tc>
      </w:tr>
      <w:tr w:rsidR="00112F5B" w:rsidRPr="00112F5B" w14:paraId="79D3675D" w14:textId="77777777" w:rsidTr="00112F5B">
        <w:trPr>
          <w:trHeight w:val="300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D0E7E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  3.90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DE59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15.21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EFCC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388,916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3B6D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 394,104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A808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EFCE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-7036.73602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94D0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35999.6882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EDBD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360733.6</w:t>
            </w:r>
          </w:p>
        </w:tc>
      </w:tr>
      <w:tr w:rsidR="00112F5B" w:rsidRPr="00112F5B" w14:paraId="1E3FA4E9" w14:textId="77777777" w:rsidTr="00112F5B">
        <w:trPr>
          <w:trHeight w:val="300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6B8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  4.30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951B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18.49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F27D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383,637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A2C5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 385,423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0E9F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C64D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2817.229353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37F6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33273.32888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B6D9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93452.97</w:t>
            </w:r>
          </w:p>
        </w:tc>
      </w:tr>
      <w:tr w:rsidR="00112F5B" w:rsidRPr="00112F5B" w14:paraId="05983FF6" w14:textId="77777777" w:rsidTr="00112F5B">
        <w:trPr>
          <w:trHeight w:val="300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63EB6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  4.90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8B35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24.01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47D8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382,565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1045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 368,180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08FF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07FD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0.986476875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3739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10901.0939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5608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#N/A</w:t>
            </w:r>
          </w:p>
        </w:tc>
      </w:tr>
      <w:tr w:rsidR="00112F5B" w:rsidRPr="00112F5B" w14:paraId="64F4A15E" w14:textId="77777777" w:rsidTr="00112F5B">
        <w:trPr>
          <w:trHeight w:val="300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5AF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  5.70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AF96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32.49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BCC22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335,424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087F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 337,308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C94C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6EA8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109.4211114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FB3A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8B87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#N/A</w:t>
            </w:r>
          </w:p>
        </w:tc>
      </w:tr>
      <w:tr w:rsidR="00112F5B" w:rsidRPr="00112F5B" w14:paraId="7E1A7F99" w14:textId="77777777" w:rsidTr="00112F5B">
        <w:trPr>
          <w:trHeight w:val="300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7F7F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  6.70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F7A3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44.89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1383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276,195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66A0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 286,052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E064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351E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26005863491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A31B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356501544.8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092B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#N/A</w:t>
            </w:r>
          </w:p>
        </w:tc>
      </w:tr>
      <w:tr w:rsidR="00112F5B" w:rsidRPr="00112F5B" w14:paraId="214FEFB7" w14:textId="77777777" w:rsidTr="00112F5B">
        <w:trPr>
          <w:trHeight w:val="300"/>
        </w:trPr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E0DA3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  7.90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0633" w14:textId="77777777" w:rsidR="00112F5B" w:rsidRPr="00112F5B" w:rsidRDefault="00112F5B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>62.41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A027" w14:textId="77777777" w:rsidR="00112F5B" w:rsidRPr="00112F5B" w:rsidRDefault="00112F5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210,299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D8E7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112F5B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 205,968 </w:t>
            </w:r>
          </w:p>
        </w:tc>
        <w:tc>
          <w:tcPr>
            <w:tcW w:w="5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DC81" w14:textId="77777777" w:rsidR="00112F5B" w:rsidRPr="00112F5B" w:rsidRDefault="00112F5B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F864" w14:textId="77777777" w:rsidR="00112F5B" w:rsidRPr="00112F5B" w:rsidRDefault="00112F5B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B84B" w14:textId="77777777" w:rsidR="00112F5B" w:rsidRPr="00112F5B" w:rsidRDefault="00112F5B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F648" w14:textId="77777777" w:rsidR="00112F5B" w:rsidRPr="00112F5B" w:rsidRDefault="00112F5B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3DDDD268" w14:textId="405813E7" w:rsidR="00ED4ACA" w:rsidRDefault="00A1753F" w:rsidP="00ED4ACA">
      <w:pPr>
        <w:spacing w:line="480" w:lineRule="auto"/>
        <w:rPr>
          <w:rFonts w:ascii="Garamond" w:hAnsi="Garamond"/>
          <w:sz w:val="22"/>
          <w:szCs w:val="22"/>
        </w:rPr>
      </w:pPr>
      <w:r w:rsidRPr="002A133E">
        <w:rPr>
          <w:rFonts w:ascii="Garamond" w:hAnsi="Garamond"/>
          <w:noProof/>
          <w:sz w:val="22"/>
          <w:szCs w:val="22"/>
        </w:rPr>
        <w:lastRenderedPageBreak/>
        <w:drawing>
          <wp:inline distT="0" distB="0" distL="0" distR="0" wp14:anchorId="170CAF7C" wp14:editId="2D9AE5B1">
            <wp:extent cx="5943600" cy="2818151"/>
            <wp:effectExtent l="0" t="0" r="1270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D4EE4F5-112F-7D4C-83E5-5BCE06B973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0048CE" w14:textId="3BF5D00B" w:rsidR="00A1753F" w:rsidRDefault="00A1753F" w:rsidP="00ED4ACA">
      <w:pPr>
        <w:spacing w:line="480" w:lineRule="auto"/>
        <w:rPr>
          <w:rFonts w:ascii="Garamond" w:hAnsi="Garamond"/>
          <w:sz w:val="22"/>
          <w:szCs w:val="22"/>
        </w:rPr>
      </w:pPr>
    </w:p>
    <w:p w14:paraId="2AF3063F" w14:textId="3AFA2905" w:rsidR="007E4734" w:rsidRPr="002A133E" w:rsidRDefault="00A1753F" w:rsidP="00ED4ACA">
      <w:pPr>
        <w:spacing w:line="48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3.3 Optimization</w:t>
      </w:r>
    </w:p>
    <w:tbl>
      <w:tblPr>
        <w:tblW w:w="7381" w:type="dxa"/>
        <w:jc w:val="center"/>
        <w:tblLook w:val="04A0" w:firstRow="1" w:lastRow="0" w:firstColumn="1" w:lastColumn="0" w:noHBand="0" w:noVBand="1"/>
      </w:tblPr>
      <w:tblGrid>
        <w:gridCol w:w="1136"/>
        <w:gridCol w:w="1512"/>
        <w:gridCol w:w="1414"/>
        <w:gridCol w:w="1557"/>
        <w:gridCol w:w="801"/>
        <w:gridCol w:w="1021"/>
      </w:tblGrid>
      <w:tr w:rsidR="00CF7BD9" w:rsidRPr="002A133E" w14:paraId="5C285C1B" w14:textId="77777777" w:rsidTr="00A87786">
        <w:trPr>
          <w:trHeight w:val="300"/>
          <w:jc w:val="center"/>
        </w:trPr>
        <w:tc>
          <w:tcPr>
            <w:tcW w:w="7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BF44F" w14:textId="0BB05DEF" w:rsidR="00CF7BD9" w:rsidRPr="002A133E" w:rsidRDefault="000A614B">
            <w:pPr>
              <w:jc w:val="center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Table </w:t>
            </w:r>
            <w:r w:rsidR="00367597">
              <w:rPr>
                <w:rFonts w:ascii="Garamond" w:hAnsi="Garamond" w:cs="Calibri"/>
                <w:color w:val="000000"/>
                <w:sz w:val="22"/>
                <w:szCs w:val="22"/>
              </w:rPr>
              <w:t>7</w:t>
            </w:r>
            <w:r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- </w:t>
            </w:r>
            <w:r w:rsidR="00CF7BD9"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Optimal</w:t>
            </w:r>
            <w:r w:rsidR="00342E05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break even in</w:t>
            </w:r>
            <w:r w:rsidR="00CF7BD9"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year 5</w:t>
            </w:r>
          </w:p>
        </w:tc>
      </w:tr>
      <w:tr w:rsidR="00CF7BD9" w:rsidRPr="002A133E" w14:paraId="5787CBD4" w14:textId="77777777" w:rsidTr="00A87786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56BF" w14:textId="6164E652" w:rsidR="00CF7BD9" w:rsidRPr="002A133E" w:rsidRDefault="00A6107A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B</w:t>
            </w:r>
            <w:r w:rsidR="00CF7BD9"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alancing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6962F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C56C7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Units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9D1A1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Capital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BF650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SG&amp;A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53965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Tax Rate</w:t>
            </w:r>
          </w:p>
        </w:tc>
      </w:tr>
      <w:tr w:rsidR="00CF7BD9" w:rsidRPr="002A133E" w14:paraId="5E5BAD71" w14:textId="77777777" w:rsidTr="009D254D">
        <w:trPr>
          <w:trHeight w:val="300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72B0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capital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8848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      5.11 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EA6D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718,087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413E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892,968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EC13" w14:textId="77777777" w:rsidR="00CF7BD9" w:rsidRPr="002A133E" w:rsidRDefault="00CF7BD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7.53%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54D1" w14:textId="21731F46" w:rsidR="00CF7BD9" w:rsidRPr="002A133E" w:rsidRDefault="00FB75A5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NA</w:t>
            </w:r>
          </w:p>
        </w:tc>
      </w:tr>
      <w:tr w:rsidR="00CF7BD9" w:rsidRPr="002A133E" w14:paraId="32534A87" w14:textId="77777777" w:rsidTr="009D254D">
        <w:trPr>
          <w:trHeight w:val="300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BEE2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E774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      5.06 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10A7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696,146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A364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921,112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3387" w14:textId="77777777" w:rsidR="00CF7BD9" w:rsidRPr="002A133E" w:rsidRDefault="00CF7BD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8.53%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BA27" w14:textId="367DE6E5" w:rsidR="00CF7BD9" w:rsidRPr="002A133E" w:rsidRDefault="00FB75A5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NA</w:t>
            </w:r>
          </w:p>
        </w:tc>
      </w:tr>
      <w:tr w:rsidR="00CF7BD9" w:rsidRPr="002A133E" w14:paraId="021523E2" w14:textId="77777777" w:rsidTr="009D254D">
        <w:trPr>
          <w:trHeight w:val="300"/>
          <w:jc w:val="center"/>
        </w:trPr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E726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demand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68EF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      5.06 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6148" w14:textId="332119F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</w:t>
            </w:r>
            <w:r w:rsidR="009D254D"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           </w:t>
            </w: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NA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D36F" w14:textId="77777777" w:rsidR="00CF7BD9" w:rsidRPr="002A133E" w:rsidRDefault="00CF7BD9">
            <w:pPr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 xml:space="preserve"> $      919,164 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1FB7" w14:textId="77777777" w:rsidR="00CF7BD9" w:rsidRPr="002A133E" w:rsidRDefault="00CF7BD9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8.39%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99E0" w14:textId="6B54094A" w:rsidR="00CF7BD9" w:rsidRPr="002A133E" w:rsidRDefault="00FB75A5">
            <w:pPr>
              <w:jc w:val="righ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2A133E">
              <w:rPr>
                <w:rFonts w:ascii="Garamond" w:hAnsi="Garamond" w:cs="Calibri"/>
                <w:color w:val="000000"/>
                <w:sz w:val="22"/>
                <w:szCs w:val="22"/>
              </w:rPr>
              <w:t>NA</w:t>
            </w:r>
          </w:p>
        </w:tc>
      </w:tr>
    </w:tbl>
    <w:p w14:paraId="544E9776" w14:textId="724D38E3" w:rsidR="002D0C10" w:rsidRDefault="002D0C10" w:rsidP="002E6F8E">
      <w:pPr>
        <w:spacing w:line="480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40B7920A" w14:textId="6D632662" w:rsidR="002D0C10" w:rsidRPr="00F10804" w:rsidRDefault="004A30BD" w:rsidP="002E6F8E">
      <w:pPr>
        <w:spacing w:line="480" w:lineRule="auto"/>
        <w:rPr>
          <w:rFonts w:ascii="Garamond" w:hAnsi="Garamond"/>
          <w:bCs/>
          <w:color w:val="000000" w:themeColor="text1"/>
          <w:sz w:val="22"/>
          <w:szCs w:val="22"/>
        </w:rPr>
      </w:pPr>
      <w:r w:rsidRPr="004A30BD">
        <w:rPr>
          <w:rFonts w:ascii="Garamond" w:hAnsi="Garamond"/>
          <w:bCs/>
          <w:color w:val="000000" w:themeColor="text1"/>
          <w:sz w:val="22"/>
          <w:szCs w:val="22"/>
        </w:rPr>
        <w:tab/>
        <w:t>In table 6</w:t>
      </w:r>
      <w:r>
        <w:rPr>
          <w:rFonts w:ascii="Garamond" w:hAnsi="Garamond"/>
          <w:bCs/>
          <w:color w:val="000000" w:themeColor="text1"/>
          <w:sz w:val="22"/>
          <w:szCs w:val="22"/>
        </w:rPr>
        <w:t xml:space="preserve"> we </w:t>
      </w:r>
      <w:r w:rsidR="00A55E06">
        <w:rPr>
          <w:rFonts w:ascii="Garamond" w:hAnsi="Garamond"/>
          <w:bCs/>
          <w:color w:val="000000" w:themeColor="text1"/>
          <w:sz w:val="22"/>
          <w:szCs w:val="22"/>
        </w:rPr>
        <w:t xml:space="preserve">see the comparison table that show the values that we have to achieve </w:t>
      </w:r>
      <w:r w:rsidR="007A6B87">
        <w:rPr>
          <w:rFonts w:ascii="Garamond" w:hAnsi="Garamond"/>
          <w:bCs/>
          <w:color w:val="000000" w:themeColor="text1"/>
          <w:sz w:val="22"/>
          <w:szCs w:val="22"/>
        </w:rPr>
        <w:t xml:space="preserve">in </w:t>
      </w:r>
      <w:r w:rsidR="00A55E06">
        <w:rPr>
          <w:rFonts w:ascii="Garamond" w:hAnsi="Garamond"/>
          <w:bCs/>
          <w:color w:val="000000" w:themeColor="text1"/>
          <w:sz w:val="22"/>
          <w:szCs w:val="22"/>
        </w:rPr>
        <w:t>each input to break-even</w:t>
      </w:r>
      <w:r w:rsidR="007A6B87">
        <w:rPr>
          <w:rFonts w:ascii="Garamond" w:hAnsi="Garamond"/>
          <w:bCs/>
          <w:color w:val="000000" w:themeColor="text1"/>
          <w:sz w:val="22"/>
          <w:szCs w:val="22"/>
        </w:rPr>
        <w:t xml:space="preserve"> </w:t>
      </w:r>
      <w:r w:rsidR="00A55E06">
        <w:rPr>
          <w:rFonts w:ascii="Garamond" w:hAnsi="Garamond"/>
          <w:bCs/>
          <w:color w:val="000000" w:themeColor="text1"/>
          <w:sz w:val="22"/>
          <w:szCs w:val="22"/>
        </w:rPr>
        <w:t xml:space="preserve">during the fifth period of the models. </w:t>
      </w:r>
      <w:r w:rsidR="00DF40EE">
        <w:rPr>
          <w:rFonts w:ascii="Garamond" w:hAnsi="Garamond"/>
          <w:bCs/>
          <w:color w:val="000000" w:themeColor="text1"/>
          <w:sz w:val="22"/>
          <w:szCs w:val="22"/>
        </w:rPr>
        <w:t xml:space="preserve">The biggest drop comes from the SG&amp;A expense in each model the values get </w:t>
      </w:r>
      <w:r w:rsidR="001F4C9B">
        <w:rPr>
          <w:rFonts w:ascii="Garamond" w:hAnsi="Garamond"/>
          <w:bCs/>
          <w:color w:val="000000" w:themeColor="text1"/>
          <w:sz w:val="22"/>
          <w:szCs w:val="22"/>
        </w:rPr>
        <w:t xml:space="preserve">decreased </w:t>
      </w:r>
      <w:r w:rsidR="004A4018">
        <w:rPr>
          <w:rFonts w:ascii="Garamond" w:hAnsi="Garamond"/>
          <w:bCs/>
          <w:color w:val="000000" w:themeColor="text1"/>
          <w:sz w:val="22"/>
          <w:szCs w:val="22"/>
        </w:rPr>
        <w:t xml:space="preserve">by </w:t>
      </w:r>
      <w:r w:rsidR="001F4C9B">
        <w:rPr>
          <w:rFonts w:ascii="Garamond" w:hAnsi="Garamond"/>
          <w:bCs/>
          <w:color w:val="000000" w:themeColor="text1"/>
          <w:sz w:val="22"/>
          <w:szCs w:val="22"/>
        </w:rPr>
        <w:t>3</w:t>
      </w:r>
      <w:r w:rsidR="00176D74" w:rsidRPr="00F9370D">
        <w:rPr>
          <w:rFonts w:ascii="Garamond" w:hAnsi="Garamond"/>
          <w:bCs/>
          <w:color w:val="000000" w:themeColor="text1"/>
          <w:sz w:val="18"/>
          <w:szCs w:val="18"/>
        </w:rPr>
        <w:t>X</w:t>
      </w:r>
      <w:r w:rsidR="00DF40EE">
        <w:rPr>
          <w:rFonts w:ascii="Garamond" w:hAnsi="Garamond"/>
          <w:bCs/>
          <w:color w:val="000000" w:themeColor="text1"/>
          <w:sz w:val="22"/>
          <w:szCs w:val="22"/>
        </w:rPr>
        <w:t xml:space="preserve">. </w:t>
      </w:r>
      <w:r w:rsidR="000539CD">
        <w:rPr>
          <w:rFonts w:ascii="Garamond" w:hAnsi="Garamond"/>
          <w:bCs/>
          <w:color w:val="000000" w:themeColor="text1"/>
          <w:sz w:val="22"/>
          <w:szCs w:val="22"/>
        </w:rPr>
        <w:t>The NAs in the table mean that a break even by changing that values was not achievable.</w:t>
      </w:r>
      <w:r w:rsidR="00AF1D94">
        <w:rPr>
          <w:rFonts w:ascii="Garamond" w:hAnsi="Garamond"/>
          <w:bCs/>
          <w:color w:val="000000" w:themeColor="text1"/>
          <w:sz w:val="22"/>
          <w:szCs w:val="22"/>
        </w:rPr>
        <w:t xml:space="preserve"> The easiest and most viabl</w:t>
      </w:r>
      <w:r w:rsidR="005F48AF">
        <w:rPr>
          <w:rFonts w:ascii="Garamond" w:hAnsi="Garamond"/>
          <w:bCs/>
          <w:color w:val="000000" w:themeColor="text1"/>
          <w:sz w:val="22"/>
          <w:szCs w:val="22"/>
        </w:rPr>
        <w:t>e, yet the hardest</w:t>
      </w:r>
      <w:r w:rsidR="00AF1D94">
        <w:rPr>
          <w:rFonts w:ascii="Garamond" w:hAnsi="Garamond"/>
          <w:bCs/>
          <w:color w:val="000000" w:themeColor="text1"/>
          <w:sz w:val="22"/>
          <w:szCs w:val="22"/>
        </w:rPr>
        <w:t xml:space="preserve"> </w:t>
      </w:r>
      <w:r w:rsidR="005F48AF">
        <w:rPr>
          <w:rFonts w:ascii="Garamond" w:hAnsi="Garamond"/>
          <w:bCs/>
          <w:color w:val="000000" w:themeColor="text1"/>
          <w:sz w:val="22"/>
          <w:szCs w:val="22"/>
        </w:rPr>
        <w:t xml:space="preserve">way </w:t>
      </w:r>
      <w:r w:rsidR="00AF1D94">
        <w:rPr>
          <w:rFonts w:ascii="Garamond" w:hAnsi="Garamond"/>
          <w:bCs/>
          <w:color w:val="000000" w:themeColor="text1"/>
          <w:sz w:val="22"/>
          <w:szCs w:val="22"/>
        </w:rPr>
        <w:t>to achieve the goal is to increase the units sold</w:t>
      </w:r>
      <w:r w:rsidR="005F48AF">
        <w:rPr>
          <w:rFonts w:ascii="Garamond" w:hAnsi="Garamond"/>
          <w:bCs/>
          <w:color w:val="000000" w:themeColor="text1"/>
          <w:sz w:val="22"/>
          <w:szCs w:val="22"/>
        </w:rPr>
        <w:t>.</w:t>
      </w:r>
      <w:r w:rsidR="00272EC0">
        <w:rPr>
          <w:rFonts w:ascii="Garamond" w:hAnsi="Garamond"/>
          <w:bCs/>
          <w:color w:val="000000" w:themeColor="text1"/>
          <w:sz w:val="22"/>
          <w:szCs w:val="22"/>
        </w:rPr>
        <w:t xml:space="preserve"> Other is to consider the constraint of the project and modify all the values achieve a consensus.</w:t>
      </w:r>
    </w:p>
    <w:p w14:paraId="5720577D" w14:textId="0EC933B3" w:rsidR="002D0C10" w:rsidRDefault="002D0C10" w:rsidP="002E6F8E">
      <w:pPr>
        <w:spacing w:line="480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0325F51F" w14:textId="77777777" w:rsidR="002D0C10" w:rsidRPr="002A133E" w:rsidRDefault="002D0C10" w:rsidP="002E6F8E">
      <w:pPr>
        <w:spacing w:line="480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18848F48" w14:textId="231356AA" w:rsidR="009726CE" w:rsidRDefault="00627CD1" w:rsidP="002E6F8E">
      <w:pPr>
        <w:spacing w:line="480" w:lineRule="auto"/>
        <w:rPr>
          <w:rFonts w:ascii="Garamond" w:hAnsi="Garamond"/>
          <w:b/>
          <w:color w:val="000000" w:themeColor="text1"/>
          <w:sz w:val="22"/>
          <w:szCs w:val="22"/>
        </w:rPr>
      </w:pPr>
      <w:r w:rsidRPr="002A133E">
        <w:rPr>
          <w:rFonts w:ascii="Garamond" w:hAnsi="Garamond"/>
          <w:b/>
          <w:color w:val="000000" w:themeColor="text1"/>
          <w:sz w:val="22"/>
          <w:szCs w:val="22"/>
        </w:rPr>
        <w:t>4</w:t>
      </w:r>
      <w:r w:rsidR="00F8535C" w:rsidRPr="002A133E">
        <w:rPr>
          <w:rFonts w:ascii="Garamond" w:hAnsi="Garamond"/>
          <w:b/>
          <w:color w:val="000000" w:themeColor="text1"/>
          <w:sz w:val="22"/>
          <w:szCs w:val="22"/>
        </w:rPr>
        <w:t xml:space="preserve">.0 </w:t>
      </w:r>
      <w:r w:rsidR="00AF258A" w:rsidRPr="002A133E">
        <w:rPr>
          <w:rFonts w:ascii="Garamond" w:hAnsi="Garamond"/>
          <w:b/>
          <w:color w:val="000000" w:themeColor="text1"/>
          <w:sz w:val="22"/>
          <w:szCs w:val="22"/>
        </w:rPr>
        <w:t>Conclusion:</w:t>
      </w:r>
    </w:p>
    <w:p w14:paraId="3A624F67" w14:textId="6990F057" w:rsidR="00D03EA9" w:rsidRPr="00BA2C38" w:rsidRDefault="00857616" w:rsidP="00D76355">
      <w:pPr>
        <w:spacing w:line="480" w:lineRule="auto"/>
        <w:ind w:firstLine="720"/>
        <w:rPr>
          <w:rFonts w:ascii="Garamond" w:hAnsi="Garamond"/>
          <w:bCs/>
          <w:color w:val="000000" w:themeColor="text1"/>
          <w:sz w:val="22"/>
          <w:szCs w:val="22"/>
        </w:rPr>
      </w:pPr>
      <w:r>
        <w:rPr>
          <w:rFonts w:ascii="Garamond" w:hAnsi="Garamond"/>
          <w:bCs/>
          <w:color w:val="000000" w:themeColor="text1"/>
          <w:sz w:val="22"/>
          <w:szCs w:val="22"/>
        </w:rPr>
        <w:t>In this project w</w:t>
      </w:r>
      <w:r w:rsidRPr="00BA2C38">
        <w:rPr>
          <w:rFonts w:ascii="Garamond" w:hAnsi="Garamond"/>
          <w:bCs/>
          <w:color w:val="000000" w:themeColor="text1"/>
          <w:sz w:val="22"/>
          <w:szCs w:val="22"/>
        </w:rPr>
        <w:t>e learn</w:t>
      </w:r>
      <w:r>
        <w:rPr>
          <w:rFonts w:ascii="Garamond" w:hAnsi="Garamond"/>
          <w:bCs/>
          <w:color w:val="000000" w:themeColor="text1"/>
          <w:sz w:val="22"/>
          <w:szCs w:val="22"/>
        </w:rPr>
        <w:t xml:space="preserve">ed </w:t>
      </w:r>
      <w:r w:rsidR="00133CF4">
        <w:rPr>
          <w:rFonts w:ascii="Garamond" w:hAnsi="Garamond"/>
          <w:bCs/>
          <w:color w:val="000000" w:themeColor="text1"/>
          <w:sz w:val="22"/>
          <w:szCs w:val="22"/>
        </w:rPr>
        <w:t>some</w:t>
      </w:r>
      <w:r>
        <w:rPr>
          <w:rFonts w:ascii="Garamond" w:hAnsi="Garamond"/>
          <w:bCs/>
          <w:color w:val="000000" w:themeColor="text1"/>
          <w:sz w:val="22"/>
          <w:szCs w:val="22"/>
        </w:rPr>
        <w:t xml:space="preserve"> types of capital budgeting that we can perform to allocate capital wisely. </w:t>
      </w:r>
      <w:r w:rsidR="00F476EC">
        <w:rPr>
          <w:rFonts w:ascii="Garamond" w:hAnsi="Garamond"/>
          <w:bCs/>
          <w:color w:val="000000" w:themeColor="text1"/>
          <w:sz w:val="22"/>
          <w:szCs w:val="22"/>
        </w:rPr>
        <w:t>The reality is that o</w:t>
      </w:r>
      <w:r>
        <w:rPr>
          <w:rFonts w:ascii="Garamond" w:hAnsi="Garamond"/>
          <w:bCs/>
          <w:color w:val="000000" w:themeColor="text1"/>
          <w:sz w:val="22"/>
          <w:szCs w:val="22"/>
        </w:rPr>
        <w:t xml:space="preserve">ur models are based on so many assumptions that is very hard to determine if they </w:t>
      </w:r>
      <w:r>
        <w:rPr>
          <w:rFonts w:ascii="Garamond" w:hAnsi="Garamond"/>
          <w:bCs/>
          <w:color w:val="000000" w:themeColor="text1"/>
          <w:sz w:val="22"/>
          <w:szCs w:val="22"/>
        </w:rPr>
        <w:lastRenderedPageBreak/>
        <w:t xml:space="preserve">provide a reasonable estimation of our returns. The most realistic model </w:t>
      </w:r>
      <w:r w:rsidR="00D76355">
        <w:rPr>
          <w:rFonts w:ascii="Garamond" w:hAnsi="Garamond"/>
          <w:bCs/>
          <w:color w:val="000000" w:themeColor="text1"/>
          <w:sz w:val="22"/>
          <w:szCs w:val="22"/>
        </w:rPr>
        <w:t>would be the basic capital budgeting method, this remind us again that the simpler the better</w:t>
      </w:r>
      <w:r>
        <w:rPr>
          <w:rFonts w:ascii="Garamond" w:hAnsi="Garamond"/>
          <w:bCs/>
          <w:color w:val="000000" w:themeColor="text1"/>
          <w:sz w:val="22"/>
          <w:szCs w:val="22"/>
        </w:rPr>
        <w:t>.</w:t>
      </w:r>
    </w:p>
    <w:sectPr w:rsidR="00D03EA9" w:rsidRPr="00BA2C3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7B681" w14:textId="77777777" w:rsidR="00B57E56" w:rsidRDefault="00B57E56" w:rsidP="00DE6441">
      <w:r>
        <w:separator/>
      </w:r>
    </w:p>
  </w:endnote>
  <w:endnote w:type="continuationSeparator" w:id="0">
    <w:p w14:paraId="1C633A68" w14:textId="77777777" w:rsidR="00B57E56" w:rsidRDefault="00B57E56" w:rsidP="00DE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684910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3569635F" w14:textId="77777777" w:rsidR="008A1057" w:rsidRDefault="008A10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715F680" w14:textId="77777777" w:rsidR="008A1057" w:rsidRDefault="008A1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3BBE0" w14:textId="77777777" w:rsidR="00B57E56" w:rsidRDefault="00B57E56" w:rsidP="00DE6441">
      <w:r>
        <w:separator/>
      </w:r>
    </w:p>
  </w:footnote>
  <w:footnote w:type="continuationSeparator" w:id="0">
    <w:p w14:paraId="168D5F54" w14:textId="77777777" w:rsidR="00B57E56" w:rsidRDefault="00B57E56" w:rsidP="00DE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BAD"/>
    <w:multiLevelType w:val="hybridMultilevel"/>
    <w:tmpl w:val="B85C574E"/>
    <w:lvl w:ilvl="0" w:tplc="9AE27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107D7"/>
    <w:multiLevelType w:val="multilevel"/>
    <w:tmpl w:val="FCFE60E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39176174"/>
    <w:multiLevelType w:val="hybridMultilevel"/>
    <w:tmpl w:val="CE0C5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E12F2"/>
    <w:multiLevelType w:val="hybridMultilevel"/>
    <w:tmpl w:val="18B65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41"/>
    <w:rsid w:val="000015E8"/>
    <w:rsid w:val="0000182C"/>
    <w:rsid w:val="000029A2"/>
    <w:rsid w:val="00002E06"/>
    <w:rsid w:val="00002F6F"/>
    <w:rsid w:val="0000405B"/>
    <w:rsid w:val="00004731"/>
    <w:rsid w:val="000068B4"/>
    <w:rsid w:val="00007FB5"/>
    <w:rsid w:val="00011229"/>
    <w:rsid w:val="0001345F"/>
    <w:rsid w:val="00013A95"/>
    <w:rsid w:val="00014AF4"/>
    <w:rsid w:val="000163A3"/>
    <w:rsid w:val="000177C5"/>
    <w:rsid w:val="00021793"/>
    <w:rsid w:val="000225E8"/>
    <w:rsid w:val="00022CD2"/>
    <w:rsid w:val="00022CE5"/>
    <w:rsid w:val="00023CE9"/>
    <w:rsid w:val="00026B13"/>
    <w:rsid w:val="00026D48"/>
    <w:rsid w:val="00027770"/>
    <w:rsid w:val="0003098B"/>
    <w:rsid w:val="00033274"/>
    <w:rsid w:val="00034A86"/>
    <w:rsid w:val="00035345"/>
    <w:rsid w:val="0003615A"/>
    <w:rsid w:val="00036501"/>
    <w:rsid w:val="00037917"/>
    <w:rsid w:val="0003799F"/>
    <w:rsid w:val="000379F3"/>
    <w:rsid w:val="000419FD"/>
    <w:rsid w:val="00042F3E"/>
    <w:rsid w:val="00043EB0"/>
    <w:rsid w:val="00047553"/>
    <w:rsid w:val="00051646"/>
    <w:rsid w:val="000519B9"/>
    <w:rsid w:val="00052933"/>
    <w:rsid w:val="00052A4D"/>
    <w:rsid w:val="000539CD"/>
    <w:rsid w:val="000548E2"/>
    <w:rsid w:val="00055541"/>
    <w:rsid w:val="00060E09"/>
    <w:rsid w:val="000630DF"/>
    <w:rsid w:val="0006451C"/>
    <w:rsid w:val="00065743"/>
    <w:rsid w:val="00066B8C"/>
    <w:rsid w:val="0006734C"/>
    <w:rsid w:val="00067E4D"/>
    <w:rsid w:val="000719BB"/>
    <w:rsid w:val="000738B1"/>
    <w:rsid w:val="00075F4B"/>
    <w:rsid w:val="00075F6A"/>
    <w:rsid w:val="0008076F"/>
    <w:rsid w:val="000829F3"/>
    <w:rsid w:val="00083640"/>
    <w:rsid w:val="00083785"/>
    <w:rsid w:val="00084155"/>
    <w:rsid w:val="000842FF"/>
    <w:rsid w:val="000909A0"/>
    <w:rsid w:val="00091B6A"/>
    <w:rsid w:val="000936EC"/>
    <w:rsid w:val="00094CCE"/>
    <w:rsid w:val="000972CB"/>
    <w:rsid w:val="00097512"/>
    <w:rsid w:val="00097FA2"/>
    <w:rsid w:val="000A0F79"/>
    <w:rsid w:val="000A4BD6"/>
    <w:rsid w:val="000A523C"/>
    <w:rsid w:val="000A614B"/>
    <w:rsid w:val="000A6548"/>
    <w:rsid w:val="000B22CF"/>
    <w:rsid w:val="000B243A"/>
    <w:rsid w:val="000B4F40"/>
    <w:rsid w:val="000B702C"/>
    <w:rsid w:val="000B7B5B"/>
    <w:rsid w:val="000C0CD0"/>
    <w:rsid w:val="000C1F31"/>
    <w:rsid w:val="000C3BBD"/>
    <w:rsid w:val="000C428E"/>
    <w:rsid w:val="000C4614"/>
    <w:rsid w:val="000C5217"/>
    <w:rsid w:val="000C62B6"/>
    <w:rsid w:val="000C64C3"/>
    <w:rsid w:val="000C6C3F"/>
    <w:rsid w:val="000C6C54"/>
    <w:rsid w:val="000C6D72"/>
    <w:rsid w:val="000D0D81"/>
    <w:rsid w:val="000D2365"/>
    <w:rsid w:val="000D65B3"/>
    <w:rsid w:val="000D7137"/>
    <w:rsid w:val="000D71C9"/>
    <w:rsid w:val="000D75E6"/>
    <w:rsid w:val="000E02DE"/>
    <w:rsid w:val="000E0B47"/>
    <w:rsid w:val="000E0CA7"/>
    <w:rsid w:val="000E2D7C"/>
    <w:rsid w:val="000E67C0"/>
    <w:rsid w:val="000E689B"/>
    <w:rsid w:val="000F17F5"/>
    <w:rsid w:val="000F48B0"/>
    <w:rsid w:val="000F4979"/>
    <w:rsid w:val="000F4EAB"/>
    <w:rsid w:val="000F6937"/>
    <w:rsid w:val="000F72A6"/>
    <w:rsid w:val="000F7710"/>
    <w:rsid w:val="00101AC0"/>
    <w:rsid w:val="00101E6F"/>
    <w:rsid w:val="001021B9"/>
    <w:rsid w:val="00103F5C"/>
    <w:rsid w:val="00104ACD"/>
    <w:rsid w:val="00105F71"/>
    <w:rsid w:val="00107C11"/>
    <w:rsid w:val="001103C1"/>
    <w:rsid w:val="00112F5B"/>
    <w:rsid w:val="00113044"/>
    <w:rsid w:val="00115204"/>
    <w:rsid w:val="00115921"/>
    <w:rsid w:val="00116C7A"/>
    <w:rsid w:val="00116D23"/>
    <w:rsid w:val="00120CCF"/>
    <w:rsid w:val="001233B0"/>
    <w:rsid w:val="00123DD6"/>
    <w:rsid w:val="00124200"/>
    <w:rsid w:val="0012579C"/>
    <w:rsid w:val="0012614E"/>
    <w:rsid w:val="00126F35"/>
    <w:rsid w:val="001270EE"/>
    <w:rsid w:val="00130020"/>
    <w:rsid w:val="00130E6D"/>
    <w:rsid w:val="00132115"/>
    <w:rsid w:val="00132E11"/>
    <w:rsid w:val="00133CF4"/>
    <w:rsid w:val="001350AF"/>
    <w:rsid w:val="001351CA"/>
    <w:rsid w:val="001366F5"/>
    <w:rsid w:val="001377CC"/>
    <w:rsid w:val="001377EF"/>
    <w:rsid w:val="00141195"/>
    <w:rsid w:val="00142017"/>
    <w:rsid w:val="0014213E"/>
    <w:rsid w:val="00142387"/>
    <w:rsid w:val="001433F1"/>
    <w:rsid w:val="001453FD"/>
    <w:rsid w:val="00146912"/>
    <w:rsid w:val="00146A46"/>
    <w:rsid w:val="00155AA7"/>
    <w:rsid w:val="00160859"/>
    <w:rsid w:val="00161776"/>
    <w:rsid w:val="00161BA2"/>
    <w:rsid w:val="00161DF0"/>
    <w:rsid w:val="001655B9"/>
    <w:rsid w:val="001668A4"/>
    <w:rsid w:val="0017171E"/>
    <w:rsid w:val="00175F62"/>
    <w:rsid w:val="0017611C"/>
    <w:rsid w:val="00176D74"/>
    <w:rsid w:val="00177732"/>
    <w:rsid w:val="0018064F"/>
    <w:rsid w:val="00181573"/>
    <w:rsid w:val="001817BE"/>
    <w:rsid w:val="00182005"/>
    <w:rsid w:val="00183142"/>
    <w:rsid w:val="00183560"/>
    <w:rsid w:val="0018538B"/>
    <w:rsid w:val="00185517"/>
    <w:rsid w:val="0018656B"/>
    <w:rsid w:val="00186B77"/>
    <w:rsid w:val="00187B42"/>
    <w:rsid w:val="00187DB2"/>
    <w:rsid w:val="0019457D"/>
    <w:rsid w:val="00197DEC"/>
    <w:rsid w:val="001A141B"/>
    <w:rsid w:val="001A17BD"/>
    <w:rsid w:val="001A17E2"/>
    <w:rsid w:val="001A22D8"/>
    <w:rsid w:val="001A2AC7"/>
    <w:rsid w:val="001A4214"/>
    <w:rsid w:val="001A56BD"/>
    <w:rsid w:val="001A70D0"/>
    <w:rsid w:val="001A7675"/>
    <w:rsid w:val="001A76EA"/>
    <w:rsid w:val="001A7AB7"/>
    <w:rsid w:val="001A7FDD"/>
    <w:rsid w:val="001B1CE0"/>
    <w:rsid w:val="001B2266"/>
    <w:rsid w:val="001B3DD7"/>
    <w:rsid w:val="001B6AD6"/>
    <w:rsid w:val="001C2210"/>
    <w:rsid w:val="001C4F22"/>
    <w:rsid w:val="001C58BD"/>
    <w:rsid w:val="001C61B4"/>
    <w:rsid w:val="001C7992"/>
    <w:rsid w:val="001D08CE"/>
    <w:rsid w:val="001D4B5F"/>
    <w:rsid w:val="001D600E"/>
    <w:rsid w:val="001E08F3"/>
    <w:rsid w:val="001E119A"/>
    <w:rsid w:val="001E3B04"/>
    <w:rsid w:val="001E475E"/>
    <w:rsid w:val="001E70B4"/>
    <w:rsid w:val="001E76BC"/>
    <w:rsid w:val="001E7A14"/>
    <w:rsid w:val="001F2582"/>
    <w:rsid w:val="001F4C9B"/>
    <w:rsid w:val="001F692D"/>
    <w:rsid w:val="001F74A4"/>
    <w:rsid w:val="001F7C95"/>
    <w:rsid w:val="001F7D5A"/>
    <w:rsid w:val="00201881"/>
    <w:rsid w:val="00201A4E"/>
    <w:rsid w:val="002024CA"/>
    <w:rsid w:val="00203D2C"/>
    <w:rsid w:val="00204695"/>
    <w:rsid w:val="0020670E"/>
    <w:rsid w:val="00206737"/>
    <w:rsid w:val="00206B2F"/>
    <w:rsid w:val="002132F9"/>
    <w:rsid w:val="00214F24"/>
    <w:rsid w:val="00220436"/>
    <w:rsid w:val="00220995"/>
    <w:rsid w:val="00222722"/>
    <w:rsid w:val="00222CD0"/>
    <w:rsid w:val="002268B3"/>
    <w:rsid w:val="00227E89"/>
    <w:rsid w:val="00231FAA"/>
    <w:rsid w:val="00234FCC"/>
    <w:rsid w:val="00236175"/>
    <w:rsid w:val="00241BEF"/>
    <w:rsid w:val="00241C4A"/>
    <w:rsid w:val="002423E0"/>
    <w:rsid w:val="00242681"/>
    <w:rsid w:val="00244A3A"/>
    <w:rsid w:val="00244F7D"/>
    <w:rsid w:val="002471AB"/>
    <w:rsid w:val="00250B9E"/>
    <w:rsid w:val="0025207E"/>
    <w:rsid w:val="00252AC6"/>
    <w:rsid w:val="00253D09"/>
    <w:rsid w:val="002545B4"/>
    <w:rsid w:val="00254D2E"/>
    <w:rsid w:val="00255696"/>
    <w:rsid w:val="00257DE2"/>
    <w:rsid w:val="00257EC4"/>
    <w:rsid w:val="0026327A"/>
    <w:rsid w:val="002639FA"/>
    <w:rsid w:val="00267170"/>
    <w:rsid w:val="002704F4"/>
    <w:rsid w:val="0027065C"/>
    <w:rsid w:val="00272EC0"/>
    <w:rsid w:val="00274B3D"/>
    <w:rsid w:val="00274D9C"/>
    <w:rsid w:val="00275BCC"/>
    <w:rsid w:val="00276FBB"/>
    <w:rsid w:val="00284776"/>
    <w:rsid w:val="002855F7"/>
    <w:rsid w:val="002873AB"/>
    <w:rsid w:val="00290AC5"/>
    <w:rsid w:val="00293F6C"/>
    <w:rsid w:val="00294F95"/>
    <w:rsid w:val="002970C9"/>
    <w:rsid w:val="002A0260"/>
    <w:rsid w:val="002A02CF"/>
    <w:rsid w:val="002A05E8"/>
    <w:rsid w:val="002A133E"/>
    <w:rsid w:val="002A2531"/>
    <w:rsid w:val="002A255F"/>
    <w:rsid w:val="002A2FB8"/>
    <w:rsid w:val="002A3E86"/>
    <w:rsid w:val="002A4ACC"/>
    <w:rsid w:val="002A5500"/>
    <w:rsid w:val="002A5EE9"/>
    <w:rsid w:val="002A606E"/>
    <w:rsid w:val="002A736D"/>
    <w:rsid w:val="002B1347"/>
    <w:rsid w:val="002B2C76"/>
    <w:rsid w:val="002B37FD"/>
    <w:rsid w:val="002B5504"/>
    <w:rsid w:val="002B6F20"/>
    <w:rsid w:val="002B74CD"/>
    <w:rsid w:val="002B77C1"/>
    <w:rsid w:val="002C00B7"/>
    <w:rsid w:val="002C100A"/>
    <w:rsid w:val="002C1123"/>
    <w:rsid w:val="002C4C53"/>
    <w:rsid w:val="002C775F"/>
    <w:rsid w:val="002D0C10"/>
    <w:rsid w:val="002D1A3B"/>
    <w:rsid w:val="002D3C82"/>
    <w:rsid w:val="002E1961"/>
    <w:rsid w:val="002E2BB8"/>
    <w:rsid w:val="002E32CF"/>
    <w:rsid w:val="002E63BF"/>
    <w:rsid w:val="002E6B22"/>
    <w:rsid w:val="002E6F8E"/>
    <w:rsid w:val="002F0CD5"/>
    <w:rsid w:val="002F226A"/>
    <w:rsid w:val="002F22A7"/>
    <w:rsid w:val="002F2913"/>
    <w:rsid w:val="002F2F5E"/>
    <w:rsid w:val="002F3084"/>
    <w:rsid w:val="002F384B"/>
    <w:rsid w:val="002F5E72"/>
    <w:rsid w:val="002F6DF3"/>
    <w:rsid w:val="00300825"/>
    <w:rsid w:val="003009CD"/>
    <w:rsid w:val="003029B8"/>
    <w:rsid w:val="0030549E"/>
    <w:rsid w:val="00310B5E"/>
    <w:rsid w:val="003177AB"/>
    <w:rsid w:val="00320933"/>
    <w:rsid w:val="003212F8"/>
    <w:rsid w:val="00322282"/>
    <w:rsid w:val="0032390C"/>
    <w:rsid w:val="00323A95"/>
    <w:rsid w:val="00323AB1"/>
    <w:rsid w:val="00324C20"/>
    <w:rsid w:val="00330984"/>
    <w:rsid w:val="00331B4F"/>
    <w:rsid w:val="00332119"/>
    <w:rsid w:val="00332C8C"/>
    <w:rsid w:val="00336E6F"/>
    <w:rsid w:val="00340001"/>
    <w:rsid w:val="00342E05"/>
    <w:rsid w:val="00344AF9"/>
    <w:rsid w:val="00354A85"/>
    <w:rsid w:val="00354CE6"/>
    <w:rsid w:val="00360080"/>
    <w:rsid w:val="003619AD"/>
    <w:rsid w:val="003630B8"/>
    <w:rsid w:val="00363536"/>
    <w:rsid w:val="003649B1"/>
    <w:rsid w:val="00367597"/>
    <w:rsid w:val="00370262"/>
    <w:rsid w:val="0037091E"/>
    <w:rsid w:val="00374F4B"/>
    <w:rsid w:val="0037662A"/>
    <w:rsid w:val="003827F9"/>
    <w:rsid w:val="0038355A"/>
    <w:rsid w:val="00383D97"/>
    <w:rsid w:val="0038571C"/>
    <w:rsid w:val="0039054A"/>
    <w:rsid w:val="003943E3"/>
    <w:rsid w:val="00396AE5"/>
    <w:rsid w:val="003A02C2"/>
    <w:rsid w:val="003A19A5"/>
    <w:rsid w:val="003A346B"/>
    <w:rsid w:val="003B2DA7"/>
    <w:rsid w:val="003B4961"/>
    <w:rsid w:val="003B54B1"/>
    <w:rsid w:val="003B6E3E"/>
    <w:rsid w:val="003C4E6E"/>
    <w:rsid w:val="003C5538"/>
    <w:rsid w:val="003C634E"/>
    <w:rsid w:val="003D2780"/>
    <w:rsid w:val="003D31DD"/>
    <w:rsid w:val="003D76F4"/>
    <w:rsid w:val="003E043F"/>
    <w:rsid w:val="003E04D1"/>
    <w:rsid w:val="003E3406"/>
    <w:rsid w:val="003E41F5"/>
    <w:rsid w:val="003E477E"/>
    <w:rsid w:val="003F005E"/>
    <w:rsid w:val="003F1085"/>
    <w:rsid w:val="003F5335"/>
    <w:rsid w:val="00401D1D"/>
    <w:rsid w:val="00406650"/>
    <w:rsid w:val="00406D22"/>
    <w:rsid w:val="004076A1"/>
    <w:rsid w:val="00407DC5"/>
    <w:rsid w:val="00410B1F"/>
    <w:rsid w:val="00411C38"/>
    <w:rsid w:val="00411FEC"/>
    <w:rsid w:val="0041292F"/>
    <w:rsid w:val="00414051"/>
    <w:rsid w:val="004148FE"/>
    <w:rsid w:val="00424D85"/>
    <w:rsid w:val="00426055"/>
    <w:rsid w:val="0042669F"/>
    <w:rsid w:val="00426B57"/>
    <w:rsid w:val="004270F6"/>
    <w:rsid w:val="0042718A"/>
    <w:rsid w:val="0043266A"/>
    <w:rsid w:val="00432C26"/>
    <w:rsid w:val="004362C3"/>
    <w:rsid w:val="00436849"/>
    <w:rsid w:val="00436DF8"/>
    <w:rsid w:val="00437219"/>
    <w:rsid w:val="00437A5C"/>
    <w:rsid w:val="00437C82"/>
    <w:rsid w:val="004420F2"/>
    <w:rsid w:val="0044303C"/>
    <w:rsid w:val="00443F64"/>
    <w:rsid w:val="004451E0"/>
    <w:rsid w:val="00451AA5"/>
    <w:rsid w:val="00453224"/>
    <w:rsid w:val="004532D1"/>
    <w:rsid w:val="004540F6"/>
    <w:rsid w:val="00455609"/>
    <w:rsid w:val="0045656F"/>
    <w:rsid w:val="00457479"/>
    <w:rsid w:val="00460FF6"/>
    <w:rsid w:val="0046197B"/>
    <w:rsid w:val="00461B54"/>
    <w:rsid w:val="00461E69"/>
    <w:rsid w:val="00464127"/>
    <w:rsid w:val="00464AEE"/>
    <w:rsid w:val="004652E7"/>
    <w:rsid w:val="00466591"/>
    <w:rsid w:val="004677CB"/>
    <w:rsid w:val="00470616"/>
    <w:rsid w:val="00472A4E"/>
    <w:rsid w:val="004734C0"/>
    <w:rsid w:val="00474436"/>
    <w:rsid w:val="00480733"/>
    <w:rsid w:val="00480769"/>
    <w:rsid w:val="00480F1B"/>
    <w:rsid w:val="0048372E"/>
    <w:rsid w:val="00483E6D"/>
    <w:rsid w:val="00485DF3"/>
    <w:rsid w:val="00486664"/>
    <w:rsid w:val="00491950"/>
    <w:rsid w:val="00491EC5"/>
    <w:rsid w:val="00492AF0"/>
    <w:rsid w:val="00492EF6"/>
    <w:rsid w:val="00493699"/>
    <w:rsid w:val="00496570"/>
    <w:rsid w:val="004A052F"/>
    <w:rsid w:val="004A0E61"/>
    <w:rsid w:val="004A1848"/>
    <w:rsid w:val="004A19DC"/>
    <w:rsid w:val="004A2518"/>
    <w:rsid w:val="004A30BD"/>
    <w:rsid w:val="004A4018"/>
    <w:rsid w:val="004A4498"/>
    <w:rsid w:val="004A4B6E"/>
    <w:rsid w:val="004A5686"/>
    <w:rsid w:val="004A5970"/>
    <w:rsid w:val="004A628C"/>
    <w:rsid w:val="004A6883"/>
    <w:rsid w:val="004A6CEB"/>
    <w:rsid w:val="004A754D"/>
    <w:rsid w:val="004B0D1C"/>
    <w:rsid w:val="004B200D"/>
    <w:rsid w:val="004B30A6"/>
    <w:rsid w:val="004B66AB"/>
    <w:rsid w:val="004C0033"/>
    <w:rsid w:val="004C33A9"/>
    <w:rsid w:val="004C38AA"/>
    <w:rsid w:val="004C3FC1"/>
    <w:rsid w:val="004D2522"/>
    <w:rsid w:val="004D31E8"/>
    <w:rsid w:val="004D375D"/>
    <w:rsid w:val="004D405C"/>
    <w:rsid w:val="004D4D77"/>
    <w:rsid w:val="004D62A2"/>
    <w:rsid w:val="004D7AE1"/>
    <w:rsid w:val="004E1707"/>
    <w:rsid w:val="004E1E88"/>
    <w:rsid w:val="004E291C"/>
    <w:rsid w:val="004E3537"/>
    <w:rsid w:val="004E357D"/>
    <w:rsid w:val="004E3E05"/>
    <w:rsid w:val="004E4877"/>
    <w:rsid w:val="004E6DBB"/>
    <w:rsid w:val="004E72BA"/>
    <w:rsid w:val="004E7811"/>
    <w:rsid w:val="004E792D"/>
    <w:rsid w:val="004F08EE"/>
    <w:rsid w:val="004F112D"/>
    <w:rsid w:val="004F363B"/>
    <w:rsid w:val="004F4162"/>
    <w:rsid w:val="004F438D"/>
    <w:rsid w:val="004F62F7"/>
    <w:rsid w:val="004F72D7"/>
    <w:rsid w:val="004F73DF"/>
    <w:rsid w:val="00500C23"/>
    <w:rsid w:val="005014DC"/>
    <w:rsid w:val="0050199B"/>
    <w:rsid w:val="00502BE8"/>
    <w:rsid w:val="0050304B"/>
    <w:rsid w:val="00503536"/>
    <w:rsid w:val="0050398E"/>
    <w:rsid w:val="00503A75"/>
    <w:rsid w:val="00504A10"/>
    <w:rsid w:val="005054E1"/>
    <w:rsid w:val="00505691"/>
    <w:rsid w:val="00506F52"/>
    <w:rsid w:val="0051084B"/>
    <w:rsid w:val="0051113D"/>
    <w:rsid w:val="005156DF"/>
    <w:rsid w:val="005170BB"/>
    <w:rsid w:val="00521979"/>
    <w:rsid w:val="00521C96"/>
    <w:rsid w:val="00523CE6"/>
    <w:rsid w:val="00523D18"/>
    <w:rsid w:val="0052463C"/>
    <w:rsid w:val="0052512D"/>
    <w:rsid w:val="00532D1B"/>
    <w:rsid w:val="00533A5E"/>
    <w:rsid w:val="00533E0F"/>
    <w:rsid w:val="0053716F"/>
    <w:rsid w:val="0054024C"/>
    <w:rsid w:val="005407C7"/>
    <w:rsid w:val="00541292"/>
    <w:rsid w:val="005425C6"/>
    <w:rsid w:val="0054286B"/>
    <w:rsid w:val="00543E71"/>
    <w:rsid w:val="00544315"/>
    <w:rsid w:val="00544769"/>
    <w:rsid w:val="00544C74"/>
    <w:rsid w:val="00545FF0"/>
    <w:rsid w:val="00550A6D"/>
    <w:rsid w:val="00551C3F"/>
    <w:rsid w:val="005523F6"/>
    <w:rsid w:val="0055371C"/>
    <w:rsid w:val="0055418E"/>
    <w:rsid w:val="00560403"/>
    <w:rsid w:val="00561315"/>
    <w:rsid w:val="00561D3B"/>
    <w:rsid w:val="0056261F"/>
    <w:rsid w:val="005627B5"/>
    <w:rsid w:val="005655F2"/>
    <w:rsid w:val="005662ED"/>
    <w:rsid w:val="00566BB1"/>
    <w:rsid w:val="00567C85"/>
    <w:rsid w:val="00577536"/>
    <w:rsid w:val="0058289B"/>
    <w:rsid w:val="005834CD"/>
    <w:rsid w:val="00583CAF"/>
    <w:rsid w:val="0058461D"/>
    <w:rsid w:val="0058725C"/>
    <w:rsid w:val="005878FE"/>
    <w:rsid w:val="00587F74"/>
    <w:rsid w:val="005902C8"/>
    <w:rsid w:val="00591D9B"/>
    <w:rsid w:val="005922CC"/>
    <w:rsid w:val="00594259"/>
    <w:rsid w:val="00594780"/>
    <w:rsid w:val="00595753"/>
    <w:rsid w:val="00597773"/>
    <w:rsid w:val="005A00AC"/>
    <w:rsid w:val="005A2666"/>
    <w:rsid w:val="005A36CA"/>
    <w:rsid w:val="005A3EEF"/>
    <w:rsid w:val="005B0E9B"/>
    <w:rsid w:val="005B28BD"/>
    <w:rsid w:val="005B6724"/>
    <w:rsid w:val="005C1CFF"/>
    <w:rsid w:val="005C26CA"/>
    <w:rsid w:val="005C3148"/>
    <w:rsid w:val="005C33BE"/>
    <w:rsid w:val="005C4103"/>
    <w:rsid w:val="005C5B4F"/>
    <w:rsid w:val="005D07BC"/>
    <w:rsid w:val="005D1B36"/>
    <w:rsid w:val="005D4977"/>
    <w:rsid w:val="005D6166"/>
    <w:rsid w:val="005D65C4"/>
    <w:rsid w:val="005E06BB"/>
    <w:rsid w:val="005E385A"/>
    <w:rsid w:val="005E58EA"/>
    <w:rsid w:val="005E7BBA"/>
    <w:rsid w:val="005F25F1"/>
    <w:rsid w:val="005F2C13"/>
    <w:rsid w:val="005F4551"/>
    <w:rsid w:val="005F48AF"/>
    <w:rsid w:val="005F787F"/>
    <w:rsid w:val="006009EF"/>
    <w:rsid w:val="006016A2"/>
    <w:rsid w:val="00603375"/>
    <w:rsid w:val="00605B97"/>
    <w:rsid w:val="00605F71"/>
    <w:rsid w:val="0060720E"/>
    <w:rsid w:val="00607DF9"/>
    <w:rsid w:val="00610001"/>
    <w:rsid w:val="00610ADE"/>
    <w:rsid w:val="006118EA"/>
    <w:rsid w:val="00611D32"/>
    <w:rsid w:val="006132ED"/>
    <w:rsid w:val="00613BF2"/>
    <w:rsid w:val="00615ECB"/>
    <w:rsid w:val="00621C13"/>
    <w:rsid w:val="00621C50"/>
    <w:rsid w:val="006228A5"/>
    <w:rsid w:val="00622A82"/>
    <w:rsid w:val="00624E56"/>
    <w:rsid w:val="006251AF"/>
    <w:rsid w:val="00627CD1"/>
    <w:rsid w:val="0063209F"/>
    <w:rsid w:val="006331CA"/>
    <w:rsid w:val="006347EC"/>
    <w:rsid w:val="00634E1C"/>
    <w:rsid w:val="00634F33"/>
    <w:rsid w:val="0063730A"/>
    <w:rsid w:val="00641293"/>
    <w:rsid w:val="0064170B"/>
    <w:rsid w:val="00641768"/>
    <w:rsid w:val="00641B4E"/>
    <w:rsid w:val="00641ECF"/>
    <w:rsid w:val="006427DA"/>
    <w:rsid w:val="00642A02"/>
    <w:rsid w:val="00643C85"/>
    <w:rsid w:val="00647C61"/>
    <w:rsid w:val="00650C37"/>
    <w:rsid w:val="0065183D"/>
    <w:rsid w:val="00653A0D"/>
    <w:rsid w:val="00654DD1"/>
    <w:rsid w:val="0065730E"/>
    <w:rsid w:val="006601A9"/>
    <w:rsid w:val="006617B7"/>
    <w:rsid w:val="00662C77"/>
    <w:rsid w:val="00666544"/>
    <w:rsid w:val="00666D21"/>
    <w:rsid w:val="006700EF"/>
    <w:rsid w:val="0067085D"/>
    <w:rsid w:val="006711C2"/>
    <w:rsid w:val="00671763"/>
    <w:rsid w:val="006717A2"/>
    <w:rsid w:val="006727EC"/>
    <w:rsid w:val="00673C27"/>
    <w:rsid w:val="00674652"/>
    <w:rsid w:val="00674673"/>
    <w:rsid w:val="00674936"/>
    <w:rsid w:val="00674F4C"/>
    <w:rsid w:val="006760E4"/>
    <w:rsid w:val="0067762B"/>
    <w:rsid w:val="00677F16"/>
    <w:rsid w:val="006801CB"/>
    <w:rsid w:val="006802C6"/>
    <w:rsid w:val="00681117"/>
    <w:rsid w:val="00682397"/>
    <w:rsid w:val="0068397A"/>
    <w:rsid w:val="00684E7C"/>
    <w:rsid w:val="00685FA1"/>
    <w:rsid w:val="0068602F"/>
    <w:rsid w:val="00686D73"/>
    <w:rsid w:val="006923DF"/>
    <w:rsid w:val="00693B1F"/>
    <w:rsid w:val="00693E1C"/>
    <w:rsid w:val="00694635"/>
    <w:rsid w:val="006A0A72"/>
    <w:rsid w:val="006A1418"/>
    <w:rsid w:val="006A3F15"/>
    <w:rsid w:val="006A4414"/>
    <w:rsid w:val="006A4FB9"/>
    <w:rsid w:val="006A6403"/>
    <w:rsid w:val="006A71DB"/>
    <w:rsid w:val="006B158F"/>
    <w:rsid w:val="006B5D17"/>
    <w:rsid w:val="006C04FC"/>
    <w:rsid w:val="006C0F1D"/>
    <w:rsid w:val="006C0F42"/>
    <w:rsid w:val="006C56EC"/>
    <w:rsid w:val="006C5ECD"/>
    <w:rsid w:val="006C73B2"/>
    <w:rsid w:val="006D2C81"/>
    <w:rsid w:val="006D3C49"/>
    <w:rsid w:val="006D48D8"/>
    <w:rsid w:val="006D6210"/>
    <w:rsid w:val="006E1CC6"/>
    <w:rsid w:val="006E2436"/>
    <w:rsid w:val="006E3665"/>
    <w:rsid w:val="006E3CA2"/>
    <w:rsid w:val="006E4BC2"/>
    <w:rsid w:val="006E5759"/>
    <w:rsid w:val="006E797E"/>
    <w:rsid w:val="006F4286"/>
    <w:rsid w:val="006F450D"/>
    <w:rsid w:val="006F6DB1"/>
    <w:rsid w:val="00700CD5"/>
    <w:rsid w:val="0070270A"/>
    <w:rsid w:val="007027AF"/>
    <w:rsid w:val="00702BEA"/>
    <w:rsid w:val="007043B9"/>
    <w:rsid w:val="00704EB5"/>
    <w:rsid w:val="00704F8A"/>
    <w:rsid w:val="00706F07"/>
    <w:rsid w:val="0071103B"/>
    <w:rsid w:val="00712419"/>
    <w:rsid w:val="00712FBD"/>
    <w:rsid w:val="00714194"/>
    <w:rsid w:val="00714423"/>
    <w:rsid w:val="00715023"/>
    <w:rsid w:val="007209A5"/>
    <w:rsid w:val="00720CBF"/>
    <w:rsid w:val="00721176"/>
    <w:rsid w:val="0072218E"/>
    <w:rsid w:val="00724761"/>
    <w:rsid w:val="00734737"/>
    <w:rsid w:val="00735D83"/>
    <w:rsid w:val="007370E2"/>
    <w:rsid w:val="00737231"/>
    <w:rsid w:val="007457BC"/>
    <w:rsid w:val="007519F0"/>
    <w:rsid w:val="00751FC7"/>
    <w:rsid w:val="00752F56"/>
    <w:rsid w:val="0075353E"/>
    <w:rsid w:val="00754283"/>
    <w:rsid w:val="00755225"/>
    <w:rsid w:val="00755BDD"/>
    <w:rsid w:val="00757024"/>
    <w:rsid w:val="00760ED4"/>
    <w:rsid w:val="007644E3"/>
    <w:rsid w:val="00764FEA"/>
    <w:rsid w:val="007665EF"/>
    <w:rsid w:val="00772414"/>
    <w:rsid w:val="00772465"/>
    <w:rsid w:val="00773CA0"/>
    <w:rsid w:val="007748E8"/>
    <w:rsid w:val="00775471"/>
    <w:rsid w:val="00777DB6"/>
    <w:rsid w:val="00780035"/>
    <w:rsid w:val="00780F60"/>
    <w:rsid w:val="0078166E"/>
    <w:rsid w:val="007825B6"/>
    <w:rsid w:val="00786591"/>
    <w:rsid w:val="0079042D"/>
    <w:rsid w:val="00790DC3"/>
    <w:rsid w:val="007930EA"/>
    <w:rsid w:val="00794121"/>
    <w:rsid w:val="00795205"/>
    <w:rsid w:val="00795773"/>
    <w:rsid w:val="00796047"/>
    <w:rsid w:val="007965FD"/>
    <w:rsid w:val="0079741E"/>
    <w:rsid w:val="0079790B"/>
    <w:rsid w:val="007A1B0C"/>
    <w:rsid w:val="007A237E"/>
    <w:rsid w:val="007A2B94"/>
    <w:rsid w:val="007A3718"/>
    <w:rsid w:val="007A3CD8"/>
    <w:rsid w:val="007A421C"/>
    <w:rsid w:val="007A506D"/>
    <w:rsid w:val="007A6208"/>
    <w:rsid w:val="007A6B87"/>
    <w:rsid w:val="007B1854"/>
    <w:rsid w:val="007B6ABD"/>
    <w:rsid w:val="007B6D10"/>
    <w:rsid w:val="007B6DB5"/>
    <w:rsid w:val="007C1546"/>
    <w:rsid w:val="007C42A6"/>
    <w:rsid w:val="007C5E50"/>
    <w:rsid w:val="007C63CF"/>
    <w:rsid w:val="007C7B57"/>
    <w:rsid w:val="007D31CB"/>
    <w:rsid w:val="007D4B46"/>
    <w:rsid w:val="007D686B"/>
    <w:rsid w:val="007E161F"/>
    <w:rsid w:val="007E298D"/>
    <w:rsid w:val="007E3E9D"/>
    <w:rsid w:val="007E452A"/>
    <w:rsid w:val="007E4734"/>
    <w:rsid w:val="007E5911"/>
    <w:rsid w:val="007F1880"/>
    <w:rsid w:val="007F19F8"/>
    <w:rsid w:val="007F1B2F"/>
    <w:rsid w:val="007F2070"/>
    <w:rsid w:val="007F24C3"/>
    <w:rsid w:val="007F4745"/>
    <w:rsid w:val="007F6A6C"/>
    <w:rsid w:val="007F6B79"/>
    <w:rsid w:val="007F726B"/>
    <w:rsid w:val="0080204A"/>
    <w:rsid w:val="008079A4"/>
    <w:rsid w:val="008100FB"/>
    <w:rsid w:val="00812CED"/>
    <w:rsid w:val="008130E4"/>
    <w:rsid w:val="008137EA"/>
    <w:rsid w:val="008143CF"/>
    <w:rsid w:val="00815B6A"/>
    <w:rsid w:val="00815C3D"/>
    <w:rsid w:val="00820D74"/>
    <w:rsid w:val="00822334"/>
    <w:rsid w:val="00823329"/>
    <w:rsid w:val="0082442D"/>
    <w:rsid w:val="0082595B"/>
    <w:rsid w:val="00830FFD"/>
    <w:rsid w:val="00831846"/>
    <w:rsid w:val="00831959"/>
    <w:rsid w:val="00831C1B"/>
    <w:rsid w:val="008359C2"/>
    <w:rsid w:val="00835C57"/>
    <w:rsid w:val="0083783F"/>
    <w:rsid w:val="00840888"/>
    <w:rsid w:val="00841BE4"/>
    <w:rsid w:val="00842CCF"/>
    <w:rsid w:val="00845B67"/>
    <w:rsid w:val="008460C2"/>
    <w:rsid w:val="00846B88"/>
    <w:rsid w:val="00847559"/>
    <w:rsid w:val="00851079"/>
    <w:rsid w:val="008528DF"/>
    <w:rsid w:val="00852BF6"/>
    <w:rsid w:val="00852E85"/>
    <w:rsid w:val="0085482E"/>
    <w:rsid w:val="0085494D"/>
    <w:rsid w:val="0085752D"/>
    <w:rsid w:val="00857616"/>
    <w:rsid w:val="00862B62"/>
    <w:rsid w:val="00863415"/>
    <w:rsid w:val="00864D49"/>
    <w:rsid w:val="008665C6"/>
    <w:rsid w:val="008674BA"/>
    <w:rsid w:val="00870D7E"/>
    <w:rsid w:val="008712E4"/>
    <w:rsid w:val="008745F4"/>
    <w:rsid w:val="00874EBC"/>
    <w:rsid w:val="00877197"/>
    <w:rsid w:val="00877D5E"/>
    <w:rsid w:val="00880A78"/>
    <w:rsid w:val="0088292F"/>
    <w:rsid w:val="00883ACE"/>
    <w:rsid w:val="00884B98"/>
    <w:rsid w:val="0088579A"/>
    <w:rsid w:val="00885A3B"/>
    <w:rsid w:val="00891B58"/>
    <w:rsid w:val="00892A03"/>
    <w:rsid w:val="0089398F"/>
    <w:rsid w:val="008962E0"/>
    <w:rsid w:val="00896D34"/>
    <w:rsid w:val="008A0BEA"/>
    <w:rsid w:val="008A1057"/>
    <w:rsid w:val="008A7115"/>
    <w:rsid w:val="008A7C0A"/>
    <w:rsid w:val="008B0462"/>
    <w:rsid w:val="008B0740"/>
    <w:rsid w:val="008B6049"/>
    <w:rsid w:val="008B7635"/>
    <w:rsid w:val="008B7A5A"/>
    <w:rsid w:val="008C4CCC"/>
    <w:rsid w:val="008C62EF"/>
    <w:rsid w:val="008C7169"/>
    <w:rsid w:val="008C76A8"/>
    <w:rsid w:val="008C7F63"/>
    <w:rsid w:val="008D0D82"/>
    <w:rsid w:val="008D1972"/>
    <w:rsid w:val="008D201D"/>
    <w:rsid w:val="008D2350"/>
    <w:rsid w:val="008D2C1E"/>
    <w:rsid w:val="008D4CE0"/>
    <w:rsid w:val="008D5E5A"/>
    <w:rsid w:val="008D5EF3"/>
    <w:rsid w:val="008D6E49"/>
    <w:rsid w:val="008D739D"/>
    <w:rsid w:val="008E221B"/>
    <w:rsid w:val="008E33DF"/>
    <w:rsid w:val="008E3B73"/>
    <w:rsid w:val="008E527F"/>
    <w:rsid w:val="008F4AA6"/>
    <w:rsid w:val="008F4AD3"/>
    <w:rsid w:val="008F4B09"/>
    <w:rsid w:val="008F5360"/>
    <w:rsid w:val="0090100A"/>
    <w:rsid w:val="0090517C"/>
    <w:rsid w:val="009058F0"/>
    <w:rsid w:val="00907A6C"/>
    <w:rsid w:val="0091025D"/>
    <w:rsid w:val="009112F8"/>
    <w:rsid w:val="00913D96"/>
    <w:rsid w:val="00915602"/>
    <w:rsid w:val="009161C7"/>
    <w:rsid w:val="009165FF"/>
    <w:rsid w:val="00916DFA"/>
    <w:rsid w:val="009174B8"/>
    <w:rsid w:val="00920133"/>
    <w:rsid w:val="00920FE4"/>
    <w:rsid w:val="00921935"/>
    <w:rsid w:val="009222F2"/>
    <w:rsid w:val="00922A45"/>
    <w:rsid w:val="0092426F"/>
    <w:rsid w:val="0092479F"/>
    <w:rsid w:val="00924E77"/>
    <w:rsid w:val="00925471"/>
    <w:rsid w:val="00927915"/>
    <w:rsid w:val="00931582"/>
    <w:rsid w:val="00931C65"/>
    <w:rsid w:val="0093241B"/>
    <w:rsid w:val="0093329C"/>
    <w:rsid w:val="00933F77"/>
    <w:rsid w:val="00934956"/>
    <w:rsid w:val="00934A6B"/>
    <w:rsid w:val="009358BB"/>
    <w:rsid w:val="009367E5"/>
    <w:rsid w:val="00936E04"/>
    <w:rsid w:val="009370DF"/>
    <w:rsid w:val="0094046B"/>
    <w:rsid w:val="00940F64"/>
    <w:rsid w:val="00941E94"/>
    <w:rsid w:val="009428C9"/>
    <w:rsid w:val="00944DC2"/>
    <w:rsid w:val="00951E6D"/>
    <w:rsid w:val="0095326E"/>
    <w:rsid w:val="009536A4"/>
    <w:rsid w:val="0095706A"/>
    <w:rsid w:val="00960A80"/>
    <w:rsid w:val="00961519"/>
    <w:rsid w:val="009624F2"/>
    <w:rsid w:val="00964179"/>
    <w:rsid w:val="0096482C"/>
    <w:rsid w:val="00965963"/>
    <w:rsid w:val="00966787"/>
    <w:rsid w:val="00966CC0"/>
    <w:rsid w:val="0097061B"/>
    <w:rsid w:val="0097099C"/>
    <w:rsid w:val="00970CC6"/>
    <w:rsid w:val="00972589"/>
    <w:rsid w:val="009726CE"/>
    <w:rsid w:val="00973A15"/>
    <w:rsid w:val="0097491E"/>
    <w:rsid w:val="00976380"/>
    <w:rsid w:val="009818AB"/>
    <w:rsid w:val="009820CE"/>
    <w:rsid w:val="00982376"/>
    <w:rsid w:val="00983AD9"/>
    <w:rsid w:val="00983BE2"/>
    <w:rsid w:val="0098404C"/>
    <w:rsid w:val="00984713"/>
    <w:rsid w:val="0098755A"/>
    <w:rsid w:val="00992ECB"/>
    <w:rsid w:val="00994363"/>
    <w:rsid w:val="009948B3"/>
    <w:rsid w:val="0099705B"/>
    <w:rsid w:val="009A35E7"/>
    <w:rsid w:val="009A3A37"/>
    <w:rsid w:val="009A786F"/>
    <w:rsid w:val="009B1B03"/>
    <w:rsid w:val="009B3FC1"/>
    <w:rsid w:val="009B406D"/>
    <w:rsid w:val="009C0328"/>
    <w:rsid w:val="009C07AA"/>
    <w:rsid w:val="009C13F0"/>
    <w:rsid w:val="009C539B"/>
    <w:rsid w:val="009C6A84"/>
    <w:rsid w:val="009C6FA4"/>
    <w:rsid w:val="009D0A5C"/>
    <w:rsid w:val="009D15F6"/>
    <w:rsid w:val="009D254D"/>
    <w:rsid w:val="009D77FC"/>
    <w:rsid w:val="009D7F69"/>
    <w:rsid w:val="009E0772"/>
    <w:rsid w:val="009E0823"/>
    <w:rsid w:val="009E0C69"/>
    <w:rsid w:val="009E20C2"/>
    <w:rsid w:val="009E354B"/>
    <w:rsid w:val="009E356E"/>
    <w:rsid w:val="009F0659"/>
    <w:rsid w:val="009F105C"/>
    <w:rsid w:val="009F2424"/>
    <w:rsid w:val="009F42B7"/>
    <w:rsid w:val="009F47A3"/>
    <w:rsid w:val="009F4B1D"/>
    <w:rsid w:val="009F4F1D"/>
    <w:rsid w:val="009F6069"/>
    <w:rsid w:val="009F7CC6"/>
    <w:rsid w:val="00A001C3"/>
    <w:rsid w:val="00A00A08"/>
    <w:rsid w:val="00A00ECA"/>
    <w:rsid w:val="00A01D93"/>
    <w:rsid w:val="00A021B5"/>
    <w:rsid w:val="00A02C62"/>
    <w:rsid w:val="00A03292"/>
    <w:rsid w:val="00A05DCA"/>
    <w:rsid w:val="00A06E79"/>
    <w:rsid w:val="00A133BC"/>
    <w:rsid w:val="00A167BE"/>
    <w:rsid w:val="00A1753F"/>
    <w:rsid w:val="00A22118"/>
    <w:rsid w:val="00A2483A"/>
    <w:rsid w:val="00A24DFC"/>
    <w:rsid w:val="00A25B2F"/>
    <w:rsid w:val="00A26AA6"/>
    <w:rsid w:val="00A27111"/>
    <w:rsid w:val="00A30779"/>
    <w:rsid w:val="00A30A64"/>
    <w:rsid w:val="00A30D83"/>
    <w:rsid w:val="00A31618"/>
    <w:rsid w:val="00A34EDA"/>
    <w:rsid w:val="00A46A1E"/>
    <w:rsid w:val="00A471A5"/>
    <w:rsid w:val="00A502AF"/>
    <w:rsid w:val="00A5123D"/>
    <w:rsid w:val="00A534FE"/>
    <w:rsid w:val="00A53EDC"/>
    <w:rsid w:val="00A54535"/>
    <w:rsid w:val="00A55227"/>
    <w:rsid w:val="00A55E06"/>
    <w:rsid w:val="00A601B9"/>
    <w:rsid w:val="00A60225"/>
    <w:rsid w:val="00A60E57"/>
    <w:rsid w:val="00A6107A"/>
    <w:rsid w:val="00A621C7"/>
    <w:rsid w:val="00A63CC0"/>
    <w:rsid w:val="00A642D3"/>
    <w:rsid w:val="00A64F70"/>
    <w:rsid w:val="00A656C1"/>
    <w:rsid w:val="00A7078D"/>
    <w:rsid w:val="00A70BE5"/>
    <w:rsid w:val="00A70CD3"/>
    <w:rsid w:val="00A7272B"/>
    <w:rsid w:val="00A80966"/>
    <w:rsid w:val="00A810B8"/>
    <w:rsid w:val="00A81771"/>
    <w:rsid w:val="00A81B77"/>
    <w:rsid w:val="00A81BA2"/>
    <w:rsid w:val="00A81BDF"/>
    <w:rsid w:val="00A845DF"/>
    <w:rsid w:val="00A85AD5"/>
    <w:rsid w:val="00A86CCB"/>
    <w:rsid w:val="00A86CE8"/>
    <w:rsid w:val="00A87786"/>
    <w:rsid w:val="00A90B5F"/>
    <w:rsid w:val="00A91169"/>
    <w:rsid w:val="00A929B3"/>
    <w:rsid w:val="00A92F29"/>
    <w:rsid w:val="00A9684D"/>
    <w:rsid w:val="00A96A96"/>
    <w:rsid w:val="00A974A9"/>
    <w:rsid w:val="00AA1170"/>
    <w:rsid w:val="00AA1C6E"/>
    <w:rsid w:val="00AA2A14"/>
    <w:rsid w:val="00AA2ECB"/>
    <w:rsid w:val="00AA5BE6"/>
    <w:rsid w:val="00AA7670"/>
    <w:rsid w:val="00AA7ADF"/>
    <w:rsid w:val="00AA7BD4"/>
    <w:rsid w:val="00AB21B5"/>
    <w:rsid w:val="00AB56CF"/>
    <w:rsid w:val="00AB61DB"/>
    <w:rsid w:val="00AB748E"/>
    <w:rsid w:val="00AC1930"/>
    <w:rsid w:val="00AC3FA2"/>
    <w:rsid w:val="00AC5B77"/>
    <w:rsid w:val="00AD2600"/>
    <w:rsid w:val="00AD37B9"/>
    <w:rsid w:val="00AD39FA"/>
    <w:rsid w:val="00AD472B"/>
    <w:rsid w:val="00AD47BD"/>
    <w:rsid w:val="00AD64C4"/>
    <w:rsid w:val="00AE3FAD"/>
    <w:rsid w:val="00AE49A5"/>
    <w:rsid w:val="00AE4B06"/>
    <w:rsid w:val="00AF08F6"/>
    <w:rsid w:val="00AF0AE0"/>
    <w:rsid w:val="00AF0C90"/>
    <w:rsid w:val="00AF163F"/>
    <w:rsid w:val="00AF1D94"/>
    <w:rsid w:val="00AF258A"/>
    <w:rsid w:val="00AF514A"/>
    <w:rsid w:val="00AF529A"/>
    <w:rsid w:val="00AF53E1"/>
    <w:rsid w:val="00AF678B"/>
    <w:rsid w:val="00AF6A94"/>
    <w:rsid w:val="00AF705C"/>
    <w:rsid w:val="00B01451"/>
    <w:rsid w:val="00B0180C"/>
    <w:rsid w:val="00B03632"/>
    <w:rsid w:val="00B06F52"/>
    <w:rsid w:val="00B07891"/>
    <w:rsid w:val="00B110B1"/>
    <w:rsid w:val="00B112EA"/>
    <w:rsid w:val="00B117AA"/>
    <w:rsid w:val="00B11809"/>
    <w:rsid w:val="00B12042"/>
    <w:rsid w:val="00B12AA4"/>
    <w:rsid w:val="00B1348B"/>
    <w:rsid w:val="00B1414C"/>
    <w:rsid w:val="00B1414F"/>
    <w:rsid w:val="00B16B6B"/>
    <w:rsid w:val="00B17554"/>
    <w:rsid w:val="00B2116C"/>
    <w:rsid w:val="00B21AF6"/>
    <w:rsid w:val="00B21C48"/>
    <w:rsid w:val="00B26DAB"/>
    <w:rsid w:val="00B26E78"/>
    <w:rsid w:val="00B30CB9"/>
    <w:rsid w:val="00B315DB"/>
    <w:rsid w:val="00B32C7F"/>
    <w:rsid w:val="00B34657"/>
    <w:rsid w:val="00B3538C"/>
    <w:rsid w:val="00B35D58"/>
    <w:rsid w:val="00B40593"/>
    <w:rsid w:val="00B41067"/>
    <w:rsid w:val="00B4197A"/>
    <w:rsid w:val="00B41E5D"/>
    <w:rsid w:val="00B41F68"/>
    <w:rsid w:val="00B45CAC"/>
    <w:rsid w:val="00B47EDD"/>
    <w:rsid w:val="00B500FD"/>
    <w:rsid w:val="00B50996"/>
    <w:rsid w:val="00B5115D"/>
    <w:rsid w:val="00B53D62"/>
    <w:rsid w:val="00B54A0B"/>
    <w:rsid w:val="00B551C8"/>
    <w:rsid w:val="00B57E56"/>
    <w:rsid w:val="00B60640"/>
    <w:rsid w:val="00B60E37"/>
    <w:rsid w:val="00B63DFA"/>
    <w:rsid w:val="00B6648E"/>
    <w:rsid w:val="00B66B00"/>
    <w:rsid w:val="00B66D64"/>
    <w:rsid w:val="00B708E5"/>
    <w:rsid w:val="00B712BC"/>
    <w:rsid w:val="00B7246A"/>
    <w:rsid w:val="00B73724"/>
    <w:rsid w:val="00B75C89"/>
    <w:rsid w:val="00B761D6"/>
    <w:rsid w:val="00B77F7A"/>
    <w:rsid w:val="00B8046A"/>
    <w:rsid w:val="00B821EF"/>
    <w:rsid w:val="00B85941"/>
    <w:rsid w:val="00B85A61"/>
    <w:rsid w:val="00B85C59"/>
    <w:rsid w:val="00B85FDA"/>
    <w:rsid w:val="00B91192"/>
    <w:rsid w:val="00B9184C"/>
    <w:rsid w:val="00B9262D"/>
    <w:rsid w:val="00B95299"/>
    <w:rsid w:val="00B96217"/>
    <w:rsid w:val="00B965D9"/>
    <w:rsid w:val="00B977F5"/>
    <w:rsid w:val="00BA0485"/>
    <w:rsid w:val="00BA06E4"/>
    <w:rsid w:val="00BA098B"/>
    <w:rsid w:val="00BA1838"/>
    <w:rsid w:val="00BA2C38"/>
    <w:rsid w:val="00BA4D5E"/>
    <w:rsid w:val="00BA7E7B"/>
    <w:rsid w:val="00BB05D0"/>
    <w:rsid w:val="00BB1227"/>
    <w:rsid w:val="00BB1659"/>
    <w:rsid w:val="00BB212E"/>
    <w:rsid w:val="00BB2A3E"/>
    <w:rsid w:val="00BC04C1"/>
    <w:rsid w:val="00BC1A98"/>
    <w:rsid w:val="00BC1C5C"/>
    <w:rsid w:val="00BC5F72"/>
    <w:rsid w:val="00BC6961"/>
    <w:rsid w:val="00BC7075"/>
    <w:rsid w:val="00BC771A"/>
    <w:rsid w:val="00BD171B"/>
    <w:rsid w:val="00BD1CA1"/>
    <w:rsid w:val="00BD1DC3"/>
    <w:rsid w:val="00BD2221"/>
    <w:rsid w:val="00BD24FF"/>
    <w:rsid w:val="00BD2E51"/>
    <w:rsid w:val="00BD2EF3"/>
    <w:rsid w:val="00BD31D8"/>
    <w:rsid w:val="00BD4133"/>
    <w:rsid w:val="00BD5C78"/>
    <w:rsid w:val="00BD6843"/>
    <w:rsid w:val="00BD698B"/>
    <w:rsid w:val="00BD6ED2"/>
    <w:rsid w:val="00BE6FC6"/>
    <w:rsid w:val="00BF0797"/>
    <w:rsid w:val="00BF0B06"/>
    <w:rsid w:val="00BF10AC"/>
    <w:rsid w:val="00BF1257"/>
    <w:rsid w:val="00BF130A"/>
    <w:rsid w:val="00BF18DF"/>
    <w:rsid w:val="00BF47E4"/>
    <w:rsid w:val="00BF4B05"/>
    <w:rsid w:val="00C01589"/>
    <w:rsid w:val="00C01653"/>
    <w:rsid w:val="00C06BF2"/>
    <w:rsid w:val="00C06FFB"/>
    <w:rsid w:val="00C123D9"/>
    <w:rsid w:val="00C14D64"/>
    <w:rsid w:val="00C1618C"/>
    <w:rsid w:val="00C21C27"/>
    <w:rsid w:val="00C2439D"/>
    <w:rsid w:val="00C25516"/>
    <w:rsid w:val="00C26B08"/>
    <w:rsid w:val="00C30DDB"/>
    <w:rsid w:val="00C32740"/>
    <w:rsid w:val="00C32E59"/>
    <w:rsid w:val="00C332F6"/>
    <w:rsid w:val="00C3414B"/>
    <w:rsid w:val="00C3457B"/>
    <w:rsid w:val="00C35C3C"/>
    <w:rsid w:val="00C3686D"/>
    <w:rsid w:val="00C37422"/>
    <w:rsid w:val="00C42693"/>
    <w:rsid w:val="00C430EF"/>
    <w:rsid w:val="00C4430F"/>
    <w:rsid w:val="00C44804"/>
    <w:rsid w:val="00C45C68"/>
    <w:rsid w:val="00C46B87"/>
    <w:rsid w:val="00C47F0D"/>
    <w:rsid w:val="00C50CC6"/>
    <w:rsid w:val="00C527DF"/>
    <w:rsid w:val="00C537B9"/>
    <w:rsid w:val="00C5408A"/>
    <w:rsid w:val="00C5533F"/>
    <w:rsid w:val="00C563BD"/>
    <w:rsid w:val="00C57987"/>
    <w:rsid w:val="00C656FF"/>
    <w:rsid w:val="00C67A47"/>
    <w:rsid w:val="00C70B29"/>
    <w:rsid w:val="00C70C1D"/>
    <w:rsid w:val="00C70CD2"/>
    <w:rsid w:val="00C72FB7"/>
    <w:rsid w:val="00C748F1"/>
    <w:rsid w:val="00C7578D"/>
    <w:rsid w:val="00C7690E"/>
    <w:rsid w:val="00C76B45"/>
    <w:rsid w:val="00C8123E"/>
    <w:rsid w:val="00C8276F"/>
    <w:rsid w:val="00C846A7"/>
    <w:rsid w:val="00C8574B"/>
    <w:rsid w:val="00C86BC7"/>
    <w:rsid w:val="00C878F4"/>
    <w:rsid w:val="00C9152D"/>
    <w:rsid w:val="00C91F1E"/>
    <w:rsid w:val="00C93124"/>
    <w:rsid w:val="00C939FB"/>
    <w:rsid w:val="00C9690F"/>
    <w:rsid w:val="00C97543"/>
    <w:rsid w:val="00CA0627"/>
    <w:rsid w:val="00CA0D2C"/>
    <w:rsid w:val="00CA1327"/>
    <w:rsid w:val="00CA2F09"/>
    <w:rsid w:val="00CA3068"/>
    <w:rsid w:val="00CA4345"/>
    <w:rsid w:val="00CA46C0"/>
    <w:rsid w:val="00CA621D"/>
    <w:rsid w:val="00CA75B9"/>
    <w:rsid w:val="00CA7DCC"/>
    <w:rsid w:val="00CB0C9B"/>
    <w:rsid w:val="00CB12F2"/>
    <w:rsid w:val="00CB28EC"/>
    <w:rsid w:val="00CB443D"/>
    <w:rsid w:val="00CB4A82"/>
    <w:rsid w:val="00CB5C56"/>
    <w:rsid w:val="00CB6640"/>
    <w:rsid w:val="00CC145C"/>
    <w:rsid w:val="00CC1982"/>
    <w:rsid w:val="00CC3BFE"/>
    <w:rsid w:val="00CD0E84"/>
    <w:rsid w:val="00CD0EE9"/>
    <w:rsid w:val="00CD1AD7"/>
    <w:rsid w:val="00CD51A0"/>
    <w:rsid w:val="00CD5485"/>
    <w:rsid w:val="00CD656F"/>
    <w:rsid w:val="00CD6BBF"/>
    <w:rsid w:val="00CE2427"/>
    <w:rsid w:val="00CE3C9A"/>
    <w:rsid w:val="00CE4909"/>
    <w:rsid w:val="00CE4B58"/>
    <w:rsid w:val="00CE70DE"/>
    <w:rsid w:val="00CF0863"/>
    <w:rsid w:val="00CF2D6D"/>
    <w:rsid w:val="00CF2F8A"/>
    <w:rsid w:val="00CF47C5"/>
    <w:rsid w:val="00CF4BE0"/>
    <w:rsid w:val="00CF6940"/>
    <w:rsid w:val="00CF6CA5"/>
    <w:rsid w:val="00CF7BD9"/>
    <w:rsid w:val="00CF7DBE"/>
    <w:rsid w:val="00D0249C"/>
    <w:rsid w:val="00D033C4"/>
    <w:rsid w:val="00D03EA9"/>
    <w:rsid w:val="00D047F3"/>
    <w:rsid w:val="00D04AE9"/>
    <w:rsid w:val="00D06085"/>
    <w:rsid w:val="00D07144"/>
    <w:rsid w:val="00D07FC4"/>
    <w:rsid w:val="00D138CA"/>
    <w:rsid w:val="00D14704"/>
    <w:rsid w:val="00D14A68"/>
    <w:rsid w:val="00D16B82"/>
    <w:rsid w:val="00D17801"/>
    <w:rsid w:val="00D21590"/>
    <w:rsid w:val="00D228C1"/>
    <w:rsid w:val="00D22A7B"/>
    <w:rsid w:val="00D22E5C"/>
    <w:rsid w:val="00D22FA5"/>
    <w:rsid w:val="00D24343"/>
    <w:rsid w:val="00D24480"/>
    <w:rsid w:val="00D24926"/>
    <w:rsid w:val="00D24F5E"/>
    <w:rsid w:val="00D25E4C"/>
    <w:rsid w:val="00D3255A"/>
    <w:rsid w:val="00D32B3E"/>
    <w:rsid w:val="00D355BC"/>
    <w:rsid w:val="00D36D1A"/>
    <w:rsid w:val="00D37672"/>
    <w:rsid w:val="00D404C3"/>
    <w:rsid w:val="00D40B87"/>
    <w:rsid w:val="00D5150E"/>
    <w:rsid w:val="00D5263D"/>
    <w:rsid w:val="00D53E69"/>
    <w:rsid w:val="00D54ECB"/>
    <w:rsid w:val="00D5604E"/>
    <w:rsid w:val="00D56A89"/>
    <w:rsid w:val="00D6043F"/>
    <w:rsid w:val="00D6372C"/>
    <w:rsid w:val="00D646CC"/>
    <w:rsid w:val="00D65FDF"/>
    <w:rsid w:val="00D660E1"/>
    <w:rsid w:val="00D66BB2"/>
    <w:rsid w:val="00D70895"/>
    <w:rsid w:val="00D713F4"/>
    <w:rsid w:val="00D72396"/>
    <w:rsid w:val="00D74FFF"/>
    <w:rsid w:val="00D76355"/>
    <w:rsid w:val="00D80EB7"/>
    <w:rsid w:val="00D8158C"/>
    <w:rsid w:val="00D9180F"/>
    <w:rsid w:val="00D943C0"/>
    <w:rsid w:val="00DA0364"/>
    <w:rsid w:val="00DA1144"/>
    <w:rsid w:val="00DA4443"/>
    <w:rsid w:val="00DA5BD6"/>
    <w:rsid w:val="00DA7B76"/>
    <w:rsid w:val="00DB265D"/>
    <w:rsid w:val="00DB29AE"/>
    <w:rsid w:val="00DB3D6D"/>
    <w:rsid w:val="00DB6129"/>
    <w:rsid w:val="00DB7765"/>
    <w:rsid w:val="00DB7C6C"/>
    <w:rsid w:val="00DC1BB0"/>
    <w:rsid w:val="00DC26AC"/>
    <w:rsid w:val="00DC3AA4"/>
    <w:rsid w:val="00DD2FC8"/>
    <w:rsid w:val="00DD4128"/>
    <w:rsid w:val="00DD5399"/>
    <w:rsid w:val="00DD55A7"/>
    <w:rsid w:val="00DD5B41"/>
    <w:rsid w:val="00DD727B"/>
    <w:rsid w:val="00DE10FE"/>
    <w:rsid w:val="00DE181D"/>
    <w:rsid w:val="00DE27F3"/>
    <w:rsid w:val="00DE4BB0"/>
    <w:rsid w:val="00DE6441"/>
    <w:rsid w:val="00DE651F"/>
    <w:rsid w:val="00DE7B16"/>
    <w:rsid w:val="00DF129E"/>
    <w:rsid w:val="00DF17DC"/>
    <w:rsid w:val="00DF2BCA"/>
    <w:rsid w:val="00DF3F17"/>
    <w:rsid w:val="00DF40EE"/>
    <w:rsid w:val="00DF630A"/>
    <w:rsid w:val="00DF63E9"/>
    <w:rsid w:val="00E00675"/>
    <w:rsid w:val="00E01271"/>
    <w:rsid w:val="00E02A95"/>
    <w:rsid w:val="00E041F9"/>
    <w:rsid w:val="00E0661E"/>
    <w:rsid w:val="00E069FF"/>
    <w:rsid w:val="00E07E67"/>
    <w:rsid w:val="00E179B8"/>
    <w:rsid w:val="00E2016A"/>
    <w:rsid w:val="00E20AC6"/>
    <w:rsid w:val="00E22542"/>
    <w:rsid w:val="00E2313A"/>
    <w:rsid w:val="00E242C9"/>
    <w:rsid w:val="00E25D8C"/>
    <w:rsid w:val="00E2706D"/>
    <w:rsid w:val="00E312BE"/>
    <w:rsid w:val="00E32918"/>
    <w:rsid w:val="00E35F68"/>
    <w:rsid w:val="00E366DE"/>
    <w:rsid w:val="00E415C1"/>
    <w:rsid w:val="00E41715"/>
    <w:rsid w:val="00E42342"/>
    <w:rsid w:val="00E444A7"/>
    <w:rsid w:val="00E44D3E"/>
    <w:rsid w:val="00E4606A"/>
    <w:rsid w:val="00E47F2A"/>
    <w:rsid w:val="00E522BC"/>
    <w:rsid w:val="00E52912"/>
    <w:rsid w:val="00E57ACA"/>
    <w:rsid w:val="00E57ED9"/>
    <w:rsid w:val="00E62389"/>
    <w:rsid w:val="00E6324C"/>
    <w:rsid w:val="00E654DF"/>
    <w:rsid w:val="00E666BF"/>
    <w:rsid w:val="00E66F73"/>
    <w:rsid w:val="00E71C84"/>
    <w:rsid w:val="00E7414F"/>
    <w:rsid w:val="00E74594"/>
    <w:rsid w:val="00E76318"/>
    <w:rsid w:val="00E807A4"/>
    <w:rsid w:val="00E80ECF"/>
    <w:rsid w:val="00E86F36"/>
    <w:rsid w:val="00E87025"/>
    <w:rsid w:val="00E87EAB"/>
    <w:rsid w:val="00E903FA"/>
    <w:rsid w:val="00E907FE"/>
    <w:rsid w:val="00E976B9"/>
    <w:rsid w:val="00EA1DA9"/>
    <w:rsid w:val="00EA25D0"/>
    <w:rsid w:val="00EA376C"/>
    <w:rsid w:val="00EA4333"/>
    <w:rsid w:val="00EA4C32"/>
    <w:rsid w:val="00EA5843"/>
    <w:rsid w:val="00EA5B37"/>
    <w:rsid w:val="00EA5B5E"/>
    <w:rsid w:val="00EA6E34"/>
    <w:rsid w:val="00EA754F"/>
    <w:rsid w:val="00EB20F3"/>
    <w:rsid w:val="00EB2A6D"/>
    <w:rsid w:val="00EB35CE"/>
    <w:rsid w:val="00EB4474"/>
    <w:rsid w:val="00EB5100"/>
    <w:rsid w:val="00EC2295"/>
    <w:rsid w:val="00EC3F59"/>
    <w:rsid w:val="00EC7970"/>
    <w:rsid w:val="00ED11F3"/>
    <w:rsid w:val="00ED30A0"/>
    <w:rsid w:val="00ED4937"/>
    <w:rsid w:val="00ED4ACA"/>
    <w:rsid w:val="00ED6F74"/>
    <w:rsid w:val="00ED7829"/>
    <w:rsid w:val="00EE08E7"/>
    <w:rsid w:val="00EE134A"/>
    <w:rsid w:val="00EE3A70"/>
    <w:rsid w:val="00EE45E2"/>
    <w:rsid w:val="00EF1CA0"/>
    <w:rsid w:val="00EF20D8"/>
    <w:rsid w:val="00EF2B39"/>
    <w:rsid w:val="00EF2B6A"/>
    <w:rsid w:val="00EF4906"/>
    <w:rsid w:val="00EF54BF"/>
    <w:rsid w:val="00EF7B6A"/>
    <w:rsid w:val="00EF7DAF"/>
    <w:rsid w:val="00EF7EF5"/>
    <w:rsid w:val="00F0005E"/>
    <w:rsid w:val="00F028D8"/>
    <w:rsid w:val="00F03877"/>
    <w:rsid w:val="00F04301"/>
    <w:rsid w:val="00F060D9"/>
    <w:rsid w:val="00F0783E"/>
    <w:rsid w:val="00F10804"/>
    <w:rsid w:val="00F1093D"/>
    <w:rsid w:val="00F1261E"/>
    <w:rsid w:val="00F13363"/>
    <w:rsid w:val="00F14D1F"/>
    <w:rsid w:val="00F16C21"/>
    <w:rsid w:val="00F17D7C"/>
    <w:rsid w:val="00F23240"/>
    <w:rsid w:val="00F237D2"/>
    <w:rsid w:val="00F240AB"/>
    <w:rsid w:val="00F26208"/>
    <w:rsid w:val="00F33E16"/>
    <w:rsid w:val="00F3558F"/>
    <w:rsid w:val="00F36D0E"/>
    <w:rsid w:val="00F42CEB"/>
    <w:rsid w:val="00F45BD1"/>
    <w:rsid w:val="00F4730D"/>
    <w:rsid w:val="00F47500"/>
    <w:rsid w:val="00F475C1"/>
    <w:rsid w:val="00F476EC"/>
    <w:rsid w:val="00F47780"/>
    <w:rsid w:val="00F5066C"/>
    <w:rsid w:val="00F52733"/>
    <w:rsid w:val="00F53F4D"/>
    <w:rsid w:val="00F5411B"/>
    <w:rsid w:val="00F57115"/>
    <w:rsid w:val="00F5744C"/>
    <w:rsid w:val="00F57AA2"/>
    <w:rsid w:val="00F57D06"/>
    <w:rsid w:val="00F624C5"/>
    <w:rsid w:val="00F6332A"/>
    <w:rsid w:val="00F63F0C"/>
    <w:rsid w:val="00F645D7"/>
    <w:rsid w:val="00F6652B"/>
    <w:rsid w:val="00F66855"/>
    <w:rsid w:val="00F70333"/>
    <w:rsid w:val="00F70CD4"/>
    <w:rsid w:val="00F74966"/>
    <w:rsid w:val="00F750F9"/>
    <w:rsid w:val="00F757D6"/>
    <w:rsid w:val="00F759A4"/>
    <w:rsid w:val="00F760D1"/>
    <w:rsid w:val="00F76243"/>
    <w:rsid w:val="00F7759E"/>
    <w:rsid w:val="00F8107E"/>
    <w:rsid w:val="00F810C6"/>
    <w:rsid w:val="00F816C6"/>
    <w:rsid w:val="00F82317"/>
    <w:rsid w:val="00F8535C"/>
    <w:rsid w:val="00F86F3E"/>
    <w:rsid w:val="00F87712"/>
    <w:rsid w:val="00F901D1"/>
    <w:rsid w:val="00F91BB1"/>
    <w:rsid w:val="00F9318A"/>
    <w:rsid w:val="00F9370D"/>
    <w:rsid w:val="00F93BCF"/>
    <w:rsid w:val="00FA09E0"/>
    <w:rsid w:val="00FA15AD"/>
    <w:rsid w:val="00FA1E28"/>
    <w:rsid w:val="00FA54F1"/>
    <w:rsid w:val="00FB0185"/>
    <w:rsid w:val="00FB0DA7"/>
    <w:rsid w:val="00FB1318"/>
    <w:rsid w:val="00FB14B4"/>
    <w:rsid w:val="00FB1718"/>
    <w:rsid w:val="00FB3883"/>
    <w:rsid w:val="00FB3CCB"/>
    <w:rsid w:val="00FB4E14"/>
    <w:rsid w:val="00FB5F37"/>
    <w:rsid w:val="00FB661C"/>
    <w:rsid w:val="00FB75A5"/>
    <w:rsid w:val="00FB7EEF"/>
    <w:rsid w:val="00FC08EE"/>
    <w:rsid w:val="00FC3076"/>
    <w:rsid w:val="00FC363A"/>
    <w:rsid w:val="00FC3923"/>
    <w:rsid w:val="00FC39BF"/>
    <w:rsid w:val="00FC6B68"/>
    <w:rsid w:val="00FC6D62"/>
    <w:rsid w:val="00FC6F0F"/>
    <w:rsid w:val="00FC7048"/>
    <w:rsid w:val="00FD0C9C"/>
    <w:rsid w:val="00FD0EA9"/>
    <w:rsid w:val="00FD141C"/>
    <w:rsid w:val="00FD47CE"/>
    <w:rsid w:val="00FD5169"/>
    <w:rsid w:val="00FD52E3"/>
    <w:rsid w:val="00FD66E1"/>
    <w:rsid w:val="00FD6C21"/>
    <w:rsid w:val="00FD702C"/>
    <w:rsid w:val="00FE28FD"/>
    <w:rsid w:val="00FE4C0D"/>
    <w:rsid w:val="00FE7048"/>
    <w:rsid w:val="00FE7051"/>
    <w:rsid w:val="00FE7E98"/>
    <w:rsid w:val="00FF273A"/>
    <w:rsid w:val="00FF2771"/>
    <w:rsid w:val="00FF2C29"/>
    <w:rsid w:val="00FF30AF"/>
    <w:rsid w:val="00FF3AE6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3D3A1"/>
  <w15:docId w15:val="{297F2671-9B59-437A-9EF5-45AA2929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1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18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441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DE6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441"/>
    <w:rPr>
      <w:rFonts w:ascii="Garamond" w:hAnsi="Garamond"/>
    </w:rPr>
  </w:style>
  <w:style w:type="character" w:styleId="Strong">
    <w:name w:val="Strong"/>
    <w:basedOn w:val="DefaultParagraphFont"/>
    <w:uiPriority w:val="22"/>
    <w:qFormat/>
    <w:rsid w:val="00406650"/>
    <w:rPr>
      <w:b/>
      <w:bCs/>
    </w:rPr>
  </w:style>
  <w:style w:type="character" w:customStyle="1" w:styleId="fw600">
    <w:name w:val="fw(600)"/>
    <w:basedOn w:val="DefaultParagraphFont"/>
    <w:rsid w:val="0051113D"/>
  </w:style>
  <w:style w:type="paragraph" w:customStyle="1" w:styleId="businesssummary">
    <w:name w:val="businesssummary"/>
    <w:basedOn w:val="Normal"/>
    <w:rsid w:val="00DD5B41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F18D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PlainTable1">
    <w:name w:val="Plain Table 1"/>
    <w:basedOn w:val="TableNormal"/>
    <w:uiPriority w:val="41"/>
    <w:rsid w:val="0023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31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31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31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3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84776"/>
    <w:pPr>
      <w:ind w:left="720"/>
      <w:contextualSpacing/>
    </w:pPr>
  </w:style>
  <w:style w:type="table" w:styleId="TableGrid">
    <w:name w:val="Table Grid"/>
    <w:basedOn w:val="TableNormal"/>
    <w:uiPriority w:val="59"/>
    <w:rsid w:val="00293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76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67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D4937"/>
    <w:pPr>
      <w:spacing w:after="0" w:line="240" w:lineRule="auto"/>
    </w:pPr>
    <w:rPr>
      <w:rFonts w:ascii="Garamond" w:hAnsi="Garamond"/>
    </w:rPr>
  </w:style>
  <w:style w:type="character" w:customStyle="1" w:styleId="Heading1Char">
    <w:name w:val="Heading 1 Char"/>
    <w:basedOn w:val="DefaultParagraphFont"/>
    <w:link w:val="Heading1"/>
    <w:uiPriority w:val="9"/>
    <w:rsid w:val="003D31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866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7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rgesmacbookpro/Desktop/SCHOOL%20SPRING%202020/ManagerialFin/Project%205/CapX18057271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rgesmacbookpro/Desktop/SCHOOL%20SPRING%202020/ManagerialFin/Project%205/CapX18057271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orgesmacbookpro/Desktop/SCHOOL%20SPRING%202020/ManagerialFin/Project%205/CapX18057271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en-US"/>
              <a:t>Figure</a:t>
            </a:r>
            <a:r>
              <a:rPr lang="en-US" baseline="0"/>
              <a:t> 1 - </a:t>
            </a:r>
            <a:r>
              <a:rPr lang="en-US"/>
              <a:t>NPV and IRR/MIRR plot for capital balacing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CapXBase!$C$20:$L$20</c:f>
              <c:numCache>
                <c:formatCode>"$"#,##0_);[Red]\("$"#,##0\)</c:formatCode>
                <c:ptCount val="10"/>
                <c:pt idx="0">
                  <c:v>-1434457.8344741506</c:v>
                </c:pt>
                <c:pt idx="1">
                  <c:v>-1221919.5455426704</c:v>
                </c:pt>
                <c:pt idx="2">
                  <c:v>-1020087.5651470113</c:v>
                </c:pt>
                <c:pt idx="3">
                  <c:v>-828571.11234571133</c:v>
                </c:pt>
                <c:pt idx="4">
                  <c:v>-646976.39544740005</c:v>
                </c:pt>
                <c:pt idx="5">
                  <c:v>-474909.02386404737</c:v>
                </c:pt>
                <c:pt idx="6">
                  <c:v>-311976.77014671941</c:v>
                </c:pt>
                <c:pt idx="7">
                  <c:v>-157791.5478547893</c:v>
                </c:pt>
                <c:pt idx="8">
                  <c:v>-11970.809221098199</c:v>
                </c:pt>
                <c:pt idx="9">
                  <c:v>125860.74324661773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3B-C34D-8EBC-89BBDB8B9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2524271"/>
        <c:axId val="492477775"/>
      </c:lineChart>
      <c:lineChart>
        <c:grouping val="standard"/>
        <c:varyColors val="0"/>
        <c:ser>
          <c:idx val="1"/>
          <c:order val="1"/>
          <c:tx>
            <c:v>IRR</c:v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CapXBase!$C$21:$L$21</c:f>
              <c:numCache>
                <c:formatCode>0%</c:formatCode>
                <c:ptCount val="10"/>
                <c:pt idx="0">
                  <c:v>-0.85390687455024983</c:v>
                </c:pt>
                <c:pt idx="1">
                  <c:v>-0.53231997568316625</c:v>
                </c:pt>
                <c:pt idx="2">
                  <c:v>-0.31043860890137231</c:v>
                </c:pt>
                <c:pt idx="3">
                  <c:v>-0.17001200168372987</c:v>
                </c:pt>
                <c:pt idx="4">
                  <c:v>-7.8593885995801083E-2</c:v>
                </c:pt>
                <c:pt idx="5">
                  <c:v>-1.6683276161324812E-2</c:v>
                </c:pt>
                <c:pt idx="6">
                  <c:v>2.6770386248843758E-2</c:v>
                </c:pt>
                <c:pt idx="7">
                  <c:v>5.8202010800985304E-2</c:v>
                </c:pt>
                <c:pt idx="8">
                  <c:v>8.1513651589913305E-2</c:v>
                </c:pt>
                <c:pt idx="9">
                  <c:v>9.9166803997011499E-2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3B-C34D-8EBC-89BBDB8B9632}"/>
            </c:ext>
          </c:extLst>
        </c:ser>
        <c:ser>
          <c:idx val="2"/>
          <c:order val="2"/>
          <c:tx>
            <c:v>MIRR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CapXBase!$C$22:$L$22</c:f>
              <c:numCache>
                <c:formatCode>0%</c:formatCode>
                <c:ptCount val="10"/>
                <c:pt idx="0">
                  <c:v>-0.85390687455024983</c:v>
                </c:pt>
                <c:pt idx="1">
                  <c:v>-0.44443916429494223</c:v>
                </c:pt>
                <c:pt idx="2">
                  <c:v>-0.21214497150337253</c:v>
                </c:pt>
                <c:pt idx="3">
                  <c:v>-8.901127921428087E-2</c:v>
                </c:pt>
                <c:pt idx="4">
                  <c:v>-1.8823988895292909E-2</c:v>
                </c:pt>
                <c:pt idx="5">
                  <c:v>2.3958711374724384E-2</c:v>
                </c:pt>
                <c:pt idx="6">
                  <c:v>5.1420080501237919E-2</c:v>
                </c:pt>
                <c:pt idx="7">
                  <c:v>6.9743943026143729E-2</c:v>
                </c:pt>
                <c:pt idx="8">
                  <c:v>8.2328274021081338E-2</c:v>
                </c:pt>
                <c:pt idx="9">
                  <c:v>9.1154210315299133E-2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3B-C34D-8EBC-89BBDB8B9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5755103"/>
        <c:axId val="531285151"/>
      </c:lineChart>
      <c:catAx>
        <c:axId val="4925242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492477775"/>
        <c:crosses val="autoZero"/>
        <c:auto val="1"/>
        <c:lblAlgn val="ctr"/>
        <c:lblOffset val="100"/>
        <c:noMultiLvlLbl val="0"/>
      </c:catAx>
      <c:valAx>
        <c:axId val="49247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/>
                  <a:t>NPV in Dollars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492524271"/>
        <c:crosses val="autoZero"/>
        <c:crossBetween val="between"/>
      </c:valAx>
      <c:valAx>
        <c:axId val="53128515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/>
                  <a:t>Percent Return (IRR &amp; MIRR)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475755103"/>
        <c:crosses val="max"/>
        <c:crossBetween val="between"/>
      </c:valAx>
      <c:catAx>
        <c:axId val="475755103"/>
        <c:scaling>
          <c:orientation val="minMax"/>
        </c:scaling>
        <c:delete val="1"/>
        <c:axPos val="b"/>
        <c:majorTickMark val="out"/>
        <c:minorTickMark val="none"/>
        <c:tickLblPos val="nextTo"/>
        <c:crossAx val="53128515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Garamond" panose="02020404030301010803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en-US"/>
              <a:t>Figure 2 - NPV and IRR/MIRR plot for capacity balacing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CapBal!$C$23:$L$23</c:f>
              <c:numCache>
                <c:formatCode>"$"#,##0_);[Red]\("$"#,##0\)</c:formatCode>
                <c:ptCount val="10"/>
                <c:pt idx="0">
                  <c:v>-1198473.5824972517</c:v>
                </c:pt>
                <c:pt idx="1">
                  <c:v>-994072.12443307182</c:v>
                </c:pt>
                <c:pt idx="2">
                  <c:v>-799751.98937280814</c:v>
                </c:pt>
                <c:pt idx="3">
                  <c:v>-615170.40117213165</c:v>
                </c:pt>
                <c:pt idx="4">
                  <c:v>-604136.89701593039</c:v>
                </c:pt>
                <c:pt idx="5">
                  <c:v>-432069.52543257782</c:v>
                </c:pt>
                <c:pt idx="6">
                  <c:v>-269137.27171524963</c:v>
                </c:pt>
                <c:pt idx="7">
                  <c:v>-114952.04942331952</c:v>
                </c:pt>
                <c:pt idx="8">
                  <c:v>30868.68921037158</c:v>
                </c:pt>
                <c:pt idx="9">
                  <c:v>223741.89560680347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0B-7F4D-99D1-2FF03C79F8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575743"/>
        <c:axId val="558095839"/>
      </c:lineChart>
      <c:lineChart>
        <c:grouping val="standard"/>
        <c:varyColors val="0"/>
        <c:ser>
          <c:idx val="1"/>
          <c:order val="1"/>
          <c:tx>
            <c:v>IRR</c:v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CapBal!$C$24:$L$24</c:f>
              <c:numCache>
                <c:formatCode>0%</c:formatCode>
                <c:ptCount val="10"/>
                <c:pt idx="0">
                  <c:v>-0.8353571006798115</c:v>
                </c:pt>
                <c:pt idx="1">
                  <c:v>-0.49759245882699188</c:v>
                </c:pt>
                <c:pt idx="2">
                  <c:v>-0.27224040287593709</c:v>
                </c:pt>
                <c:pt idx="3">
                  <c:v>-0.1323614061943631</c:v>
                </c:pt>
                <c:pt idx="4">
                  <c:v>-0.12497283658545721</c:v>
                </c:pt>
                <c:pt idx="5">
                  <c:v>-3.1615626293443833E-2</c:v>
                </c:pt>
                <c:pt idx="6">
                  <c:v>2.4175790030540156E-2</c:v>
                </c:pt>
                <c:pt idx="7">
                  <c:v>6.1655438582817634E-2</c:v>
                </c:pt>
                <c:pt idx="8">
                  <c:v>8.8260884027299369E-2</c:v>
                </c:pt>
                <c:pt idx="9">
                  <c:v>0.11456811120221189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0B-7F4D-99D1-2FF03C79F8A3}"/>
            </c:ext>
          </c:extLst>
        </c:ser>
        <c:ser>
          <c:idx val="2"/>
          <c:order val="2"/>
          <c:tx>
            <c:v>MIRR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CapBal!$C$25:$L$25</c:f>
              <c:numCache>
                <c:formatCode>0%</c:formatCode>
                <c:ptCount val="10"/>
                <c:pt idx="0">
                  <c:v>-0.8353571006798115</c:v>
                </c:pt>
                <c:pt idx="1">
                  <c:v>-0.4100536534971293</c:v>
                </c:pt>
                <c:pt idx="2">
                  <c:v>-0.17981484443140083</c:v>
                </c:pt>
                <c:pt idx="3">
                  <c:v>-6.0995311909826766E-2</c:v>
                </c:pt>
                <c:pt idx="4">
                  <c:v>-3.1123357926557293E-2</c:v>
                </c:pt>
                <c:pt idx="5">
                  <c:v>1.9290195013664801E-2</c:v>
                </c:pt>
                <c:pt idx="6">
                  <c:v>5.0997989500567886E-2</c:v>
                </c:pt>
                <c:pt idx="7">
                  <c:v>7.1773971804196757E-2</c:v>
                </c:pt>
                <c:pt idx="8">
                  <c:v>8.5803601556232234E-2</c:v>
                </c:pt>
                <c:pt idx="9">
                  <c:v>9.923675486782213E-2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70B-7F4D-99D1-2FF03C79F8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505455"/>
        <c:axId val="487892415"/>
      </c:lineChart>
      <c:catAx>
        <c:axId val="558575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558095839"/>
        <c:crosses val="autoZero"/>
        <c:auto val="1"/>
        <c:lblAlgn val="ctr"/>
        <c:lblOffset val="100"/>
        <c:noMultiLvlLbl val="0"/>
      </c:catAx>
      <c:valAx>
        <c:axId val="55809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/>
                  <a:t>NPV in Dollars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558575743"/>
        <c:crosses val="autoZero"/>
        <c:crossBetween val="between"/>
      </c:valAx>
      <c:valAx>
        <c:axId val="48789241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1100" b="0" i="0" u="none" strike="noStrike" kern="1200" baseline="0">
                    <a:solidFill>
                      <a:schemeClr val="tx1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/>
                  <a:t>Percent Return (IRR &amp; MIRR)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sz="1100" b="0" i="0" u="none" strike="noStrike" kern="1200" baseline="0">
                  <a:solidFill>
                    <a:schemeClr val="tx1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571505455"/>
        <c:crosses val="max"/>
        <c:crossBetween val="between"/>
      </c:valAx>
      <c:catAx>
        <c:axId val="571505455"/>
        <c:scaling>
          <c:orientation val="minMax"/>
        </c:scaling>
        <c:delete val="1"/>
        <c:axPos val="b"/>
        <c:majorTickMark val="out"/>
        <c:minorTickMark val="none"/>
        <c:tickLblPos val="nextTo"/>
        <c:crossAx val="48789241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Garamond" panose="02020404030301010803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r>
              <a:rPr lang="en-US"/>
              <a:t>Figure 3 - NPV and IRR/MIRR plot for demand balancing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NPV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DmndBal!$C$23:$L$23</c:f>
              <c:numCache>
                <c:formatCode>"$"#,##0_);[Red]\("$"#,##0\)</c:formatCode>
                <c:ptCount val="10"/>
                <c:pt idx="0">
                  <c:v>-1148111.8330940844</c:v>
                </c:pt>
                <c:pt idx="1">
                  <c:v>-890583.21344196971</c:v>
                </c:pt>
                <c:pt idx="2">
                  <c:v>-643643.80857550318</c:v>
                </c:pt>
                <c:pt idx="3">
                  <c:v>-407186.25446777756</c:v>
                </c:pt>
                <c:pt idx="4">
                  <c:v>-345564.14539058064</c:v>
                </c:pt>
                <c:pt idx="5">
                  <c:v>-129572.16167087038</c:v>
                </c:pt>
                <c:pt idx="6">
                  <c:v>76506.081162330694</c:v>
                </c:pt>
                <c:pt idx="7">
                  <c:v>272919.07812212617</c:v>
                </c:pt>
                <c:pt idx="8">
                  <c:v>459935.94029633328</c:v>
                </c:pt>
                <c:pt idx="9">
                  <c:v>692999.56060984172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82-7046-8D64-E6A15912B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714559"/>
        <c:axId val="112426671"/>
      </c:lineChart>
      <c:lineChart>
        <c:grouping val="standard"/>
        <c:varyColors val="0"/>
        <c:ser>
          <c:idx val="1"/>
          <c:order val="1"/>
          <c:tx>
            <c:v>IRR</c:v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DmndBal!$C$24:$L$24</c:f>
              <c:numCache>
                <c:formatCode>0%</c:formatCode>
                <c:ptCount val="10"/>
                <c:pt idx="0">
                  <c:v>-0.7948978639561125</c:v>
                </c:pt>
                <c:pt idx="1">
                  <c:v>-0.42430325098533173</c:v>
                </c:pt>
                <c:pt idx="2">
                  <c:v>-0.19173495013797515</c:v>
                </c:pt>
                <c:pt idx="3">
                  <c:v>-5.2569336832769209E-2</c:v>
                </c:pt>
                <c:pt idx="4">
                  <c:v>-2.4342706800027147E-2</c:v>
                </c:pt>
                <c:pt idx="5">
                  <c:v>5.1298918948771144E-2</c:v>
                </c:pt>
                <c:pt idx="6">
                  <c:v>9.8861004737895497E-2</c:v>
                </c:pt>
                <c:pt idx="7">
                  <c:v>0.1310731215367491</c:v>
                </c:pt>
                <c:pt idx="8">
                  <c:v>0.15383993309435096</c:v>
                </c:pt>
                <c:pt idx="9">
                  <c:v>0.17499302769947755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82-7046-8D64-E6A15912BCB3}"/>
            </c:ext>
          </c:extLst>
        </c:ser>
        <c:ser>
          <c:idx val="2"/>
          <c:order val="2"/>
          <c:tx>
            <c:v>MIRR</c:v>
          </c:tx>
          <c:spPr>
            <a:ln w="28575" cap="rnd">
              <a:solidFill>
                <a:schemeClr val="accent3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DmndBal!$C$25:$L$25</c:f>
              <c:numCache>
                <c:formatCode>0%</c:formatCode>
                <c:ptCount val="10"/>
                <c:pt idx="0">
                  <c:v>-0.7948978639561125</c:v>
                </c:pt>
                <c:pt idx="1">
                  <c:v>-0.34006307297411631</c:v>
                </c:pt>
                <c:pt idx="2">
                  <c:v>-0.11491662711324913</c:v>
                </c:pt>
                <c:pt idx="3">
                  <c:v>-4.8138342145370716E-3</c:v>
                </c:pt>
                <c:pt idx="4">
                  <c:v>2.4268284283638142E-2</c:v>
                </c:pt>
                <c:pt idx="5">
                  <c:v>6.6016194008771789E-2</c:v>
                </c:pt>
                <c:pt idx="6">
                  <c:v>9.1371756261962478E-2</c:v>
                </c:pt>
                <c:pt idx="7">
                  <c:v>0.10732498539756907</c:v>
                </c:pt>
                <c:pt idx="8">
                  <c:v>0.11758107925152217</c:v>
                </c:pt>
                <c:pt idx="9">
                  <c:v>0.12721595476695313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82-7046-8D64-E6A15912B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260815"/>
        <c:axId val="175800815"/>
      </c:lineChart>
      <c:catAx>
        <c:axId val="106714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12426671"/>
        <c:crosses val="autoZero"/>
        <c:auto val="1"/>
        <c:lblAlgn val="ctr"/>
        <c:lblOffset val="100"/>
        <c:noMultiLvlLbl val="0"/>
      </c:catAx>
      <c:valAx>
        <c:axId val="11242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/>
                  <a:t>NPV in Dollars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06714559"/>
        <c:crosses val="autoZero"/>
        <c:crossBetween val="between"/>
      </c:valAx>
      <c:valAx>
        <c:axId val="17580081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 algn="ctr" rtl="0">
                  <a:defRPr sz="1100" b="0" i="0" u="none" strike="noStrike" kern="1200" baseline="0">
                    <a:solidFill>
                      <a:schemeClr val="tx1"/>
                    </a:solidFill>
                    <a:latin typeface="Garamond" panose="02020404030301010803" pitchFamily="18" charset="0"/>
                    <a:ea typeface="+mn-ea"/>
                    <a:cs typeface="+mn-cs"/>
                  </a:defRPr>
                </a:pPr>
                <a:r>
                  <a:rPr lang="en-US"/>
                  <a:t>Percent Return (IRR &amp; MIRR)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algn="ctr" rtl="0">
                <a:defRPr sz="1100" b="0" i="0" u="none" strike="noStrike" kern="1200" baseline="0">
                  <a:solidFill>
                    <a:schemeClr val="tx1"/>
                  </a:solidFill>
                  <a:latin typeface="Garamond" panose="02020404030301010803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Garamond" panose="02020404030301010803" pitchFamily="18" charset="0"/>
                <a:ea typeface="+mn-ea"/>
                <a:cs typeface="+mn-cs"/>
              </a:defRPr>
            </a:pPr>
            <a:endParaRPr lang="en-US"/>
          </a:p>
        </c:txPr>
        <c:crossAx val="175260815"/>
        <c:crosses val="max"/>
        <c:crossBetween val="between"/>
      </c:valAx>
      <c:catAx>
        <c:axId val="175260815"/>
        <c:scaling>
          <c:orientation val="minMax"/>
        </c:scaling>
        <c:delete val="1"/>
        <c:axPos val="b"/>
        <c:majorTickMark val="out"/>
        <c:minorTickMark val="none"/>
        <c:tickLblPos val="nextTo"/>
        <c:crossAx val="17580081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Garamond" panose="02020404030301010803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Garamond" panose="02020404030301010803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9225A-4C77-DF48-9E9C-015B6AD2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8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Upson, James E</dc:creator>
  <cp:lastModifiedBy>Ruiz Ramos, Jorge A</cp:lastModifiedBy>
  <cp:revision>1383</cp:revision>
  <dcterms:created xsi:type="dcterms:W3CDTF">2020-02-05T19:29:00Z</dcterms:created>
  <dcterms:modified xsi:type="dcterms:W3CDTF">2020-04-21T21:50:00Z</dcterms:modified>
</cp:coreProperties>
</file>