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8"/>
        </w:rPr>
        <w:t>UNIVERSIDAD CENTRAL DEL ESTE</w:t>
        <w:br/>
      </w:r>
      <w:r>
        <w:rPr>
          <w:rFonts w:ascii="Arial" w:hAnsi="Arial"/>
          <w:b/>
          <w:sz w:val="24"/>
        </w:rPr>
        <w:t>FACULTAD DE CIENCIAS DE LA SALUD</w:t>
        <w:br/>
        <w:t>ESCUELA DE MEDICINA</w:t>
        <w:br/>
      </w:r>
      <w:r>
        <w:rPr>
          <w:rFonts w:ascii="Arial" w:hAnsi="Arial"/>
          <w:i/>
          <w:sz w:val="22"/>
        </w:rPr>
        <w:t>Planificación Académica Semestral (Pensum 36)</w:t>
        <w:br/>
        <w:t>Periodo: MAYO-AGOSTO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Asignatura: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Propedéutica Clínica y Semiología Médica (MED-228-T-1)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Docente: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Dr. Angel Augusto Tusen Madrigal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Créditos / Horas: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3 Créditos (Teoría: 2h/semana | Práctica: 3h/semana)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Requisito: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MED-224 (Propedéutica I)</w:t>
            </w:r>
          </w:p>
        </w:tc>
      </w:tr>
    </w:tbl>
    <w:p/>
    <w:p>
      <w:r>
        <w:rPr>
          <w:rFonts w:ascii="Arial" w:hAnsi="Arial"/>
          <w:b/>
          <w:color w:val="003366"/>
          <w:sz w:val="24"/>
        </w:rPr>
        <w:t>I. CRONOGRAMA ACADÉMICO Y DISTRIBUCIÓN DE CONTENIDOS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6" w:space="0" w:color="002244"/>
              <w:left w:val="single" w:sz="6" w:space="0" w:color="002244"/>
              <w:bottom w:val="single" w:sz="6" w:space="0" w:color="002244"/>
              <w:right w:val="single" w:sz="6" w:space="0" w:color="00224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Semana y Fechas</w:t>
            </w:r>
          </w:p>
        </w:tc>
        <w:tc>
          <w:tcPr>
            <w:tcW w:type="dxa" w:w="158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6" w:space="0" w:color="002244"/>
              <w:left w:val="single" w:sz="6" w:space="0" w:color="002244"/>
              <w:bottom w:val="single" w:sz="6" w:space="0" w:color="002244"/>
              <w:right w:val="single" w:sz="6" w:space="0" w:color="00224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Unidad / Tema</w:t>
            </w:r>
          </w:p>
        </w:tc>
        <w:tc>
          <w:tcPr>
            <w:tcW w:type="dxa" w:w="201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6" w:space="0" w:color="002244"/>
              <w:left w:val="single" w:sz="6" w:space="0" w:color="002244"/>
              <w:bottom w:val="single" w:sz="6" w:space="0" w:color="002244"/>
              <w:right w:val="single" w:sz="6" w:space="0" w:color="00224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Contenidos Específicos</w:t>
            </w:r>
          </w:p>
        </w:tc>
        <w:tc>
          <w:tcPr>
            <w:tcW w:type="dxa" w:w="86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6" w:space="0" w:color="002244"/>
              <w:left w:val="single" w:sz="6" w:space="0" w:color="002244"/>
              <w:bottom w:val="single" w:sz="6" w:space="0" w:color="002244"/>
              <w:right w:val="single" w:sz="6" w:space="0" w:color="00224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CGs</w:t>
            </w:r>
          </w:p>
        </w:tc>
        <w:tc>
          <w:tcPr>
            <w:tcW w:type="dxa" w:w="158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6" w:space="0" w:color="002244"/>
              <w:left w:val="single" w:sz="6" w:space="0" w:color="002244"/>
              <w:bottom w:val="single" w:sz="6" w:space="0" w:color="002244"/>
              <w:right w:val="single" w:sz="6" w:space="0" w:color="00224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Estrategia Enseñanza</w:t>
            </w:r>
          </w:p>
        </w:tc>
        <w:tc>
          <w:tcPr>
            <w:tcW w:type="dxa" w:w="158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6" w:space="0" w:color="002244"/>
              <w:left w:val="single" w:sz="6" w:space="0" w:color="002244"/>
              <w:bottom w:val="single" w:sz="6" w:space="0" w:color="002244"/>
              <w:right w:val="single" w:sz="6" w:space="0" w:color="00224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Evaluación / Evidencia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6" w:space="0" w:color="002244"/>
              <w:left w:val="single" w:sz="6" w:space="0" w:color="002244"/>
              <w:bottom w:val="single" w:sz="6" w:space="0" w:color="002244"/>
              <w:right w:val="single" w:sz="6" w:space="0" w:color="00224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Bibliografía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1</w:t>
              <w:br/>
              <w:t>(04/05 - 09/05)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Introducción a la Semiología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Signos, síntomas, síndrome, signo patognomónico, propedéutica y método clínico.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CG6, CG2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Clase magistral interactiva, discusión socrática del rol del médico.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Participación activa, quiz formativo inicial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Argente-Álvarez Cap. 1</w:t>
              <w:br/>
              <w:t>Llanio Cap. 1</w:t>
            </w:r>
          </w:p>
        </w:tc>
      </w:tr>
      <w:tr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2</w:t>
              <w:br/>
              <w:t>(11/05 - 16/05)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La Historia Clínica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Estructura general, anamnesis, motivo de consulta e Historia de la Enfermedad Actual (HEA).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CG6, CG2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Taller de redacción de HEA, análisis de casos narrativos.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Práctica de redacción de HEA evaluada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Bickley Cap. 1</w:t>
              <w:br/>
              <w:t>Argente-Álvarez Cap. 2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3</w:t>
              <w:br/>
              <w:t>(18/05 - 23/05)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Anamnesis Sistemática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Antecedentes personales (patológicos y no patológicos). Revisión por sistemas y aparatos.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CG6, CG1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Juego de rol médico-paciente enfocado en ética y privacidad.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Retroalimentación socrática de interrogatorio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Bickley Cap. 2</w:t>
              <w:br/>
              <w:t>Surós Cap. 1</w:t>
            </w:r>
          </w:p>
        </w:tc>
      </w:tr>
      <w:tr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4</w:t>
              <w:br/>
              <w:t>(25/05 - 30/05)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Métodos de Exploración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Examen físico general: Técnicas de Inspección, Palpación, Percusión y Auscultación (IPPA).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CG8, CG6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Demostración práctica de maniobras básicas de percusión y tacto.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Lista de cotejo formativa en destrezas de exploración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Argente-Álvarez Cap. 4</w:t>
              <w:br/>
              <w:t>Llanio Cap. 2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5</w:t>
              <w:br/>
              <w:t>(01/06 - 06/06)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Semiología de Cabeza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Exploración de cráneo, ojos (fondo de ojo básico), nariz, oídos y cavidad bucal.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CG8, CG6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Práctica en laboratorio con otoscopios y oftalmoscopios.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Simulación clínica formativa (Cabeza)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Bickley Cap. 7</w:t>
              <w:br/>
              <w:t>Surós Cap. 3</w:t>
            </w:r>
          </w:p>
        </w:tc>
      </w:tr>
      <w:tr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6</w:t>
              <w:br/>
              <w:t>(08/06 - 13/06)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Semiología de Cuello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Exploración física de cuello: glándula tiroides, adenopatías y pulsos carotídeos.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CG8, CG6</w:t>
              <w:br/>
              <w:t>CG1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Evaluación sumativa práctica y teórica. Maniobra de Quervain.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B40000"/>
                <w:sz w:val="17"/>
              </w:rPr>
              <w:t>PRIMER EXAMEN PARCIAL (30%)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Llanio Cap. 5</w:t>
              <w:br/>
              <w:t>Bickley Cap. 8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7</w:t>
              <w:br/>
              <w:t>(15/06 - 20/06)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Semiología del Aparato Respiratorio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Examen pulmonar anterior y posterior. Líneas de referencia, ruidos respiratorios normales.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CG8, CG6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Práctica clínica guiada de auscultación simétrica pulmonar.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Registro de hallazgos en portafolio de auscultación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Llanio Cap. 6</w:t>
              <w:br/>
              <w:t>Bickley Cap. 9</w:t>
            </w:r>
          </w:p>
        </w:tc>
      </w:tr>
      <w:tr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8</w:t>
              <w:br/>
              <w:t>(22/06 - 27/06)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Síndromes Pulmonares y Cardiovasculares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Semiología del derrame pleural, neumotórax y condensación. Focos de auscultación cardíaca y soplos.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CG8, CG6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Discusión de casos de síndromes pleuropulmonares (Argente).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Cuestionario interactivo clínico (Flashcards/Quiz)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Argente-Álvarez Cap. 12</w:t>
              <w:br/>
              <w:t>Llanio Cap. 7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9</w:t>
              <w:br/>
              <w:t>(29/06 - 04/07)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Toma de Presión Arterial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Técnica correcta de esfigmomanometría. Fases de Korotkoff. Clasificación de hipertensión ACC/AHA.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CG8, CG11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Taller práctico intensivo de toma y registro de presión arterial.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Evaluación práctica de técnica de toma de presión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Bickley Cap. 4</w:t>
              <w:br/>
              <w:t>Argente-Álvarez Cap. 15</w:t>
            </w:r>
          </w:p>
        </w:tc>
      </w:tr>
      <w:tr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10</w:t>
              <w:br/>
              <w:t>(06/07 - 11/07)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Examen de Pulsos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Pulsos arteriales periféricos (características, amplitud) y pulsos venosos (presión venosa yugular).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CG8, CG6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Simulación de pacientes con alteraciones del pulso arterial.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Evaluación formativa de mapeo de pulsos en simulación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Surós Cap. 4</w:t>
              <w:br/>
              <w:t>Llanio Cap. 7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11</w:t>
              <w:br/>
              <w:t>(13/07 - 18/07)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Semiología de Mamas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Inspección y palpación mamaria. Cadena linfática axilar. Signos de alarma oncológica.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CG8, CG7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Uso de simuladores anatómicos para detección de masas mamarias.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B40000"/>
                <w:sz w:val="17"/>
              </w:rPr>
              <w:t>SEGUNDO EXAMEN PARCIAL (30%)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Bickley Cap. 10</w:t>
            </w:r>
          </w:p>
        </w:tc>
      </w:tr>
      <w:tr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12</w:t>
              <w:br/>
              <w:t>(20/07 - 25/07)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Semiología Abdominal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División topográfica del abdomen. Inspección, auscultación (ruidos hidroaéreos), palpación y percusión.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CG8, CG6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Taller práctico de palpación superficial y profunda (puntos dolorosos).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Lista de cotejo práctica de exploración abdominal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Llanio Tomo II Cap. 1</w:t>
              <w:br/>
              <w:t>Bickley Cap. 11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13</w:t>
              <w:br/>
              <w:t>(27/07 - 01/08)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Semiología Genitourinaria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Examen físico genitourinario básico. Puntos pielorrenales y puñopercusión de Murphy.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CG8, CG6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Discusión clínica y demostración mediante modelos anatómicos.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Resolución de viñetas clínicas de cólico renal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Surós Cap. 6</w:t>
              <w:br/>
              <w:t>Llanio Tomo II</w:t>
            </w:r>
          </w:p>
        </w:tc>
      </w:tr>
      <w:tr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14</w:t>
              <w:br/>
              <w:t>(03/08 - 08/08)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Exploración de Extremidades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Evaluación de articulaciones, rangos de movimiento, pulsos distales, edemas y varices.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CG8, CG6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Maniobras de exploración osteomuscular en extremidades inferiores.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Evaluación formativa de exploración articular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Bickley Cap. 16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15</w:t>
              <w:br/>
              <w:t>(10/08 - 15/08)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Integración Sindrómica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Razonamiento diagnóstico y método clínico. Integración de hallazgos en síndromes principales.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CG6, CG8</w:t>
              <w:br/>
              <w:t>CG2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Simulaciones OSCE formativas integrales de final de curso.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OSCE formativo y portafolio final de prácticas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Llanio Tomo II Cap. 10</w:t>
              <w:br/>
              <w:t>First Aid Step 2 CS</w:t>
            </w:r>
          </w:p>
        </w:tc>
      </w:tr>
      <w:tr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Semana 16</w:t>
              <w:br/>
              <w:t>(17/08 - 22/08)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Evaluación Final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Evaluación teórico-práctica global de la asignatura.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7"/>
              </w:rPr>
              <w:t>Todas las CGs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Evaluación final global de competencias.</w:t>
            </w:r>
          </w:p>
        </w:tc>
        <w:tc>
          <w:tcPr>
            <w:tcW w:type="dxa" w:w="158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B40000"/>
                <w:sz w:val="17"/>
              </w:rPr>
              <w:t>EVALUACIÓN FINAL GLOBAL (40%)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Bibliografía Completa</w:t>
            </w:r>
          </w:p>
        </w:tc>
      </w:tr>
    </w:tbl>
    <w:p/>
    <w:p>
      <w:r>
        <w:rPr>
          <w:rFonts w:ascii="Arial" w:hAnsi="Arial"/>
          <w:b/>
          <w:color w:val="003366"/>
          <w:sz w:val="24"/>
        </w:rPr>
        <w:t>II. SISTEMA DE EVALUACIÓN Y CALIFICACIÓN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5555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Elemento de Evaluación</w:t>
            </w:r>
          </w:p>
        </w:tc>
        <w:tc>
          <w:tcPr>
            <w:tcW w:type="dxa" w:w="3120"/>
            <w:shd w:fill="5555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Ponderación</w:t>
            </w:r>
          </w:p>
        </w:tc>
        <w:tc>
          <w:tcPr>
            <w:tcW w:type="dxa" w:w="3120"/>
            <w:shd w:fill="5555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Semana / Criterios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Primer Examen Parcial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30%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18"/>
              </w:rPr>
              <w:t>Semana 6. Evaluación de contenidos de Semanas 1 a 5 (Teoría y Práctica).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Segundo Examen Parcial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30%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18"/>
              </w:rPr>
              <w:t>Semana 11. Evaluación de contenidos de Semanas 7 a 10 (Teoría y Práctica).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Evaluación Final Global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40%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Arial" w:hAnsi="Arial"/>
                <w:sz w:val="18"/>
              </w:rPr>
              <w:t>Semana 16. Examen práctico tipo OSCE (20%) y examen teórico acumulativo (20%).</w:t>
            </w:r>
          </w:p>
        </w:tc>
      </w:tr>
    </w:tbl>
    <w:p/>
    <w:p>
      <w:r>
        <w:rPr>
          <w:rFonts w:ascii="Arial" w:hAnsi="Arial"/>
          <w:b/>
          <w:color w:val="003366"/>
          <w:sz w:val="24"/>
        </w:rPr>
        <w:t>III. REFERENCIAS BIBLIOGRÁFICAS</w:t>
      </w:r>
    </w:p>
    <w:p>
      <w:pPr>
        <w:pStyle w:val="ListBullet"/>
      </w:pPr>
      <w:r>
        <w:rPr>
          <w:rFonts w:ascii="Arial" w:hAnsi="Arial"/>
          <w:sz w:val="19"/>
        </w:rPr>
        <w:t>1. Argente, H.A. y Álvarez, M.E. (2013). Semiología Médica: Fisiopatología, Semiotecnia y Propedéutica. Enseñanza basada en el paciente. (2ª ed.). Buenos Aires: Editorial Médica Panamericana. [Texto Base]</w:t>
      </w:r>
    </w:p>
    <w:p>
      <w:pPr>
        <w:pStyle w:val="ListBullet"/>
      </w:pPr>
      <w:r>
        <w:rPr>
          <w:rFonts w:ascii="Arial" w:hAnsi="Arial"/>
          <w:sz w:val="19"/>
        </w:rPr>
        <w:t>2. Bickley, L.S. (2017). Bates. Guía de Exploración Física e Historia Clínica. (12ª ed.). Filadelfia: Wolters Kluwer / Ovid.</w:t>
      </w:r>
    </w:p>
    <w:p>
      <w:pPr>
        <w:pStyle w:val="ListBullet"/>
      </w:pPr>
      <w:r>
        <w:rPr>
          <w:rFonts w:ascii="Arial" w:hAnsi="Arial"/>
          <w:sz w:val="19"/>
        </w:rPr>
        <w:t>3. Goic, A., Chamorro, G. y Reyes, H. (2010). Semiología Médica. (3ª ed.). Santiago de Chile: Editorial Mediterráneo.</w:t>
      </w:r>
    </w:p>
    <w:p>
      <w:pPr>
        <w:pStyle w:val="ListBullet"/>
      </w:pPr>
      <w:r>
        <w:rPr>
          <w:rFonts w:ascii="Arial" w:hAnsi="Arial"/>
          <w:sz w:val="19"/>
        </w:rPr>
        <w:t>4. Surós, A. y Surós, J. (2004). Semiología Médica y Técnica Exploratoria. (8ª ed.). Barcelona: Masson.</w:t>
      </w:r>
    </w:p>
    <w:p>
      <w:pPr>
        <w:pStyle w:val="ListBullet"/>
      </w:pPr>
      <w:r>
        <w:rPr>
          <w:rFonts w:ascii="Arial" w:hAnsi="Arial"/>
          <w:sz w:val="19"/>
        </w:rPr>
        <w:t>5. Tao, Le y Bhushan, Vikas. (2017). First Aid for the USMLE Step 2 CS. (6ª ed.). Nueva York: McGraw-Hill Education. [Referencia de Simulación]</w:t>
      </w:r>
    </w:p>
    <w:p/>
    <w:p/>
    <w:p>
      <w:pPr>
        <w:jc w:val="center"/>
      </w:pPr>
      <w:r>
        <w:rPr>
          <w:rFonts w:ascii="Arial" w:hAnsi="Arial"/>
          <w:b/>
        </w:rPr>
        <w:t>_________________________________________</w:t>
        <w:br/>
      </w:r>
      <w:r>
        <w:rPr>
          <w:rFonts w:ascii="Arial" w:hAnsi="Arial"/>
          <w:b/>
          <w:sz w:val="20"/>
        </w:rPr>
        <w:t>Dr. Angel Augusto Tusen Madrigal</w:t>
        <w:br/>
      </w:r>
      <w:r>
        <w:rPr>
          <w:rFonts w:ascii="Arial" w:hAnsi="Arial"/>
          <w:i/>
          <w:sz w:val="19"/>
        </w:rPr>
        <w:t>Docente Coordinador de Cátedra — UCE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