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ssignment-1-best-practices-guide"/>
    <w:p>
      <w:pPr>
        <w:pStyle w:val="Heading1"/>
      </w:pPr>
      <w:r>
        <w:t xml:space="preserve">Assignment 1: Best Practices Guide</w:t>
      </w:r>
    </w:p>
    <w:bookmarkStart w:id="20" w:name="trainers-copy-with-solutions"/>
    <w:p>
      <w:pPr>
        <w:pStyle w:val="Heading2"/>
      </w:pPr>
      <w:r>
        <w:t xml:space="preserve">Trainer’s Copy (With Solutions)</w:t>
      </w:r>
    </w:p>
    <w:p>
      <w:pPr>
        <w:pStyle w:val="FirstParagraph"/>
      </w:pPr>
      <w:r>
        <w:rPr>
          <w:bCs/>
          <w:b/>
        </w:rPr>
        <w:t xml:space="preserve">Unit:</w:t>
      </w:r>
      <w:r>
        <w:t xml:space="preserve"> </w:t>
      </w:r>
      <w:r>
        <w:t xml:space="preserve">10B-2 — Advanced SQL &amp; Query Optimization</w:t>
      </w:r>
      <w:r>
        <w:t xml:space="preserve"> </w:t>
      </w:r>
      <w:r>
        <w:rPr>
          <w:bCs/>
          <w:b/>
        </w:rPr>
        <w:t xml:space="preserve">Type:</w:t>
      </w:r>
      <w:r>
        <w:t xml:space="preserve"> </w:t>
      </w:r>
      <w:r>
        <w:t xml:space="preserve">Assignment — Individual Work</w:t>
      </w:r>
    </w:p>
    <w:p>
      <w:r>
        <w:pict>
          <v:rect style="width:0;height:1.5pt" o:hralign="center" o:hrstd="t" o:hr="t"/>
        </w:pict>
      </w:r>
    </w:p>
    <w:p>
      <w:pPr>
        <w:pStyle w:val="BlockText"/>
      </w:pPr>
      <w:r>
        <w:rPr>
          <w:bCs/>
          <w:b/>
        </w:rPr>
        <w:t xml:space="preserve">INSTRUCTOR NOTE:</w:t>
      </w:r>
      <w:r>
        <w:t xml:space="preserve"> </w:t>
      </w:r>
      <w:r>
        <w:t xml:space="preserve">This document contains the same assignment prompt as the Learner Worksheet with a complete model guide and grading rubric. Use the model guide as a benchmark — student responses do not need to match it word-for-word, but should cover the same key concepts and meet the criteria in the rubric.</w:t>
      </w:r>
    </w:p>
    <w:p>
      <w:r>
        <w:pict>
          <v:rect style="width:0;height:1.5pt" o:hralign="center" o:hrstd="t" o:hr="t"/>
        </w:pict>
      </w:r>
    </w:p>
    <w:bookmarkEnd w:id="20"/>
    <w:bookmarkStart w:id="21" w:name="requirements-same-as-learner-worksheet"/>
    <w:p>
      <w:pPr>
        <w:pStyle w:val="Heading2"/>
      </w:pPr>
      <w:r>
        <w:t xml:space="preserve">Requirements (Same as Learner Worksheet)</w:t>
      </w:r>
    </w:p>
    <w:p>
      <w:pPr>
        <w:pStyle w:val="FirstParagraph"/>
      </w:pPr>
      <w:r>
        <w:t xml:space="preserve">The guide must cover three topics:</w:t>
      </w:r>
      <w:r>
        <w:t xml:space="preserve"> </w:t>
      </w:r>
      <w:r>
        <w:rPr>
          <w:bCs/>
          <w:b/>
        </w:rPr>
        <w:t xml:space="preserve">Indexing</w:t>
      </w:r>
      <w:r>
        <w:t xml:space="preserve">,</w:t>
      </w:r>
      <w:r>
        <w:t xml:space="preserve"> </w:t>
      </w:r>
      <w:r>
        <w:rPr>
          <w:bCs/>
          <w:b/>
        </w:rPr>
        <w:t xml:space="preserve">Using LIMIT</w:t>
      </w:r>
      <w:r>
        <w:t xml:space="preserve">, and</w:t>
      </w:r>
      <w:r>
        <w:t xml:space="preserve"> </w:t>
      </w:r>
      <w:r>
        <w:rPr>
          <w:bCs/>
          <w:b/>
        </w:rPr>
        <w:t xml:space="preserve">Temporary Tables / CTEs</w:t>
      </w:r>
      <w:r>
        <w:t xml:space="preserve">. Each section must include at least one concrete example. The total word count should be 450-550 words in a formal, professional tone.</w:t>
      </w:r>
    </w:p>
    <w:p>
      <w:r>
        <w:pict>
          <v:rect style="width:0;height:1.5pt" o:hralign="center" o:hrstd="t" o:hr="t"/>
        </w:pict>
      </w:r>
    </w:p>
    <w:bookmarkEnd w:id="21"/>
    <w:bookmarkStart w:id="26" w:name="model-guide"/>
    <w:p>
      <w:pPr>
        <w:pStyle w:val="Heading2"/>
      </w:pPr>
      <w:r>
        <w:t xml:space="preserve">Model Guide</w:t>
      </w:r>
    </w:p>
    <w:bookmarkStart w:id="25" w:name="X9b452a63d3ef6823bdee6473d91e65e91f32866"/>
    <w:p>
      <w:pPr>
        <w:pStyle w:val="Heading3"/>
      </w:pPr>
      <w:r>
        <w:t xml:space="preserve">Three Ways to Speed Up Your Cloud Queries</w:t>
      </w:r>
    </w:p>
    <w:bookmarkStart w:id="22" w:name="section-1-indexing"/>
    <w:p>
      <w:pPr>
        <w:pStyle w:val="Heading4"/>
      </w:pPr>
      <w:r>
        <w:t xml:space="preserve">Section 1: Indexing</w:t>
      </w:r>
    </w:p>
    <w:p>
      <w:pPr>
        <w:pStyle w:val="BlockText"/>
      </w:pPr>
      <w:r>
        <w:t xml:space="preserve">When you query a large table without an index, the database engine must perform a</w:t>
      </w:r>
      <w:r>
        <w:t xml:space="preserve"> </w:t>
      </w:r>
      <w:r>
        <w:rPr>
          <w:bCs/>
          <w:b/>
        </w:rPr>
        <w:t xml:space="preserve">Full Table Scan</w:t>
      </w:r>
      <w:r>
        <w:t xml:space="preserve"> </w:t>
      </w:r>
      <w:r>
        <w:t xml:space="preserve">— examining every single row to find the ones that match your WHERE clause. On a table with 50 million rows, this means reading all 50 million rows even if only 12 match your filter. An index solves this problem by creating a separate, sorted data structure — typically a</w:t>
      </w:r>
      <w:r>
        <w:t xml:space="preserve"> </w:t>
      </w:r>
      <w:r>
        <w:rPr>
          <w:bCs/>
          <w:b/>
        </w:rPr>
        <w:t xml:space="preserve">B-tree</w:t>
      </w:r>
      <w:r>
        <w:t xml:space="preserve"> </w:t>
      </w:r>
      <w:r>
        <w:t xml:space="preserve">— that maps column values to the rows where those values appear. Think of it like the index at the back of a textbook: instead of reading every page to find the section on</w:t>
      </w:r>
      <w:r>
        <w:t xml:space="preserve"> </w:t>
      </w:r>
      <w:r>
        <w:t xml:space="preserve">“</w:t>
      </w:r>
      <w:r>
        <w:t xml:space="preserve">query optimization,</w:t>
      </w:r>
      <w:r>
        <w:t xml:space="preserve">”</w:t>
      </w:r>
      <w:r>
        <w:t xml:space="preserve"> </w:t>
      </w:r>
      <w:r>
        <w:t xml:space="preserve">you look up the term in the index and jump directly to page 247.</w:t>
      </w:r>
    </w:p>
    <w:p>
      <w:pPr>
        <w:pStyle w:val="BlockText"/>
      </w:pPr>
      <w:r>
        <w:t xml:space="preserve">When an index exists on the filtered column, the database performs an</w:t>
      </w:r>
      <w:r>
        <w:t xml:space="preserve"> </w:t>
      </w:r>
      <w:r>
        <w:rPr>
          <w:bCs/>
          <w:b/>
        </w:rPr>
        <w:t xml:space="preserve">Index Scan</w:t>
      </w:r>
      <w:r>
        <w:t xml:space="preserve"> </w:t>
      </w:r>
      <w:r>
        <w:t xml:space="preserve">instead of a Full Table Scan. It navigates the B-tree to locate matching rows directly, skipping millions of irrelevant records. You should create indexes on</w:t>
      </w:r>
      <w:r>
        <w:t xml:space="preserve"> </w:t>
      </w:r>
      <w:r>
        <w:rPr>
          <w:bCs/>
          <w:b/>
        </w:rPr>
        <w:t xml:space="preserve">high-cardinality columns</w:t>
      </w:r>
      <w:r>
        <w:t xml:space="preserve"> </w:t>
      </w:r>
      <w:r>
        <w:t xml:space="preserve">(columns with many unique values) that appear frequently in WHERE clauses and JOIN conditions — for example,</w:t>
      </w:r>
      <w:r>
        <w:t xml:space="preserve"> </w:t>
      </w:r>
      <w:r>
        <w:rPr>
          <w:rStyle w:val="VerbatimChar"/>
        </w:rPr>
        <w:t xml:space="preserve">customer_id</w:t>
      </w:r>
      <w:r>
        <w:t xml:space="preserve">,</w:t>
      </w:r>
      <w:r>
        <w:t xml:space="preserve"> </w:t>
      </w:r>
      <w:r>
        <w:rPr>
          <w:rStyle w:val="VerbatimChar"/>
        </w:rPr>
        <w:t xml:space="preserve">order_date</w:t>
      </w:r>
      <w:r>
        <w:t xml:space="preserve">, or</w:t>
      </w:r>
      <w:r>
        <w:t xml:space="preserve"> </w:t>
      </w:r>
      <w:r>
        <w:rPr>
          <w:rStyle w:val="VerbatimChar"/>
        </w:rPr>
        <w:t xml:space="preserve">product_sku</w:t>
      </w:r>
      <w:r>
        <w:t xml:space="preserve">.</w:t>
      </w:r>
    </w:p>
    <w:p>
      <w:pPr>
        <w:pStyle w:val="BlockText"/>
      </w:pPr>
      <w:r>
        <w:t xml:space="preserve">However, indexes are not free. Every time you INSERT or UPDATE a row, the database must also update the index structure. On write-heavy tables with frequent data loads, maintaining too many indexes can slow down ingestion. The best practice is to index selectively: prioritize columns used in your most common and most expensive queries, and avoid indexing columns that are rarely filtered on.</w:t>
      </w:r>
    </w:p>
    <w:p>
      <w:pPr>
        <w:pStyle w:val="FirstParagraph"/>
      </w:pPr>
      <w:r>
        <w:rPr>
          <w:bCs/>
          <w:b/>
        </w:rPr>
        <w:t xml:space="preserve">Instructor Talking Point:</w:t>
      </w:r>
      <w:r>
        <w:t xml:space="preserve"> </w:t>
      </w:r>
      <w:r>
        <w:t xml:space="preserve">“</w:t>
      </w:r>
      <w:r>
        <w:t xml:space="preserve">Look for students to mention the read/write trade-off. Many beginners assume indexes are purely beneficial — understanding the write overhead is a sign of deeper comprehension.</w:t>
      </w:r>
      <w:r>
        <w:t xml:space="preserve">”</w:t>
      </w:r>
    </w:p>
    <w:p>
      <w:r>
        <w:pict>
          <v:rect style="width:0;height:1.5pt" o:hralign="center" o:hrstd="t" o:hr="t"/>
        </w:pict>
      </w:r>
    </w:p>
    <w:bookmarkEnd w:id="22"/>
    <w:bookmarkStart w:id="23" w:name="section-2-using-limit"/>
    <w:p>
      <w:pPr>
        <w:pStyle w:val="Heading4"/>
      </w:pPr>
      <w:r>
        <w:t xml:space="preserve">Section 2: Using LIMIT</w:t>
      </w:r>
    </w:p>
    <w:p>
      <w:pPr>
        <w:pStyle w:val="BlockText"/>
      </w:pPr>
      <w:r>
        <w:t xml:space="preserve">A common misconception is that adding</w:t>
      </w:r>
      <w:r>
        <w:t xml:space="preserve"> </w:t>
      </w:r>
      <w:r>
        <w:rPr>
          <w:rStyle w:val="VerbatimChar"/>
        </w:rPr>
        <w:t xml:space="preserve">LIMIT 100</w:t>
      </w:r>
      <w:r>
        <w:t xml:space="preserve"> </w:t>
      </w:r>
      <w:r>
        <w:t xml:space="preserve">to a query makes it run faster by telling the database to</w:t>
      </w:r>
      <w:r>
        <w:t xml:space="preserve"> </w:t>
      </w:r>
      <w:r>
        <w:t xml:space="preserve">“</w:t>
      </w:r>
      <w:r>
        <w:t xml:space="preserve">only process 100 rows.</w:t>
      </w:r>
      <w:r>
        <w:t xml:space="preserve">”</w:t>
      </w:r>
      <w:r>
        <w:t xml:space="preserve"> </w:t>
      </w:r>
      <w:r>
        <w:t xml:space="preserve">In reality, LIMIT is</w:t>
      </w:r>
      <w:r>
        <w:t xml:space="preserve"> </w:t>
      </w:r>
      <w:r>
        <w:rPr>
          <w:bCs/>
          <w:b/>
        </w:rPr>
        <w:t xml:space="preserve">not a query optimizer</w:t>
      </w:r>
      <w:r>
        <w:t xml:space="preserve">. The database engine still builds the full execution plan and, depending on the query, may still scan large portions of the table before returning your limited result set. LIMIT simply caps how many rows are sent back to your client application.</w:t>
      </w:r>
    </w:p>
    <w:p>
      <w:pPr>
        <w:pStyle w:val="BlockText"/>
      </w:pPr>
      <w:r>
        <w:t xml:space="preserve">So why use it? Because LIMIT is an invaluable</w:t>
      </w:r>
      <w:r>
        <w:t xml:space="preserve"> </w:t>
      </w:r>
      <w:r>
        <w:rPr>
          <w:bCs/>
          <w:b/>
        </w:rPr>
        <w:t xml:space="preserve">analyst workflow tool</w:t>
      </w:r>
      <w:r>
        <w:t xml:space="preserve">. When you first encounter an unfamiliar table in a cloud data warehouse, running</w:t>
      </w:r>
      <w:r>
        <w:t xml:space="preserve"> </w:t>
      </w:r>
      <w:r>
        <w:rPr>
          <w:rStyle w:val="VerbatimChar"/>
        </w:rPr>
        <w:t xml:space="preserve">SELECT * FROM sales_data LIMIT 10</w:t>
      </w:r>
      <w:r>
        <w:t xml:space="preserve"> </w:t>
      </w:r>
      <w:r>
        <w:t xml:space="preserve">lets you quickly preview the schema, inspect sample values, and understand the data shape — without accidentally pulling 40 million rows into your laptop’s memory and crashing your SQL client. This</w:t>
      </w:r>
      <w:r>
        <w:t xml:space="preserve"> </w:t>
      </w:r>
      <w:r>
        <w:t xml:space="preserve">“</w:t>
      </w:r>
      <w:r>
        <w:t xml:space="preserve">preview before you commit</w:t>
      </w:r>
      <w:r>
        <w:t xml:space="preserve">”</w:t>
      </w:r>
      <w:r>
        <w:t xml:space="preserve"> </w:t>
      </w:r>
      <w:r>
        <w:t xml:space="preserve">habit saves time and prevents frustrating out-of-memory errors.</w:t>
      </w:r>
    </w:p>
    <w:p>
      <w:pPr>
        <w:pStyle w:val="BlockText"/>
      </w:pPr>
      <w:r>
        <w:t xml:space="preserve">LIMIT also pairs powerfully with</w:t>
      </w:r>
      <w:r>
        <w:t xml:space="preserve"> </w:t>
      </w:r>
      <w:r>
        <w:rPr>
          <w:rStyle w:val="VerbatimChar"/>
        </w:rPr>
        <w:t xml:space="preserve">ORDER BY</w:t>
      </w:r>
      <w:r>
        <w:t xml:space="preserve"> </w:t>
      </w:r>
      <w:r>
        <w:t xml:space="preserve">for</w:t>
      </w:r>
      <w:r>
        <w:t xml:space="preserve"> </w:t>
      </w:r>
      <w:r>
        <w:rPr>
          <w:bCs/>
          <w:b/>
        </w:rPr>
        <w:t xml:space="preserve">top-N analysis</w:t>
      </w:r>
      <w:r>
        <w:t xml:space="preserve">. For example,</w:t>
      </w:r>
      <w:r>
        <w:t xml:space="preserve"> </w:t>
      </w:r>
      <w:r>
        <w:rPr>
          <w:rStyle w:val="VerbatimChar"/>
        </w:rPr>
        <w:t xml:space="preserve">SELECT product_name, total_revenue FROM monthly_sales ORDER BY total_revenue DESC LIMIT 5</w:t>
      </w:r>
      <w:r>
        <w:t xml:space="preserve"> </w:t>
      </w:r>
      <w:r>
        <w:t xml:space="preserve">retrieves the five best-selling products. This is a legitimate analytical pattern where LIMIT serves a clear business purpose, not just a safety net.</w:t>
      </w:r>
    </w:p>
    <w:p>
      <w:pPr>
        <w:pStyle w:val="FirstParagraph"/>
      </w:pPr>
      <w:r>
        <w:rPr>
          <w:bCs/>
          <w:b/>
        </w:rPr>
        <w:t xml:space="preserve">Instructor Talking Point:</w:t>
      </w:r>
      <w:r>
        <w:t xml:space="preserve"> </w:t>
      </w:r>
      <w:r>
        <w:t xml:space="preserve">“</w:t>
      </w:r>
      <w:r>
        <w:t xml:space="preserve">The critical distinction is that LIMIT controls</w:t>
      </w:r>
      <w:r>
        <w:t xml:space="preserve"> </w:t>
      </w:r>
      <w:r>
        <w:rPr>
          <w:iCs/>
          <w:i/>
        </w:rPr>
        <w:t xml:space="preserve">output</w:t>
      </w:r>
      <w:r>
        <w:t xml:space="preserve">, not</w:t>
      </w:r>
      <w:r>
        <w:t xml:space="preserve"> </w:t>
      </w:r>
      <w:r>
        <w:rPr>
          <w:iCs/>
          <w:i/>
        </w:rPr>
        <w:t xml:space="preserve">processing</w:t>
      </w:r>
      <w:r>
        <w:t xml:space="preserve">. Students who describe LIMIT as</w:t>
      </w:r>
      <w:r>
        <w:t xml:space="preserve"> </w:t>
      </w:r>
      <w:r>
        <w:t xml:space="preserve">‘</w:t>
      </w:r>
      <w:r>
        <w:t xml:space="preserve">making the query faster internally</w:t>
      </w:r>
      <w:r>
        <w:t xml:space="preserve">’</w:t>
      </w:r>
      <w:r>
        <w:t xml:space="preserve"> </w:t>
      </w:r>
      <w:r>
        <w:t xml:space="preserve">have a misconception that should be corrected.</w:t>
      </w:r>
      <w:r>
        <w:t xml:space="preserve">”</w:t>
      </w:r>
    </w:p>
    <w:p>
      <w:r>
        <w:pict>
          <v:rect style="width:0;height:1.5pt" o:hralign="center" o:hrstd="t" o:hr="t"/>
        </w:pict>
      </w:r>
    </w:p>
    <w:bookmarkEnd w:id="23"/>
    <w:bookmarkStart w:id="24" w:name="section-3-temporary-tables-and-ctes"/>
    <w:p>
      <w:pPr>
        <w:pStyle w:val="Heading4"/>
      </w:pPr>
      <w:r>
        <w:t xml:space="preserve">Section 3: Temporary Tables and CTEs</w:t>
      </w:r>
    </w:p>
    <w:p>
      <w:pPr>
        <w:pStyle w:val="BlockText"/>
      </w:pPr>
      <w:r>
        <w:t xml:space="preserve">When a complex report requires the same expensive aggregation in multiple places, rewriting the subquery each time is both inefficient and error-prone. A</w:t>
      </w:r>
      <w:r>
        <w:t xml:space="preserve"> </w:t>
      </w:r>
      <w:r>
        <w:rPr>
          <w:bCs/>
          <w:b/>
        </w:rPr>
        <w:t xml:space="preserve">Common Table Expression (CTE)</w:t>
      </w:r>
      <w:r>
        <w:t xml:space="preserve">, written with the</w:t>
      </w:r>
      <w:r>
        <w:t xml:space="preserve"> </w:t>
      </w:r>
      <w:r>
        <w:rPr>
          <w:rStyle w:val="VerbatimChar"/>
        </w:rPr>
        <w:t xml:space="preserve">WITH ... AS</w:t>
      </w:r>
      <w:r>
        <w:t xml:space="preserve"> </w:t>
      </w:r>
      <w:r>
        <w:t xml:space="preserve">syntax, solves this through</w:t>
      </w:r>
      <w:r>
        <w:t xml:space="preserve"> </w:t>
      </w:r>
      <w:r>
        <w:rPr>
          <w:bCs/>
          <w:b/>
        </w:rPr>
        <w:t xml:space="preserve">computational re-use</w:t>
      </w:r>
      <w:r>
        <w:t xml:space="preserve"> </w:t>
      </w:r>
      <w:r>
        <w:t xml:space="preserve">— you define the aggregation once at the top of your query and reference it by name wherever needed. For example, if you need a customer’s monthly total in both a ranking calculation and a comparison to the company average, a CTE computes that total once instead of forcing the database to re-execute the same subquery twice.</w:t>
      </w:r>
    </w:p>
    <w:p>
      <w:pPr>
        <w:pStyle w:val="BlockText"/>
      </w:pPr>
      <w:r>
        <w:t xml:space="preserve">Consider the alternative: embedding the same aggregation as a subquery in two different parts of a SELECT statement. The database may re-execute that subquery each time it is referenced, doubling the computational work. A CTE makes your intent explicit —</w:t>
      </w:r>
      <w:r>
        <w:t xml:space="preserve"> </w:t>
      </w:r>
      <w:r>
        <w:t xml:space="preserve">“</w:t>
      </w:r>
      <w:r>
        <w:t xml:space="preserve">compute this once, use it many times</w:t>
      </w:r>
      <w:r>
        <w:t xml:space="preserve">”</w:t>
      </w:r>
      <w:r>
        <w:t xml:space="preserve"> </w:t>
      </w:r>
      <w:r>
        <w:t xml:space="preserve">— and many query engines optimize accordingly.</w:t>
      </w:r>
    </w:p>
    <w:p>
      <w:pPr>
        <w:pStyle w:val="BlockText"/>
      </w:pPr>
      <w:r>
        <w:t xml:space="preserve">For scenarios where the pre-computed result is needed across</w:t>
      </w:r>
      <w:r>
        <w:t xml:space="preserve"> </w:t>
      </w:r>
      <w:r>
        <w:rPr>
          <w:bCs/>
          <w:b/>
        </w:rPr>
        <w:t xml:space="preserve">multiple separate queries</w:t>
      </w:r>
      <w:r>
        <w:t xml:space="preserve"> </w:t>
      </w:r>
      <w:r>
        <w:t xml:space="preserve">within the same session, a</w:t>
      </w:r>
      <w:r>
        <w:t xml:space="preserve"> </w:t>
      </w:r>
      <w:r>
        <w:rPr>
          <w:bCs/>
          <w:b/>
        </w:rPr>
        <w:t xml:space="preserve">temporary table</w:t>
      </w:r>
      <w:r>
        <w:t xml:space="preserve"> </w:t>
      </w:r>
      <w:r>
        <w:t xml:space="preserve">is the better choice. Unlike a CTE, which exists only within a single query, a temporary table persists for the duration of your session. You can populate it once with an expensive aggregation and then run several follow-up queries against it — each one fast because the heavy computation is already done. Reviewing the Query Execution Plan will confirm that subsequent queries read from the small temp table rather than re-scanning the original large table.</w:t>
      </w:r>
    </w:p>
    <w:p>
      <w:pPr>
        <w:pStyle w:val="FirstParagraph"/>
      </w:pPr>
      <w:r>
        <w:rPr>
          <w:bCs/>
          <w:b/>
        </w:rPr>
        <w:t xml:space="preserve">Instructor Talking Point:</w:t>
      </w:r>
      <w:r>
        <w:t xml:space="preserve"> </w:t>
      </w:r>
      <w:r>
        <w:t xml:space="preserve">“</w:t>
      </w:r>
      <w:r>
        <w:t xml:space="preserve">Students should clearly distinguish between CTEs (single-query scope) and temp tables (session scope). Both achieve computational re-use, but at different granularities. Ask students:</w:t>
      </w:r>
      <w:r>
        <w:t xml:space="preserve"> </w:t>
      </w:r>
      <w:r>
        <w:t xml:space="preserve">‘</w:t>
      </w:r>
      <w:r>
        <w:t xml:space="preserve">If you need the same aggregation in three separate queries, which tool do you use and why?</w:t>
      </w:r>
      <w:r>
        <w:t xml:space="preserve">’</w:t>
      </w:r>
      <w:r>
        <w:t xml:space="preserve">”</w:t>
      </w:r>
    </w:p>
    <w:p>
      <w:r>
        <w:pict>
          <v:rect style="width:0;height:1.5pt" o:hralign="center" o:hrstd="t" o:hr="t"/>
        </w:pict>
      </w:r>
    </w:p>
    <w:bookmarkEnd w:id="24"/>
    <w:bookmarkEnd w:id="25"/>
    <w:bookmarkEnd w:id="26"/>
    <w:bookmarkStart w:id="27" w:name="grading-rubric"/>
    <w:p>
      <w:pPr>
        <w:pStyle w:val="Heading2"/>
      </w:pPr>
      <w:r>
        <w:t xml:space="preserve">Grading Rubric</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Criterion</w:t>
            </w:r>
          </w:p>
        </w:tc>
        <w:tc>
          <w:p>
            <w:pPr>
              <w:pStyle w:val="Compact"/>
              <w:jc w:val="left"/>
            </w:pPr>
            <w:r>
              <w:t xml:space="preserve">Points</w:t>
            </w:r>
          </w:p>
        </w:tc>
        <w:tc>
          <w:p>
            <w:pPr>
              <w:pStyle w:val="Compact"/>
              <w:jc w:val="left"/>
            </w:pPr>
            <w:r>
              <w:t xml:space="preserve">Notes</w:t>
            </w:r>
          </w:p>
        </w:tc>
      </w:tr>
      <w:tr>
        <w:tc>
          <w:p>
            <w:pPr>
              <w:pStyle w:val="Compact"/>
              <w:jc w:val="left"/>
            </w:pPr>
            <w:r>
              <w:t xml:space="preserve">Indexing section complete + read/write trade-off mentioned</w:t>
            </w:r>
          </w:p>
        </w:tc>
        <w:tc>
          <w:p>
            <w:pPr>
              <w:pStyle w:val="Compact"/>
              <w:jc w:val="left"/>
            </w:pPr>
            <w:r>
              <w:t xml:space="preserve">25</w:t>
            </w:r>
          </w:p>
        </w:tc>
        <w:tc>
          <w:p>
            <w:pPr>
              <w:pStyle w:val="Compact"/>
              <w:jc w:val="left"/>
            </w:pPr>
            <w:r>
              <w:t xml:space="preserve">Must explain Full Table Scan vs. Index Scan and mention write overhead</w:t>
            </w:r>
          </w:p>
        </w:tc>
      </w:tr>
      <w:tr>
        <w:tc>
          <w:p>
            <w:pPr>
              <w:pStyle w:val="Compact"/>
              <w:jc w:val="left"/>
            </w:pPr>
            <w:r>
              <w:t xml:space="preserve">LIMIT section complete + correctly framed as analyst workflow tool (not optimizer)</w:t>
            </w:r>
          </w:p>
        </w:tc>
        <w:tc>
          <w:p>
            <w:pPr>
              <w:pStyle w:val="Compact"/>
              <w:jc w:val="left"/>
            </w:pPr>
            <w:r>
              <w:t xml:space="preserve">20</w:t>
            </w:r>
          </w:p>
        </w:tc>
        <w:tc>
          <w:p>
            <w:pPr>
              <w:pStyle w:val="Compact"/>
              <w:jc w:val="left"/>
            </w:pPr>
            <w:r>
              <w:t xml:space="preserve">Must explicitly state LIMIT does not speed up internal query processing</w:t>
            </w:r>
          </w:p>
        </w:tc>
      </w:tr>
      <w:tr>
        <w:tc>
          <w:p>
            <w:pPr>
              <w:pStyle w:val="Compact"/>
              <w:jc w:val="left"/>
            </w:pPr>
            <w:r>
              <w:t xml:space="preserve">CTE/Temp Table section complete + computational re-use explained</w:t>
            </w:r>
          </w:p>
        </w:tc>
        <w:tc>
          <w:p>
            <w:pPr>
              <w:pStyle w:val="Compact"/>
              <w:jc w:val="left"/>
            </w:pPr>
            <w:r>
              <w:t xml:space="preserve">25</w:t>
            </w:r>
          </w:p>
        </w:tc>
        <w:tc>
          <w:p>
            <w:pPr>
              <w:pStyle w:val="Compact"/>
              <w:jc w:val="left"/>
            </w:pPr>
            <w:r>
              <w:t xml:space="preserve">Must name the concept and explain the benefit of computing once / referencing many times</w:t>
            </w:r>
          </w:p>
        </w:tc>
      </w:tr>
      <w:tr>
        <w:tc>
          <w:p>
            <w:pPr>
              <w:pStyle w:val="Compact"/>
              <w:jc w:val="left"/>
            </w:pPr>
            <w:r>
              <w:t xml:space="preserve">Writing quality (formal tone, clarity, structure)</w:t>
            </w:r>
          </w:p>
        </w:tc>
        <w:tc>
          <w:p>
            <w:pPr>
              <w:pStyle w:val="Compact"/>
              <w:jc w:val="left"/>
            </w:pPr>
            <w:r>
              <w:t xml:space="preserve">15</w:t>
            </w:r>
          </w:p>
        </w:tc>
        <w:tc>
          <w:p>
            <w:pPr>
              <w:pStyle w:val="Compact"/>
              <w:jc w:val="left"/>
            </w:pPr>
            <w:r>
              <w:t xml:space="preserve">Professional language, logical flow, appropriate for the stated audience</w:t>
            </w:r>
          </w:p>
        </w:tc>
      </w:tr>
      <w:tr>
        <w:tc>
          <w:p>
            <w:pPr>
              <w:pStyle w:val="Compact"/>
              <w:jc w:val="left"/>
            </w:pPr>
            <w:r>
              <w:t xml:space="preserve">Concrete examples included (at least 1 per section)</w:t>
            </w:r>
          </w:p>
        </w:tc>
        <w:tc>
          <w:p>
            <w:pPr>
              <w:pStyle w:val="Compact"/>
              <w:jc w:val="left"/>
            </w:pPr>
            <w:r>
              <w:t xml:space="preserve">10</w:t>
            </w:r>
          </w:p>
        </w:tc>
        <w:tc>
          <w:p>
            <w:pPr>
              <w:pStyle w:val="Compact"/>
              <w:jc w:val="left"/>
            </w:pPr>
            <w:r>
              <w:t xml:space="preserve">Scenario, analogy, or SQL snippet — one per section minimum</w:t>
            </w:r>
          </w:p>
        </w:tc>
      </w:tr>
      <w:tr>
        <w:tc>
          <w:p>
            <w:pPr>
              <w:pStyle w:val="Compact"/>
              <w:jc w:val="left"/>
            </w:pPr>
            <w:r>
              <w:t xml:space="preserve">Word count within range (450-550 words)</w:t>
            </w:r>
          </w:p>
        </w:tc>
        <w:tc>
          <w:p>
            <w:pPr>
              <w:pStyle w:val="Compact"/>
              <w:jc w:val="left"/>
            </w:pPr>
            <w:r>
              <w:t xml:space="preserve">5</w:t>
            </w:r>
          </w:p>
        </w:tc>
        <w:tc>
          <w:p>
            <w:pPr>
              <w:pStyle w:val="Compact"/>
              <w:jc w:val="left"/>
            </w:pPr>
            <w:r>
              <w:t xml:space="preserve">Model guide is ~520 words</w:t>
            </w:r>
          </w:p>
        </w:tc>
      </w:tr>
      <w:tr>
        <w:tc>
          <w:p>
            <w:pPr>
              <w:pStyle w:val="Compact"/>
              <w:jc w:val="left"/>
            </w:pPr>
            <w:r>
              <w:rPr>
                <w:bCs/>
                <w:b/>
              </w:rPr>
              <w:t xml:space="preserve">Total</w:t>
            </w:r>
          </w:p>
        </w:tc>
        <w:tc>
          <w:p>
            <w:pPr>
              <w:pStyle w:val="Compact"/>
              <w:jc w:val="left"/>
            </w:pPr>
            <w:r>
              <w:rPr>
                <w:bCs/>
                <w:b/>
              </w:rPr>
              <w:t xml:space="preserve">100</w:t>
            </w:r>
          </w:p>
        </w:tc>
        <w:tc>
          <w:p/>
        </w:tc>
      </w:tr>
    </w:tbl>
    <w:p>
      <w:r>
        <w:pict>
          <v:rect style="width:0;height:1.5pt" o:hralign="center" o:hrstd="t" o:hr="t"/>
        </w:pict>
      </w:r>
    </w:p>
    <w:p>
      <w:pPr>
        <w:pStyle w:val="FirstParagraph"/>
      </w:pPr>
      <w:r>
        <w:rPr>
          <w:iCs/>
          <w:i/>
        </w:rPr>
        <w:t xml:space="preserve">Unit 10B-2 — Advanced SQL &amp; Query Optimization — Trainer’s Copy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2026-02-10T08:00:16Z</dcterms:created>
  <dcterms:modified xsi:type="dcterms:W3CDTF">2026-02-10T08:00:16Z</dcterms:modified>
</cp:coreProperties>
</file>

<file path=docProps/custom.xml><?xml version="1.0" encoding="utf-8"?>
<Properties xmlns="http://schemas.openxmlformats.org/officeDocument/2006/custom-properties" xmlns:vt="http://schemas.openxmlformats.org/officeDocument/2006/docPropsVTypes"/>
</file>