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1A2E"/>
          <w:sz w:val="56"/>
        </w:rPr>
        <w:t>Advanced SQL &amp;</w:t>
        <w:br/>
        <w:t>Query Optimization</w:t>
      </w:r>
    </w:p>
    <w:p>
      <w:pPr>
        <w:pStyle w:val="Heading1"/>
        <w:jc w:val="center"/>
      </w:pPr>
      <w:r>
        <w:rPr>
          <w:color w:val="2C3E50"/>
        </w:rPr>
        <w:t>Unit 10B-2 — Classroom Notes</w:t>
      </w:r>
    </w:p>
    <w:p>
      <w:pPr>
        <w:pStyle w:val="Heading2"/>
        <w:jc w:val="center"/>
      </w:pPr>
      <w:r>
        <w:rPr>
          <w:color w:val="2980B9"/>
        </w:rPr>
        <w:t>Learner Edition</w:t>
      </w:r>
    </w:p>
    <w:p/>
    <w:p>
      <w:pPr>
        <w:spacing w:after="120"/>
      </w:pPr>
      <w:r>
        <w:rPr>
          <w:sz w:val="22"/>
        </w:rPr>
        <w:t>A comprehensive reference covering all foundational knowledge required for the exercises, assignments, and labs in this unit.</w:t>
      </w:r>
    </w:p>
    <w:p/>
    <w:p>
      <w:pPr>
        <w:spacing w:after="120"/>
      </w:pPr>
      <w:r>
        <w:rPr>
          <w:b/>
          <w:color w:val="2C3E50"/>
          <w:sz w:val="24"/>
        </w:rPr>
        <w:t>Topics Covered</w:t>
      </w:r>
    </w:p>
    <w:p>
      <w:pPr>
        <w:pStyle w:val="ListBullet"/>
      </w:pPr>
      <w:r>
        <w:t>Advanced SQL Functions: CASE, COALESCE, and Date Functions</w:t>
      </w:r>
    </w:p>
    <w:p>
      <w:pPr>
        <w:pStyle w:val="ListBullet"/>
      </w:pPr>
      <w:r>
        <w:t>Aggregate Functions: COUNT(DISTINCT), Conditional Aggregation</w:t>
      </w:r>
    </w:p>
    <w:p>
      <w:pPr>
        <w:pStyle w:val="ListBullet"/>
      </w:pPr>
      <w:r>
        <w:t>Query Optimization: Indexing, Parametrization, and Temporary Tables</w:t>
      </w:r>
    </w:p>
    <w:p>
      <w:pPr>
        <w:pStyle w:val="ListBullet"/>
      </w:pPr>
      <w:r>
        <w:t>Common Table Expressions (CTEs) and Computational Re-use</w:t>
      </w:r>
    </w:p>
    <w:p>
      <w:pPr>
        <w:pStyle w:val="ListBullet"/>
      </w:pPr>
      <w:r>
        <w:t>Query Execution Plans: Reading and Interpreting</w:t>
      </w:r>
    </w:p>
    <w:p>
      <w:pPr>
        <w:pStyle w:val="ListBullet"/>
      </w:pPr>
      <w:r>
        <w:t>Non-Relational Databases: NoSQL Concepts and Categories</w:t>
      </w:r>
    </w:p>
    <w:p>
      <w:pPr>
        <w:pStyle w:val="ListBullet"/>
      </w:pPr>
      <w:r>
        <w:t>SQL vs. NoSQL: Decision Framework for Hybrid Architectures</w:t>
      </w:r>
    </w:p>
    <w:p>
      <w:r>
        <w:br w:type="page"/>
      </w:r>
    </w:p>
    <w:p>
      <w:pPr>
        <w:pStyle w:val="Heading1"/>
      </w:pPr>
      <w:r>
        <w:rPr>
          <w:color w:val="1A1A2E"/>
        </w:rPr>
        <w:t>Table of Contents</w:t>
      </w:r>
    </w:p>
    <w:p>
      <w:pPr>
        <w:spacing w:after="40"/>
      </w:pPr>
      <w:r>
        <w:rPr>
          <w:sz w:val="20"/>
        </w:rPr>
        <w:t>1.  Introduction</w:t>
      </w:r>
    </w:p>
    <w:p>
      <w:pPr>
        <w:spacing w:after="40"/>
      </w:pPr>
      <w:r>
        <w:rPr>
          <w:sz w:val="20"/>
        </w:rPr>
        <w:t>2.  Advanced SQL Functions</w:t>
      </w:r>
    </w:p>
    <w:p>
      <w:pPr>
        <w:spacing w:after="40"/>
      </w:pPr>
      <w:r>
        <w:rPr>
          <w:sz w:val="20"/>
        </w:rPr>
        <w:t xml:space="preserve">    2.1  The CASE Expression</w:t>
      </w:r>
    </w:p>
    <w:p>
      <w:pPr>
        <w:spacing w:after="40"/>
      </w:pPr>
      <w:r>
        <w:rPr>
          <w:sz w:val="20"/>
        </w:rPr>
        <w:t xml:space="preserve">    2.2  The COALESCE Function</w:t>
      </w:r>
    </w:p>
    <w:p>
      <w:pPr>
        <w:spacing w:after="40"/>
      </w:pPr>
      <w:r>
        <w:rPr>
          <w:sz w:val="20"/>
        </w:rPr>
        <w:t xml:space="preserve">    2.3  Date and Time Functions</w:t>
      </w:r>
    </w:p>
    <w:p>
      <w:pPr>
        <w:spacing w:after="40"/>
      </w:pPr>
      <w:r>
        <w:rPr>
          <w:sz w:val="20"/>
        </w:rPr>
        <w:t xml:space="preserve">    2.4  Type Casting</w:t>
      </w:r>
    </w:p>
    <w:p>
      <w:pPr>
        <w:spacing w:after="40"/>
      </w:pPr>
      <w:r>
        <w:rPr>
          <w:sz w:val="20"/>
        </w:rPr>
        <w:t>3.  Aggregate Functions and Grouping</w:t>
      </w:r>
    </w:p>
    <w:p>
      <w:pPr>
        <w:spacing w:after="40"/>
      </w:pPr>
      <w:r>
        <w:rPr>
          <w:sz w:val="20"/>
        </w:rPr>
        <w:t xml:space="preserve">    3.1  COUNT, SUM, AVG — The Basics</w:t>
      </w:r>
    </w:p>
    <w:p>
      <w:pPr>
        <w:spacing w:after="40"/>
      </w:pPr>
      <w:r>
        <w:rPr>
          <w:sz w:val="20"/>
        </w:rPr>
        <w:t xml:space="preserve">    3.2  COUNT(DISTINCT) — Counting Unique Values</w:t>
      </w:r>
    </w:p>
    <w:p>
      <w:pPr>
        <w:spacing w:after="40"/>
      </w:pPr>
      <w:r>
        <w:rPr>
          <w:sz w:val="20"/>
        </w:rPr>
        <w:t xml:space="preserve">    3.3  Conditional Aggregation — CASE Inside Aggregates</w:t>
      </w:r>
    </w:p>
    <w:p>
      <w:pPr>
        <w:spacing w:after="40"/>
      </w:pPr>
      <w:r>
        <w:rPr>
          <w:sz w:val="20"/>
        </w:rPr>
        <w:t xml:space="preserve">    3.4  GROUP BY Rules and Best Practices</w:t>
      </w:r>
    </w:p>
    <w:p>
      <w:pPr>
        <w:spacing w:after="40"/>
      </w:pPr>
      <w:r>
        <w:rPr>
          <w:sz w:val="20"/>
        </w:rPr>
        <w:t>4.  Query Optimization</w:t>
      </w:r>
    </w:p>
    <w:p>
      <w:pPr>
        <w:spacing w:after="40"/>
      </w:pPr>
      <w:r>
        <w:rPr>
          <w:sz w:val="20"/>
        </w:rPr>
        <w:t xml:space="preserve">    4.1  Why Optimization Matters</w:t>
      </w:r>
    </w:p>
    <w:p>
      <w:pPr>
        <w:spacing w:after="40"/>
      </w:pPr>
      <w:r>
        <w:rPr>
          <w:sz w:val="20"/>
        </w:rPr>
        <w:t xml:space="preserve">    4.2  Indexing</w:t>
      </w:r>
    </w:p>
    <w:p>
      <w:pPr>
        <w:spacing w:after="40"/>
      </w:pPr>
      <w:r>
        <w:rPr>
          <w:sz w:val="20"/>
        </w:rPr>
        <w:t xml:space="preserve">    4.3  Parametrization</w:t>
      </w:r>
    </w:p>
    <w:p>
      <w:pPr>
        <w:spacing w:after="40"/>
      </w:pPr>
      <w:r>
        <w:rPr>
          <w:sz w:val="20"/>
        </w:rPr>
        <w:t xml:space="preserve">    4.4  Query Execution Plans</w:t>
      </w:r>
    </w:p>
    <w:p>
      <w:pPr>
        <w:spacing w:after="40"/>
      </w:pPr>
      <w:r>
        <w:rPr>
          <w:sz w:val="20"/>
        </w:rPr>
        <w:t xml:space="preserve">    4.5  The LIMIT Clause</w:t>
      </w:r>
    </w:p>
    <w:p>
      <w:pPr>
        <w:spacing w:after="40"/>
      </w:pPr>
      <w:r>
        <w:rPr>
          <w:sz w:val="20"/>
        </w:rPr>
        <w:t>5.  Temporary Tables and Common Table Expressions</w:t>
      </w:r>
    </w:p>
    <w:p>
      <w:pPr>
        <w:spacing w:after="40"/>
      </w:pPr>
      <w:r>
        <w:rPr>
          <w:sz w:val="20"/>
        </w:rPr>
        <w:t xml:space="preserve">    5.1  Common Table Expressions (CTEs)</w:t>
      </w:r>
    </w:p>
    <w:p>
      <w:pPr>
        <w:spacing w:after="40"/>
      </w:pPr>
      <w:r>
        <w:rPr>
          <w:sz w:val="20"/>
        </w:rPr>
        <w:t xml:space="preserve">    5.2  Temporary Tables</w:t>
      </w:r>
    </w:p>
    <w:p>
      <w:pPr>
        <w:spacing w:after="40"/>
      </w:pPr>
      <w:r>
        <w:rPr>
          <w:sz w:val="20"/>
        </w:rPr>
        <w:t xml:space="preserve">    5.3  CTEs vs. Temporary Tables</w:t>
      </w:r>
    </w:p>
    <w:p>
      <w:pPr>
        <w:spacing w:after="40"/>
      </w:pPr>
      <w:r>
        <w:rPr>
          <w:sz w:val="20"/>
        </w:rPr>
        <w:t xml:space="preserve">    5.4  Computational Re-use</w:t>
      </w:r>
    </w:p>
    <w:p>
      <w:pPr>
        <w:spacing w:after="40"/>
      </w:pPr>
      <w:r>
        <w:rPr>
          <w:sz w:val="20"/>
        </w:rPr>
        <w:t>6.  Non-Relational Databases (NoSQL)</w:t>
      </w:r>
    </w:p>
    <w:p>
      <w:pPr>
        <w:spacing w:after="40"/>
      </w:pPr>
      <w:r>
        <w:rPr>
          <w:sz w:val="20"/>
        </w:rPr>
        <w:t xml:space="preserve">    6.1  Why NoSQL Exists</w:t>
      </w:r>
    </w:p>
    <w:p>
      <w:pPr>
        <w:spacing w:after="40"/>
      </w:pPr>
      <w:r>
        <w:rPr>
          <w:sz w:val="20"/>
        </w:rPr>
        <w:t xml:space="preserve">    6.2  Key-Value Stores</w:t>
      </w:r>
    </w:p>
    <w:p>
      <w:pPr>
        <w:spacing w:after="40"/>
      </w:pPr>
      <w:r>
        <w:rPr>
          <w:sz w:val="20"/>
        </w:rPr>
        <w:t xml:space="preserve">    6.3  Document Stores</w:t>
      </w:r>
    </w:p>
    <w:p>
      <w:pPr>
        <w:spacing w:after="40"/>
      </w:pPr>
      <w:r>
        <w:rPr>
          <w:sz w:val="20"/>
        </w:rPr>
        <w:t xml:space="preserve">    6.4  SQL vs. NoSQL Decision Framework</w:t>
      </w:r>
    </w:p>
    <w:p>
      <w:pPr>
        <w:spacing w:after="40"/>
      </w:pPr>
      <w:r>
        <w:rPr>
          <w:sz w:val="20"/>
        </w:rPr>
        <w:t xml:space="preserve">    6.5  Hybrid Architectures and Data Integration</w:t>
      </w:r>
    </w:p>
    <w:p>
      <w:pPr>
        <w:spacing w:after="40"/>
      </w:pPr>
      <w:r>
        <w:rPr>
          <w:sz w:val="20"/>
        </w:rPr>
        <w:t>7.  Foundational SQL Reference</w:t>
      </w:r>
    </w:p>
    <w:p>
      <w:pPr>
        <w:spacing w:after="40"/>
      </w:pPr>
      <w:r>
        <w:rPr>
          <w:sz w:val="20"/>
        </w:rPr>
        <w:t xml:space="preserve">    7.1  JOINs</w:t>
      </w:r>
    </w:p>
    <w:p>
      <w:pPr>
        <w:spacing w:after="40"/>
      </w:pPr>
      <w:r>
        <w:rPr>
          <w:sz w:val="20"/>
        </w:rPr>
        <w:t xml:space="preserve">    7.2  Common Data Types</w:t>
      </w:r>
    </w:p>
    <w:p>
      <w:pPr>
        <w:spacing w:after="40"/>
      </w:pPr>
      <w:r>
        <w:rPr>
          <w:sz w:val="20"/>
        </w:rPr>
        <w:t xml:space="preserve">    7.3  Constraints</w:t>
      </w:r>
    </w:p>
    <w:p>
      <w:pPr>
        <w:spacing w:after="40"/>
      </w:pPr>
      <w:r>
        <w:rPr>
          <w:sz w:val="20"/>
        </w:rPr>
        <w:t>8.  Key Terms Glossary</w:t>
      </w:r>
    </w:p>
    <w:p>
      <w:r>
        <w:br w:type="page"/>
      </w:r>
    </w:p>
    <w:p>
      <w:pPr>
        <w:pStyle w:val="Heading1"/>
      </w:pPr>
      <w:r>
        <w:rPr>
          <w:color w:val="1A1A2E"/>
        </w:rPr>
        <w:t>1. Introduction</w:t>
      </w:r>
    </w:p>
    <w:p>
      <w:pPr>
        <w:spacing w:after="120"/>
      </w:pPr>
      <w:r>
        <w:rPr>
          <w:sz w:val="20"/>
        </w:rPr>
        <w:t>SQL (Structured Query Language) remains the foundational language of data analytics. While basic SELECT, WHERE, and JOIN statements allow you to retrieve data, real-world analytical work demands more.</w:t>
      </w:r>
    </w:p>
    <w:p>
      <w:pPr>
        <w:spacing w:after="120"/>
      </w:pPr>
      <w:r>
        <w:rPr>
          <w:sz w:val="20"/>
        </w:rPr>
        <w:t>This unit extends your SQL proficiency into three advanced domains:</w:t>
      </w:r>
    </w:p>
    <w:p>
      <w:pPr>
        <w:pStyle w:val="ListBullet"/>
      </w:pPr>
      <w:r>
        <w:t>Advanced SQL Functions — embedding complex business logic, data cleansing, and dynamic reporting directly into the query layer using CASE, COALESCE, and date functions.</w:t>
      </w:r>
    </w:p>
    <w:p>
      <w:pPr>
        <w:pStyle w:val="ListBullet"/>
      </w:pPr>
      <w:r>
        <w:t>Query Optimization — understanding how the database engine executes your queries and applying techniques (indexing, CTEs, temporary tables) to make them faster and cheaper in cloud environments.</w:t>
      </w:r>
    </w:p>
    <w:p>
      <w:pPr>
        <w:pStyle w:val="ListBullet"/>
      </w:pPr>
      <w:r>
        <w:t>Non-Relational Databases (NoSQL) — knowing when structured SQL databases are not the right tool, and understanding the alternative storage technologies used in modern hybrid data architectures.</w:t>
      </w:r>
    </w:p>
    <w:p>
      <w:pPr>
        <w:spacing w:after="120"/>
      </w:pPr>
      <w:r>
        <w:rPr>
          <w:sz w:val="20"/>
        </w:rPr>
        <w:t>In the modern ELT (Extract, Load, Transform) architecture, transformations happen inside the database itself rather than in external scripts. An analyst proficient in the advanced SQL functions covered here can perform complex cleaning, categorisation, and aggregation without ever leaving the query layer.</w:t>
      </w:r>
    </w:p>
    <w:p>
      <w:pPr>
        <w:jc w:val="center"/>
      </w:pPr>
      <w:r>
        <w:rPr>
          <w:b/>
          <w:color w:val="2980B9"/>
          <w:sz w:val="22"/>
        </w:rPr>
        <w:t>Unit Roadmap: From Data to Insight</w:t>
      </w:r>
    </w:p>
    <w:tbl>
      <w:tblPr>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D6EAF8"/>
            <w:vAlign w:val="center"/>
          </w:tcPr>
          <w:p>
            <w:pPr>
              <w:jc w:val="center"/>
            </w:pPr>
            <w:r>
              <w:rPr>
                <w:b/>
                <w:sz w:val="16"/>
              </w:rPr>
              <w:t>Advanced</w:t>
              <w:br/>
              <w:t>SQL Functions</w:t>
            </w:r>
          </w:p>
        </w:tc>
        <w:tc>
          <w:tcPr>
            <w:tcW w:type="dxa" w:w="1088"/>
            <w:tcBorders>
              <w:top w:val="none" w:sz="0"/>
              <w:bottom w:val="none" w:sz="0"/>
              <w:left w:val="none" w:sz="0"/>
              <w:right w:val="none" w:sz="0"/>
            </w:tcBorders>
          </w:tcPr>
          <w:p>
            <w:pPr>
              <w:jc w:val="center"/>
            </w:pPr>
            <w:r>
              <w:rPr>
                <w:color w:val="2980B9"/>
                <w:sz w:val="32"/>
              </w:rPr>
              <w:t>→</w:t>
            </w:r>
          </w:p>
        </w:tc>
        <w:tc>
          <w:tcPr>
            <w:tcW w:type="dxa" w:w="1088"/>
            <w:shd w:val="clear" w:color="auto" w:fill="D6EAF8"/>
            <w:vAlign w:val="center"/>
          </w:tcPr>
          <w:p>
            <w:pPr>
              <w:jc w:val="center"/>
            </w:pPr>
            <w:r>
              <w:rPr>
                <w:b/>
                <w:sz w:val="16"/>
              </w:rPr>
              <w:t>Aggregate</w:t>
              <w:br/>
              <w:t>Functions</w:t>
            </w:r>
          </w:p>
        </w:tc>
        <w:tc>
          <w:tcPr>
            <w:tcW w:type="dxa" w:w="1088"/>
            <w:tcBorders>
              <w:top w:val="none" w:sz="0"/>
              <w:bottom w:val="none" w:sz="0"/>
              <w:left w:val="none" w:sz="0"/>
              <w:right w:val="none" w:sz="0"/>
            </w:tcBorders>
          </w:tcPr>
          <w:p>
            <w:pPr>
              <w:jc w:val="center"/>
            </w:pPr>
            <w:r>
              <w:rPr>
                <w:color w:val="2980B9"/>
                <w:sz w:val="32"/>
              </w:rPr>
              <w:t>→</w:t>
            </w:r>
          </w:p>
        </w:tc>
        <w:tc>
          <w:tcPr>
            <w:tcW w:type="dxa" w:w="1088"/>
            <w:shd w:val="clear" w:color="auto" w:fill="D5F5E3"/>
            <w:vAlign w:val="center"/>
          </w:tcPr>
          <w:p>
            <w:pPr>
              <w:jc w:val="center"/>
            </w:pPr>
            <w:r>
              <w:rPr>
                <w:b/>
                <w:sz w:val="16"/>
              </w:rPr>
              <w:t>Query</w:t>
              <w:br/>
              <w:t>Optimization</w:t>
            </w:r>
          </w:p>
        </w:tc>
        <w:tc>
          <w:tcPr>
            <w:tcW w:type="dxa" w:w="1088"/>
            <w:tcBorders>
              <w:top w:val="none" w:sz="0"/>
              <w:bottom w:val="none" w:sz="0"/>
              <w:left w:val="none" w:sz="0"/>
              <w:right w:val="none" w:sz="0"/>
            </w:tcBorders>
          </w:tcPr>
          <w:p>
            <w:pPr>
              <w:jc w:val="center"/>
            </w:pPr>
            <w:r>
              <w:rPr>
                <w:color w:val="2980B9"/>
                <w:sz w:val="32"/>
              </w:rPr>
              <w:t>→</w:t>
            </w:r>
          </w:p>
        </w:tc>
        <w:tc>
          <w:tcPr>
            <w:tcW w:type="dxa" w:w="1088"/>
            <w:shd w:val="clear" w:color="auto" w:fill="D5F5E3"/>
            <w:vAlign w:val="center"/>
          </w:tcPr>
          <w:p>
            <w:pPr>
              <w:jc w:val="center"/>
            </w:pPr>
            <w:r>
              <w:rPr>
                <w:b/>
                <w:sz w:val="16"/>
              </w:rPr>
              <w:t>CTEs &amp;</w:t>
              <w:br/>
              <w:t>Temp Tables</w:t>
            </w:r>
          </w:p>
        </w:tc>
        <w:tc>
          <w:tcPr>
            <w:tcW w:type="dxa" w:w="1088"/>
            <w:tcBorders>
              <w:top w:val="none" w:sz="0"/>
              <w:bottom w:val="none" w:sz="0"/>
              <w:left w:val="none" w:sz="0"/>
              <w:right w:val="none" w:sz="0"/>
            </w:tcBorders>
          </w:tcPr>
          <w:p>
            <w:pPr>
              <w:jc w:val="center"/>
            </w:pPr>
            <w:r>
              <w:rPr>
                <w:color w:val="2980B9"/>
                <w:sz w:val="32"/>
              </w:rPr>
              <w:t>→</w:t>
            </w:r>
          </w:p>
        </w:tc>
        <w:tc>
          <w:tcPr>
            <w:tcW w:type="dxa" w:w="1088"/>
            <w:shd w:val="clear" w:color="auto" w:fill="FEF9E7"/>
            <w:vAlign w:val="center"/>
          </w:tcPr>
          <w:p>
            <w:pPr>
              <w:jc w:val="center"/>
            </w:pPr>
            <w:r>
              <w:rPr>
                <w:b/>
                <w:sz w:val="16"/>
              </w:rPr>
              <w:t>NoSQL &amp;</w:t>
              <w:br/>
              <w:t>Hybrid</w:t>
            </w:r>
          </w:p>
        </w:tc>
      </w:tr>
    </w:tbl>
    <w:p/>
    <w:p>
      <w:r>
        <w:br w:type="page"/>
      </w:r>
    </w:p>
    <w:p>
      <w:pPr>
        <w:pStyle w:val="Heading1"/>
      </w:pPr>
      <w:r>
        <w:rPr>
          <w:color w:val="1A1A2E"/>
        </w:rPr>
        <w:t>2. Advanced SQL Functions</w:t>
      </w:r>
    </w:p>
    <w:p>
      <w:pPr>
        <w:spacing w:after="120"/>
      </w:pPr>
      <w:r>
        <w:rPr>
          <w:sz w:val="20"/>
        </w:rPr>
        <w:t>Advanced SQL functions allow you to embed complex business logic, data cleaning, and dynamic categorisation directly into the query layer. This eliminates the need for external programming languages or post-processing in spreadsheets.</w:t>
      </w:r>
    </w:p>
    <w:p>
      <w:pPr>
        <w:pStyle w:val="Heading2"/>
      </w:pPr>
      <w:r>
        <w:rPr>
          <w:color w:val="1A1A2E"/>
        </w:rPr>
        <w:t>2.1 The CASE Expression</w:t>
      </w:r>
    </w:p>
    <w:p>
      <w:pPr>
        <w:spacing w:after="120"/>
      </w:pPr>
      <w:r>
        <w:rPr>
          <w:sz w:val="20"/>
        </w:rPr>
        <w:t>The CASE expression is SQL’s equivalent of an IF-THEN-ELSE statement. It evaluates conditions row by row and returns a value based on the first condition that evaluates to TRUE.</w:t>
      </w:r>
    </w:p>
    <w:p>
      <w:pPr>
        <w:spacing w:after="120"/>
      </w:pPr>
      <w:r>
        <w:rPr>
          <w:b/>
          <w:color w:val="2C3E50"/>
          <w:sz w:val="20"/>
        </w:rPr>
        <w:t>Searched CASE (most common form):</w:t>
      </w:r>
    </w:p>
    <w:p>
      <w:pPr>
        <w:pStyle w:val="NoSpacing"/>
        <w:spacing w:before="0" w:after="0"/>
        <w:ind w:left="576"/>
      </w:pPr>
      <w:r>
        <w:rPr>
          <w:rFonts w:ascii="Consolas" w:hAnsi="Consolas"/>
          <w:color w:val="2C3E50"/>
          <w:sz w:val="18"/>
        </w:rPr>
        <w:t>CASE</w:t>
      </w:r>
    </w:p>
    <w:p>
      <w:pPr>
        <w:pStyle w:val="NoSpacing"/>
        <w:spacing w:before="0" w:after="0"/>
        <w:ind w:left="576"/>
      </w:pPr>
      <w:r>
        <w:rPr>
          <w:rFonts w:ascii="Consolas" w:hAnsi="Consolas"/>
          <w:color w:val="2C3E50"/>
          <w:sz w:val="18"/>
        </w:rPr>
        <w:t xml:space="preserve">    WHEN price &gt; 500 THEN 'Expensive'</w:t>
      </w:r>
    </w:p>
    <w:p>
      <w:pPr>
        <w:pStyle w:val="NoSpacing"/>
        <w:spacing w:before="0" w:after="0"/>
        <w:ind w:left="576"/>
      </w:pPr>
      <w:r>
        <w:rPr>
          <w:rFonts w:ascii="Consolas" w:hAnsi="Consolas"/>
          <w:color w:val="2C3E50"/>
          <w:sz w:val="18"/>
        </w:rPr>
        <w:t xml:space="preserve">    WHEN price &gt; 200 THEN 'Medium'</w:t>
      </w:r>
    </w:p>
    <w:p>
      <w:pPr>
        <w:pStyle w:val="NoSpacing"/>
        <w:spacing w:before="0" w:after="0"/>
        <w:ind w:left="576"/>
      </w:pPr>
      <w:r>
        <w:rPr>
          <w:rFonts w:ascii="Consolas" w:hAnsi="Consolas"/>
          <w:color w:val="2C3E50"/>
          <w:sz w:val="18"/>
        </w:rPr>
        <w:t xml:space="preserve">    ELSE 'Budget'</w:t>
      </w:r>
    </w:p>
    <w:p>
      <w:pPr>
        <w:pStyle w:val="NoSpacing"/>
        <w:spacing w:before="0" w:after="0"/>
        <w:ind w:left="576"/>
      </w:pPr>
      <w:r>
        <w:rPr>
          <w:rFonts w:ascii="Consolas" w:hAnsi="Consolas"/>
          <w:color w:val="2C3E50"/>
          <w:sz w:val="18"/>
        </w:rPr>
        <w:t>END AS price_tier</w:t>
      </w:r>
    </w:p>
    <w:p/>
    <w:p>
      <w:pPr>
        <w:spacing w:after="120"/>
      </w:pPr>
      <w:r>
        <w:rPr>
          <w:b/>
          <w:color w:val="2C3E50"/>
          <w:sz w:val="20"/>
        </w:rPr>
        <w:t>Simple CASE:</w:t>
      </w:r>
    </w:p>
    <w:p>
      <w:pPr>
        <w:pStyle w:val="NoSpacing"/>
        <w:spacing w:before="0" w:after="0"/>
        <w:ind w:left="576"/>
      </w:pPr>
      <w:r>
        <w:rPr>
          <w:rFonts w:ascii="Consolas" w:hAnsi="Consolas"/>
          <w:color w:val="2C3E50"/>
          <w:sz w:val="18"/>
        </w:rPr>
        <w:t>CASE status</w:t>
      </w:r>
    </w:p>
    <w:p>
      <w:pPr>
        <w:pStyle w:val="NoSpacing"/>
        <w:spacing w:before="0" w:after="0"/>
        <w:ind w:left="576"/>
      </w:pPr>
      <w:r>
        <w:rPr>
          <w:rFonts w:ascii="Consolas" w:hAnsi="Consolas"/>
          <w:color w:val="2C3E50"/>
          <w:sz w:val="18"/>
        </w:rPr>
        <w:t xml:space="preserve">    WHEN 'A' THEN 'Active'</w:t>
      </w:r>
    </w:p>
    <w:p>
      <w:pPr>
        <w:pStyle w:val="NoSpacing"/>
        <w:spacing w:before="0" w:after="0"/>
        <w:ind w:left="576"/>
      </w:pPr>
      <w:r>
        <w:rPr>
          <w:rFonts w:ascii="Consolas" w:hAnsi="Consolas"/>
          <w:color w:val="2C3E50"/>
          <w:sz w:val="18"/>
        </w:rPr>
        <w:t xml:space="preserve">    WHEN 'I' THEN 'Inactive'</w:t>
      </w:r>
    </w:p>
    <w:p>
      <w:pPr>
        <w:pStyle w:val="NoSpacing"/>
        <w:spacing w:before="0" w:after="0"/>
        <w:ind w:left="576"/>
      </w:pPr>
      <w:r>
        <w:rPr>
          <w:rFonts w:ascii="Consolas" w:hAnsi="Consolas"/>
          <w:color w:val="2C3E50"/>
          <w:sz w:val="18"/>
        </w:rPr>
        <w:t xml:space="preserve">    ELSE 'Unknown'</w:t>
      </w:r>
    </w:p>
    <w:p>
      <w:pPr>
        <w:pStyle w:val="NoSpacing"/>
        <w:spacing w:before="0" w:after="0"/>
        <w:ind w:left="576"/>
      </w:pPr>
      <w:r>
        <w:rPr>
          <w:rFonts w:ascii="Consolas" w:hAnsi="Consolas"/>
          <w:color w:val="2C3E50"/>
          <w:sz w:val="18"/>
        </w:rPr>
        <w:t>END AS status_label</w:t>
      </w:r>
    </w:p>
    <w:p/>
    <w:p>
      <w:pPr>
        <w:jc w:val="center"/>
      </w:pPr>
      <w:r>
        <w:rPr>
          <w:b/>
          <w:color w:val="2980B9"/>
          <w:sz w:val="22"/>
        </w:rPr>
        <w:t>How CASE Evaluates (Top-to-Bottom)</w:t>
      </w:r>
    </w:p>
    <w:tbl>
      <w:tblPr>
        <w:tblW w:type="auto" w:w="0"/>
        <w:jc w:val="center"/>
        <w:tblLook w:firstColumn="1" w:firstRow="1" w:lastColumn="0" w:lastRow="0" w:noHBand="0" w:noVBand="1" w:val="04A0"/>
      </w:tblPr>
      <w:tblGrid>
        <w:gridCol w:w="9792"/>
      </w:tblGrid>
      <w:tr>
        <w:tc>
          <w:tcPr>
            <w:tcW w:type="dxa" w:w="7937"/>
            <w:shd w:val="clear" w:color="auto" w:fill="D6EAF8"/>
          </w:tcPr>
          <w:p>
            <w:pPr>
              <w:jc w:val="center"/>
            </w:pPr>
            <w:r>
              <w:rPr>
                <w:b/>
                <w:sz w:val="18"/>
              </w:rPr>
              <w:t>Row arrives — e.g. price = 600</w:t>
            </w:r>
          </w:p>
        </w:tc>
      </w:tr>
      <w:tr>
        <w:tc>
          <w:tcPr>
            <w:tcW w:type="dxa" w:w="7937"/>
            <w:tcBorders>
              <w:top w:val="none" w:sz="0"/>
              <w:bottom w:val="none" w:sz="0"/>
              <w:left w:val="none" w:sz="0"/>
              <w:right w:val="none" w:sz="0"/>
            </w:tcBorders>
          </w:tcPr>
          <w:p>
            <w:pPr>
              <w:jc w:val="center"/>
            </w:pPr>
            <w:r>
              <w:rPr>
                <w:color w:val="2980B9"/>
                <w:sz w:val="28"/>
              </w:rPr>
              <w:t>↓ if FALSE</w:t>
            </w:r>
          </w:p>
        </w:tc>
      </w:tr>
      <w:tr>
        <w:tc>
          <w:tcPr>
            <w:tcW w:type="dxa" w:w="7937"/>
            <w:shd w:val="clear" w:color="auto" w:fill="D5F5E3"/>
          </w:tcPr>
          <w:p>
            <w:pPr>
              <w:jc w:val="center"/>
            </w:pPr>
            <w:r>
              <w:rPr>
                <w:b/>
                <w:sz w:val="18"/>
              </w:rPr>
              <w:t>WHEN price &gt; 500?  →  TRUE  →  Return 'Expensive'  ✔  STOP</w:t>
            </w:r>
          </w:p>
        </w:tc>
      </w:tr>
      <w:tr>
        <w:tc>
          <w:tcPr>
            <w:tcW w:type="dxa" w:w="7937"/>
            <w:tcBorders>
              <w:top w:val="none" w:sz="0"/>
              <w:bottom w:val="none" w:sz="0"/>
              <w:left w:val="none" w:sz="0"/>
              <w:right w:val="none" w:sz="0"/>
            </w:tcBorders>
          </w:tcPr>
          <w:p>
            <w:pPr>
              <w:jc w:val="center"/>
            </w:pPr>
            <w:r>
              <w:rPr>
                <w:color w:val="2980B9"/>
                <w:sz w:val="28"/>
              </w:rPr>
              <w:t>↓ if FALSE</w:t>
            </w:r>
          </w:p>
        </w:tc>
      </w:tr>
      <w:tr>
        <w:tc>
          <w:tcPr>
            <w:tcW w:type="dxa" w:w="7937"/>
            <w:shd w:val="clear" w:color="auto" w:fill="ECF0F1"/>
          </w:tcPr>
          <w:p>
            <w:pPr>
              <w:jc w:val="center"/>
            </w:pPr>
            <w:r>
              <w:rPr>
                <w:b/>
                <w:sz w:val="18"/>
              </w:rPr>
              <w:t>WHEN price &gt; 200?  →  (never reached)</w:t>
            </w:r>
          </w:p>
        </w:tc>
      </w:tr>
      <w:tr>
        <w:tc>
          <w:tcPr>
            <w:tcW w:type="dxa" w:w="7937"/>
            <w:tcBorders>
              <w:top w:val="none" w:sz="0"/>
              <w:bottom w:val="none" w:sz="0"/>
              <w:left w:val="none" w:sz="0"/>
              <w:right w:val="none" w:sz="0"/>
            </w:tcBorders>
          </w:tcPr>
          <w:p>
            <w:pPr>
              <w:jc w:val="center"/>
            </w:pPr>
            <w:r>
              <w:rPr>
                <w:color w:val="2980B9"/>
                <w:sz w:val="28"/>
              </w:rPr>
              <w:t>↓ if FALSE</w:t>
            </w:r>
          </w:p>
        </w:tc>
      </w:tr>
      <w:tr>
        <w:tc>
          <w:tcPr>
            <w:tcW w:type="dxa" w:w="7937"/>
            <w:shd w:val="clear" w:color="auto" w:fill="ECF0F1"/>
          </w:tcPr>
          <w:p>
            <w:pPr>
              <w:jc w:val="center"/>
            </w:pPr>
            <w:r>
              <w:rPr>
                <w:b/>
                <w:sz w:val="18"/>
              </w:rPr>
              <w:t>ELSE 'Budget'  →  (never reached)</w:t>
            </w:r>
          </w:p>
        </w:tc>
      </w:tr>
    </w:tbl>
    <w:p/>
    <w:p>
      <w:pPr>
        <w:spacing w:after="120"/>
      </w:pPr>
      <w:r>
        <w:rPr>
          <w:b/>
          <w:color w:val="2C3E50"/>
          <w:sz w:val="20"/>
        </w:rPr>
        <w:t>Key Rules:</w:t>
      </w:r>
    </w:p>
    <w:p>
      <w:pPr>
        <w:pStyle w:val="ListBullet"/>
      </w:pPr>
      <w:r>
        <w:t>Evaluation order matters. CASE evaluates WHEN clauses from top to bottom and stops at the first TRUE condition. A product priced at $600 matches both &gt; 500 and &gt; 200, but &gt; 500 is checked first.</w:t>
      </w:r>
    </w:p>
    <w:p>
      <w:pPr>
        <w:pStyle w:val="ListBullet"/>
      </w:pPr>
      <w:r>
        <w:t>Always include an ELSE clause to handle unexpected or uncategorised values. Without ELSE, unmatched rows return NULL.</w:t>
      </w:r>
    </w:p>
    <w:p>
      <w:pPr>
        <w:pStyle w:val="ListBullet"/>
      </w:pPr>
      <w:r>
        <w:t>CASE can be used in SELECT, WHERE, GROUP BY, ORDER BY, and inside aggregate functions (see Section 3.3 on conditional aggregation).</w:t>
      </w:r>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Order your WHEN conditions from the most specific to the most general to avoid logical errors.</w:t>
            </w:r>
          </w:p>
        </w:tc>
      </w:tr>
    </w:tbl>
    <w:p/>
    <w:p>
      <w:pPr>
        <w:pStyle w:val="Heading2"/>
      </w:pPr>
      <w:r>
        <w:rPr>
          <w:color w:val="1A1A2E"/>
        </w:rPr>
        <w:t>2.2 The COALESCE Function</w:t>
      </w:r>
    </w:p>
    <w:p>
      <w:pPr>
        <w:spacing w:after="120"/>
      </w:pPr>
      <w:r>
        <w:rPr>
          <w:sz w:val="20"/>
        </w:rPr>
        <w:t>COALESCE is an essential tool for data cleansing. It accepts a list of arguments and returns the first non-NULL value, reading left to right. If all arguments are NULL, it returns NULL.</w:t>
      </w:r>
    </w:p>
    <w:p>
      <w:pPr>
        <w:spacing w:after="120"/>
      </w:pPr>
      <w:r>
        <w:rPr>
          <w:b/>
          <w:color w:val="2C3E50"/>
          <w:sz w:val="20"/>
        </w:rPr>
        <w:t>Syntax and Examples:</w:t>
      </w:r>
    </w:p>
    <w:p>
      <w:pPr>
        <w:pStyle w:val="NoSpacing"/>
        <w:spacing w:before="0" w:after="0"/>
        <w:ind w:left="576"/>
      </w:pPr>
      <w:r>
        <w:rPr>
          <w:rFonts w:ascii="Consolas" w:hAnsi="Consolas"/>
          <w:color w:val="2C3E50"/>
          <w:sz w:val="18"/>
        </w:rPr>
        <w:t>-- Replace NULL commission with zero</w:t>
      </w:r>
    </w:p>
    <w:p>
      <w:pPr>
        <w:pStyle w:val="NoSpacing"/>
        <w:spacing w:before="0" w:after="0"/>
        <w:ind w:left="576"/>
      </w:pPr>
      <w:r>
        <w:rPr>
          <w:rFonts w:ascii="Consolas" w:hAnsi="Consolas"/>
          <w:color w:val="2C3E50"/>
          <w:sz w:val="18"/>
        </w:rPr>
        <w:t>SELECT COALESCE(sales_commission, 0) AS commission</w:t>
      </w:r>
    </w:p>
    <w:p>
      <w:pPr>
        <w:pStyle w:val="NoSpacing"/>
        <w:spacing w:before="0" w:after="0"/>
        <w:ind w:left="576"/>
      </w:pPr>
      <w:r>
        <w:rPr>
          <w:rFonts w:ascii="Consolas" w:hAnsi="Consolas"/>
          <w:color w:val="2C3E50"/>
          <w:sz w:val="18"/>
        </w:rPr>
        <w:t>FROM employees;</w:t>
      </w:r>
    </w:p>
    <w:p>
      <w:pPr>
        <w:pStyle w:val="NoSpacing"/>
        <w:spacing w:before="0" w:after="0"/>
        <w:ind w:left="576"/>
      </w:pPr>
    </w:p>
    <w:p>
      <w:pPr>
        <w:pStyle w:val="NoSpacing"/>
        <w:spacing w:before="0" w:after="0"/>
        <w:ind w:left="576"/>
      </w:pPr>
      <w:r>
        <w:rPr>
          <w:rFonts w:ascii="Consolas" w:hAnsi="Consolas"/>
          <w:color w:val="2C3E50"/>
          <w:sz w:val="18"/>
        </w:rPr>
        <w:t>-- Replace NULL ship_date with a descriptive string</w:t>
      </w:r>
    </w:p>
    <w:p>
      <w:pPr>
        <w:pStyle w:val="NoSpacing"/>
        <w:spacing w:before="0" w:after="0"/>
        <w:ind w:left="576"/>
      </w:pPr>
      <w:r>
        <w:rPr>
          <w:rFonts w:ascii="Consolas" w:hAnsi="Consolas"/>
          <w:color w:val="2C3E50"/>
          <w:sz w:val="18"/>
        </w:rPr>
        <w:t>SELECT COALESCE(ship_date::TEXT, 'Not Shipped') AS shipping_status</w:t>
      </w:r>
    </w:p>
    <w:p>
      <w:pPr>
        <w:pStyle w:val="NoSpacing"/>
        <w:spacing w:before="0" w:after="0"/>
        <w:ind w:left="576"/>
      </w:pPr>
      <w:r>
        <w:rPr>
          <w:rFonts w:ascii="Consolas" w:hAnsi="Consolas"/>
          <w:color w:val="2C3E50"/>
          <w:sz w:val="18"/>
        </w:rPr>
        <w:t>FROM orders;</w:t>
      </w:r>
    </w:p>
    <w:p>
      <w:pPr>
        <w:pStyle w:val="NoSpacing"/>
        <w:spacing w:before="0" w:after="0"/>
        <w:ind w:left="576"/>
      </w:pPr>
    </w:p>
    <w:p>
      <w:pPr>
        <w:pStyle w:val="NoSpacing"/>
        <w:spacing w:before="0" w:after="0"/>
        <w:ind w:left="576"/>
      </w:pPr>
      <w:r>
        <w:rPr>
          <w:rFonts w:ascii="Consolas" w:hAnsi="Consolas"/>
          <w:color w:val="2C3E50"/>
          <w:sz w:val="18"/>
        </w:rPr>
        <w:t>-- Chain multiple fallbacks</w:t>
      </w:r>
    </w:p>
    <w:p>
      <w:pPr>
        <w:pStyle w:val="NoSpacing"/>
        <w:spacing w:before="0" w:after="0"/>
        <w:ind w:left="576"/>
      </w:pPr>
      <w:r>
        <w:rPr>
          <w:rFonts w:ascii="Consolas" w:hAnsi="Consolas"/>
          <w:color w:val="2C3E50"/>
          <w:sz w:val="18"/>
        </w:rPr>
        <w:t>SELECT COALESCE(mobile_phone, home_phone, office_phone, 'No phone on file')</w:t>
      </w:r>
    </w:p>
    <w:p>
      <w:pPr>
        <w:pStyle w:val="NoSpacing"/>
        <w:spacing w:before="0" w:after="0"/>
        <w:ind w:left="576"/>
      </w:pPr>
      <w:r>
        <w:rPr>
          <w:rFonts w:ascii="Consolas" w:hAnsi="Consolas"/>
          <w:color w:val="2C3E50"/>
          <w:sz w:val="18"/>
        </w:rPr>
        <w:t>FROM contacts;</w:t>
      </w:r>
    </w:p>
    <w:p/>
    <w:p>
      <w:pPr>
        <w:jc w:val="center"/>
      </w:pPr>
      <w:r>
        <w:rPr>
          <w:b/>
          <w:color w:val="2980B9"/>
          <w:sz w:val="22"/>
        </w:rPr>
        <w:t>COALESCE Evaluation (Left-to-Right)</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FADBD8"/>
            <w:vAlign w:val="center"/>
          </w:tcPr>
          <w:p>
            <w:pPr>
              <w:jc w:val="center"/>
            </w:pPr>
            <w:r>
              <w:rPr>
                <w:b/>
                <w:sz w:val="16"/>
              </w:rPr>
              <w:t>Arg 1</w:t>
              <w:br/>
              <w:t>NULL?</w:t>
            </w:r>
          </w:p>
        </w:tc>
        <w:tc>
          <w:tcPr>
            <w:tcW w:type="dxa" w:w="1399"/>
            <w:tcBorders>
              <w:top w:val="none" w:sz="0"/>
              <w:bottom w:val="none" w:sz="0"/>
              <w:left w:val="none" w:sz="0"/>
              <w:right w:val="none" w:sz="0"/>
            </w:tcBorders>
          </w:tcPr>
          <w:p>
            <w:pPr>
              <w:jc w:val="center"/>
            </w:pPr>
            <w:r>
              <w:rPr>
                <w:color w:val="2980B9"/>
                <w:sz w:val="32"/>
              </w:rPr>
              <w:t>→</w:t>
            </w:r>
          </w:p>
        </w:tc>
        <w:tc>
          <w:tcPr>
            <w:tcW w:type="dxa" w:w="1399"/>
            <w:shd w:val="clear" w:color="auto" w:fill="FADBD8"/>
            <w:vAlign w:val="center"/>
          </w:tcPr>
          <w:p>
            <w:pPr>
              <w:jc w:val="center"/>
            </w:pPr>
            <w:r>
              <w:rPr>
                <w:b/>
                <w:sz w:val="16"/>
              </w:rPr>
              <w:t>Arg 2</w:t>
              <w:br/>
              <w:t>NULL?</w:t>
            </w:r>
          </w:p>
        </w:tc>
        <w:tc>
          <w:tcPr>
            <w:tcW w:type="dxa" w:w="1399"/>
            <w:tcBorders>
              <w:top w:val="none" w:sz="0"/>
              <w:bottom w:val="none" w:sz="0"/>
              <w:left w:val="none" w:sz="0"/>
              <w:right w:val="none" w:sz="0"/>
            </w:tcBorders>
          </w:tcPr>
          <w:p>
            <w:pPr>
              <w:jc w:val="center"/>
            </w:pPr>
            <w:r>
              <w:rPr>
                <w:color w:val="2980B9"/>
                <w:sz w:val="32"/>
              </w:rPr>
              <w:t>→</w:t>
            </w:r>
          </w:p>
        </w:tc>
        <w:tc>
          <w:tcPr>
            <w:tcW w:type="dxa" w:w="1399"/>
            <w:shd w:val="clear" w:color="auto" w:fill="D5F5E3"/>
            <w:vAlign w:val="center"/>
          </w:tcPr>
          <w:p>
            <w:pPr>
              <w:jc w:val="center"/>
            </w:pPr>
            <w:r>
              <w:rPr>
                <w:b/>
                <w:sz w:val="16"/>
              </w:rPr>
              <w:t>Arg 3</w:t>
              <w:br/>
              <w:t>Not NULL!</w:t>
            </w:r>
          </w:p>
        </w:tc>
        <w:tc>
          <w:tcPr>
            <w:tcW w:type="dxa" w:w="1399"/>
            <w:tcBorders>
              <w:top w:val="none" w:sz="0"/>
              <w:bottom w:val="none" w:sz="0"/>
              <w:left w:val="none" w:sz="0"/>
              <w:right w:val="none" w:sz="0"/>
            </w:tcBorders>
          </w:tcPr>
          <w:p>
            <w:pPr>
              <w:jc w:val="center"/>
            </w:pPr>
            <w:r>
              <w:rPr>
                <w:color w:val="2980B9"/>
                <w:sz w:val="32"/>
              </w:rPr>
              <w:t>→</w:t>
            </w:r>
          </w:p>
        </w:tc>
        <w:tc>
          <w:tcPr>
            <w:tcW w:type="dxa" w:w="1399"/>
            <w:shd w:val="clear" w:color="auto" w:fill="D5F5E3"/>
            <w:vAlign w:val="center"/>
          </w:tcPr>
          <w:p>
            <w:pPr>
              <w:jc w:val="center"/>
            </w:pPr>
            <w:r>
              <w:rPr>
                <w:b/>
                <w:sz w:val="16"/>
              </w:rPr>
              <w:t>Return</w:t>
              <w:br/>
              <w:t>Arg 3</w:t>
            </w:r>
          </w:p>
        </w:tc>
      </w:tr>
    </w:tbl>
    <w:p/>
    <w:p>
      <w:pPr>
        <w:spacing w:after="120"/>
      </w:pPr>
      <w:r>
        <w:rPr>
          <w:b/>
          <w:color w:val="2C3E50"/>
          <w:sz w:val="20"/>
        </w:rPr>
        <w:t>Key Rules:</w:t>
      </w:r>
    </w:p>
    <w:p>
      <w:pPr>
        <w:pStyle w:val="ListBullet"/>
      </w:pPr>
      <w:r>
        <w:t>All arguments must be the same data type, or be implicitly castable to a common type. If you mix a DATE column with a TEXT literal, you must explicitly cast the DATE to TEXT first (e.g., ship_date::TEXT).</w:t>
      </w:r>
    </w:p>
    <w:p>
      <w:pPr>
        <w:pStyle w:val="ListBullet"/>
      </w:pPr>
      <w:r>
        <w:t>COALESCE is critical for data integrity. Without it, NULL values can cause calculations to silently exclude rows (since any arithmetic with NULL produces NULL) or display blank cells in reports.</w:t>
      </w:r>
    </w:p>
    <w:p>
      <w:pPr>
        <w:pStyle w:val="ListBullet"/>
      </w:pPr>
      <w:r>
        <w:t>COALESCE can accept more than two arguments — it will scan them left to right until it finds a non-NULL value.</w:t>
      </w:r>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Use COALESCE defensively whenever a column may contain NULLs, especially inside SUM or COUNT calculations where NULLs can produce unexpected results.</w:t>
            </w:r>
          </w:p>
        </w:tc>
      </w:tr>
    </w:tbl>
    <w:p/>
    <w:p>
      <w:pPr>
        <w:pStyle w:val="Heading2"/>
      </w:pPr>
      <w:r>
        <w:rPr>
          <w:color w:val="1A1A2E"/>
        </w:rPr>
        <w:t>2.3 Date and Time Functions</w:t>
      </w:r>
    </w:p>
    <w:p>
      <w:pPr>
        <w:spacing w:after="120"/>
      </w:pPr>
      <w:r>
        <w:rPr>
          <w:sz w:val="20"/>
        </w:rPr>
        <w:t>Date functions are vital for time-based analysis — calculating customer longevity, days since last purchase, seasonal trends, and period-based aggregations. Syntax varies between database platforms, but the concepts are universal.</w:t>
      </w:r>
    </w:p>
    <w:p>
      <w:pPr>
        <w:spacing w:after="120"/>
      </w:pPr>
      <w:r>
        <w:rPr>
          <w:b/>
          <w:color w:val="2C3E50"/>
          <w:sz w:val="20"/>
        </w:rPr>
        <w:t>EXTRACT — Pulling Components from a Date:</w:t>
      </w:r>
    </w:p>
    <w:p>
      <w:pPr>
        <w:pStyle w:val="NoSpacing"/>
        <w:spacing w:before="0" w:after="0"/>
        <w:ind w:left="576"/>
      </w:pPr>
      <w:r>
        <w:rPr>
          <w:rFonts w:ascii="Consolas" w:hAnsi="Consolas"/>
          <w:color w:val="2C3E50"/>
          <w:sz w:val="18"/>
        </w:rPr>
        <w:t>-- Extract the year, month, and day-of-week from a date</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EXTRACT(YEAR  FROM order_date) AS order_year,</w:t>
      </w:r>
    </w:p>
    <w:p>
      <w:pPr>
        <w:pStyle w:val="NoSpacing"/>
        <w:spacing w:before="0" w:after="0"/>
        <w:ind w:left="576"/>
      </w:pPr>
      <w:r>
        <w:rPr>
          <w:rFonts w:ascii="Consolas" w:hAnsi="Consolas"/>
          <w:color w:val="2C3E50"/>
          <w:sz w:val="18"/>
        </w:rPr>
        <w:t xml:space="preserve">    EXTRACT(MONTH FROM order_date) AS order_month,</w:t>
      </w:r>
    </w:p>
    <w:p>
      <w:pPr>
        <w:pStyle w:val="NoSpacing"/>
        <w:spacing w:before="0" w:after="0"/>
        <w:ind w:left="576"/>
      </w:pPr>
      <w:r>
        <w:rPr>
          <w:rFonts w:ascii="Consolas" w:hAnsi="Consolas"/>
          <w:color w:val="2C3E50"/>
          <w:sz w:val="18"/>
        </w:rPr>
        <w:t xml:space="preserve">    EXTRACT(DOW   FROM order_date) AS day_of_week</w:t>
      </w:r>
    </w:p>
    <w:p>
      <w:pPr>
        <w:pStyle w:val="NoSpacing"/>
        <w:spacing w:before="0" w:after="0"/>
        <w:ind w:left="576"/>
      </w:pPr>
      <w:r>
        <w:rPr>
          <w:rFonts w:ascii="Consolas" w:hAnsi="Consolas"/>
          <w:color w:val="2C3E50"/>
          <w:sz w:val="18"/>
        </w:rPr>
        <w:t>FROM orders;</w:t>
      </w:r>
    </w:p>
    <w:p/>
    <w:p>
      <w:pPr>
        <w:spacing w:after="120"/>
      </w:pPr>
      <w:r>
        <w:rPr>
          <w:sz w:val="20"/>
        </w:rPr>
        <w:t>In PostgreSQL, DOW (Day Of Week) returns 0 = Sunday through 6 = Saturday. Other platforms may differ: MySQL’s DAYOFWEEK() returns 1 = Sunday through 7 = Saturday.</w:t>
      </w:r>
    </w:p>
    <w:p>
      <w:pPr>
        <w:spacing w:after="120"/>
      </w:pPr>
      <w:r>
        <w:rPr>
          <w:b/>
          <w:color w:val="2C3E50"/>
          <w:sz w:val="20"/>
        </w:rPr>
        <w:t>DATE_TRUNC — Truncating to a Period Boundary:</w:t>
      </w:r>
    </w:p>
    <w:p>
      <w:pPr>
        <w:pStyle w:val="NoSpacing"/>
        <w:spacing w:before="0" w:after="0"/>
        <w:ind w:left="576"/>
      </w:pPr>
      <w:r>
        <w:rPr>
          <w:rFonts w:ascii="Consolas" w:hAnsi="Consolas"/>
          <w:color w:val="2C3E50"/>
          <w:sz w:val="18"/>
        </w:rPr>
        <w:t>-- Truncate timestamps to the start of the hour / day / month</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DATE_TRUNC('hour',  event_timestamp) AS event_hour,</w:t>
      </w:r>
    </w:p>
    <w:p>
      <w:pPr>
        <w:pStyle w:val="NoSpacing"/>
        <w:spacing w:before="0" w:after="0"/>
        <w:ind w:left="576"/>
      </w:pPr>
      <w:r>
        <w:rPr>
          <w:rFonts w:ascii="Consolas" w:hAnsi="Consolas"/>
          <w:color w:val="2C3E50"/>
          <w:sz w:val="18"/>
        </w:rPr>
        <w:t xml:space="preserve">    DATE_TRUNC('day',   event_timestamp) AS event_day,</w:t>
      </w:r>
    </w:p>
    <w:p>
      <w:pPr>
        <w:pStyle w:val="NoSpacing"/>
        <w:spacing w:before="0" w:after="0"/>
        <w:ind w:left="576"/>
      </w:pPr>
      <w:r>
        <w:rPr>
          <w:rFonts w:ascii="Consolas" w:hAnsi="Consolas"/>
          <w:color w:val="2C3E50"/>
          <w:sz w:val="18"/>
        </w:rPr>
        <w:t xml:space="preserve">    DATE_TRUNC('month', order_date)      AS order_month</w:t>
      </w:r>
    </w:p>
    <w:p>
      <w:pPr>
        <w:pStyle w:val="NoSpacing"/>
        <w:spacing w:before="0" w:after="0"/>
        <w:ind w:left="576"/>
      </w:pPr>
      <w:r>
        <w:rPr>
          <w:rFonts w:ascii="Consolas" w:hAnsi="Consolas"/>
          <w:color w:val="2C3E50"/>
          <w:sz w:val="18"/>
        </w:rPr>
        <w:t>FROM events;</w:t>
      </w:r>
    </w:p>
    <w:p/>
    <w:p>
      <w:pPr>
        <w:spacing w:after="120"/>
      </w:pPr>
      <w:r>
        <w:rPr>
          <w:sz w:val="20"/>
        </w:rPr>
        <w:t>DATE_TRUNC is especially useful for grouping data into time periods. It rounds down a timestamp to the start of the specified unit (hour, day, month, quarter, year).</w:t>
      </w:r>
    </w:p>
    <w:p>
      <w:pPr>
        <w:spacing w:after="120"/>
      </w:pPr>
      <w:r>
        <w:rPr>
          <w:b/>
          <w:color w:val="2C3E50"/>
          <w:sz w:val="20"/>
        </w:rPr>
        <w:t>Date Filtering with BETWEEN:</w:t>
      </w:r>
    </w:p>
    <w:p>
      <w:pPr>
        <w:pStyle w:val="NoSpacing"/>
        <w:spacing w:before="0" w:after="0"/>
        <w:ind w:left="576"/>
      </w:pPr>
      <w:r>
        <w:rPr>
          <w:rFonts w:ascii="Consolas" w:hAnsi="Consolas"/>
          <w:color w:val="2C3E50"/>
          <w:sz w:val="18"/>
        </w:rPr>
        <w:t>-- Filter to orders placed in January 2024</w:t>
      </w:r>
    </w:p>
    <w:p>
      <w:pPr>
        <w:pStyle w:val="NoSpacing"/>
        <w:spacing w:before="0" w:after="0"/>
        <w:ind w:left="576"/>
      </w:pPr>
      <w:r>
        <w:rPr>
          <w:rFonts w:ascii="Consolas" w:hAnsi="Consolas"/>
          <w:color w:val="2C3E50"/>
          <w:sz w:val="18"/>
        </w:rPr>
        <w:t>WHERE order_date BETWEEN '2024-01-01' AND '2024-01-31'</w:t>
      </w:r>
    </w:p>
    <w:p>
      <w:pPr>
        <w:pStyle w:val="NoSpacing"/>
        <w:spacing w:before="0" w:after="0"/>
        <w:ind w:left="576"/>
      </w:pPr>
    </w:p>
    <w:p>
      <w:pPr>
        <w:pStyle w:val="NoSpacing"/>
        <w:spacing w:before="0" w:after="0"/>
        <w:ind w:left="576"/>
      </w:pPr>
      <w:r>
        <w:rPr>
          <w:rFonts w:ascii="Consolas" w:hAnsi="Consolas"/>
          <w:color w:val="2C3E50"/>
          <w:sz w:val="18"/>
        </w:rPr>
        <w:t>-- Optimised alternative: half-open interval (see Section 4)</w:t>
      </w:r>
    </w:p>
    <w:p>
      <w:pPr>
        <w:pStyle w:val="NoSpacing"/>
        <w:spacing w:before="0" w:after="0"/>
        <w:ind w:left="576"/>
      </w:pPr>
      <w:r>
        <w:rPr>
          <w:rFonts w:ascii="Consolas" w:hAnsi="Consolas"/>
          <w:color w:val="2C3E50"/>
          <w:sz w:val="18"/>
        </w:rPr>
        <w:t>WHERE order_date &gt;= '2024-01-01'</w:t>
      </w:r>
    </w:p>
    <w:p>
      <w:pPr>
        <w:pStyle w:val="NoSpacing"/>
        <w:spacing w:before="0" w:after="0"/>
        <w:ind w:left="576"/>
      </w:pPr>
      <w:r>
        <w:rPr>
          <w:rFonts w:ascii="Consolas" w:hAnsi="Consolas"/>
          <w:color w:val="2C3E50"/>
          <w:sz w:val="18"/>
        </w:rPr>
        <w:t xml:space="preserve">  AND order_date &lt;  '2024-02-01'</w:t>
      </w:r>
    </w:p>
    <w:p/>
    <w:p>
      <w:pPr>
        <w:spacing w:after="120"/>
      </w:pPr>
      <w:r>
        <w:rPr>
          <w:b/>
          <w:color w:val="2C3E50"/>
          <w:sz w:val="20"/>
        </w:rPr>
        <w:t>Formatting with TO_CHAR (PostgreSQL):</w:t>
      </w:r>
    </w:p>
    <w:p>
      <w:pPr>
        <w:pStyle w:val="NoSpacing"/>
        <w:spacing w:before="0" w:after="0"/>
        <w:ind w:left="576"/>
      </w:pPr>
      <w:r>
        <w:rPr>
          <w:rFonts w:ascii="Consolas" w:hAnsi="Consolas"/>
          <w:color w:val="2C3E50"/>
          <w:sz w:val="18"/>
        </w:rPr>
        <w:t>-- Convert a date to a human-readable month name</w:t>
      </w:r>
    </w:p>
    <w:p>
      <w:pPr>
        <w:pStyle w:val="NoSpacing"/>
        <w:spacing w:before="0" w:after="0"/>
        <w:ind w:left="576"/>
      </w:pPr>
      <w:r>
        <w:rPr>
          <w:rFonts w:ascii="Consolas" w:hAnsi="Consolas"/>
          <w:color w:val="2C3E50"/>
          <w:sz w:val="18"/>
        </w:rPr>
        <w:t>SELECT TO_CHAR(order_date, 'Month') AS month_name FROM orders;</w:t>
      </w:r>
    </w:p>
    <w:p>
      <w:pPr>
        <w:pStyle w:val="NoSpacing"/>
        <w:spacing w:before="0" w:after="0"/>
        <w:ind w:left="576"/>
      </w:pPr>
      <w:r>
        <w:rPr>
          <w:rFonts w:ascii="Consolas" w:hAnsi="Consolas"/>
          <w:color w:val="2C3E50"/>
          <w:sz w:val="18"/>
        </w:rPr>
        <w:t>-- Returns: 'January  ', 'February ', etc.</w:t>
      </w:r>
    </w:p>
    <w:p/>
    <w:p>
      <w:pPr>
        <w:spacing w:after="120"/>
      </w:pPr>
      <w:r>
        <w:rPr>
          <w:b/>
          <w:color w:val="2C3E50"/>
          <w:sz w:val="20"/>
        </w:rPr>
        <w:t>Platform Differences: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2C3E50"/>
            <w:vAlign w:val="center"/>
          </w:tcPr>
          <w:p>
            <w:pPr>
              <w:jc w:val="center"/>
            </w:pPr>
            <w:r/>
            <w:r>
              <w:rPr>
                <w:b/>
                <w:color w:val="FFFFFF"/>
                <w:sz w:val="20"/>
              </w:rPr>
              <w:t>Function</w:t>
            </w:r>
          </w:p>
        </w:tc>
        <w:tc>
          <w:tcPr>
            <w:tcW w:type="dxa" w:w="2448"/>
            <w:shd w:val="clear" w:color="auto" w:fill="2C3E50"/>
            <w:vAlign w:val="center"/>
          </w:tcPr>
          <w:p>
            <w:pPr>
              <w:jc w:val="center"/>
            </w:pPr>
            <w:r/>
            <w:r>
              <w:rPr>
                <w:b/>
                <w:color w:val="FFFFFF"/>
                <w:sz w:val="20"/>
              </w:rPr>
              <w:t>PostgreSQL</w:t>
            </w:r>
          </w:p>
        </w:tc>
        <w:tc>
          <w:tcPr>
            <w:tcW w:type="dxa" w:w="2448"/>
            <w:shd w:val="clear" w:color="auto" w:fill="2C3E50"/>
            <w:vAlign w:val="center"/>
          </w:tcPr>
          <w:p>
            <w:pPr>
              <w:jc w:val="center"/>
            </w:pPr>
            <w:r/>
            <w:r>
              <w:rPr>
                <w:b/>
                <w:color w:val="FFFFFF"/>
                <w:sz w:val="20"/>
              </w:rPr>
              <w:t>MySQL</w:t>
            </w:r>
          </w:p>
        </w:tc>
        <w:tc>
          <w:tcPr>
            <w:tcW w:type="dxa" w:w="2448"/>
            <w:shd w:val="clear" w:color="auto" w:fill="2C3E50"/>
            <w:vAlign w:val="center"/>
          </w:tcPr>
          <w:p>
            <w:pPr>
              <w:jc w:val="center"/>
            </w:pPr>
            <w:r/>
            <w:r>
              <w:rPr>
                <w:b/>
                <w:color w:val="FFFFFF"/>
                <w:sz w:val="20"/>
              </w:rPr>
              <w:t>SQL Server</w:t>
            </w:r>
          </w:p>
        </w:tc>
      </w:tr>
      <w:tr>
        <w:tc>
          <w:tcPr>
            <w:tcW w:type="dxa" w:w="2448"/>
            <w:shd w:val="clear" w:color="auto" w:fill="ECF0F1"/>
            <w:vAlign w:val="center"/>
          </w:tcPr>
          <w:p>
            <w:r/>
            <w:r>
              <w:rPr>
                <w:b w:val="0"/>
                <w:sz w:val="18"/>
              </w:rPr>
              <w:t>Extract day-of-week</w:t>
            </w:r>
          </w:p>
        </w:tc>
        <w:tc>
          <w:tcPr>
            <w:tcW w:type="dxa" w:w="2448"/>
            <w:shd w:val="clear" w:color="auto" w:fill="ECF0F1"/>
            <w:vAlign w:val="center"/>
          </w:tcPr>
          <w:p>
            <w:r/>
            <w:r>
              <w:rPr>
                <w:b w:val="0"/>
                <w:sz w:val="18"/>
              </w:rPr>
              <w:t>EXTRACT(DOW FROM d)</w:t>
            </w:r>
          </w:p>
        </w:tc>
        <w:tc>
          <w:tcPr>
            <w:tcW w:type="dxa" w:w="2448"/>
            <w:shd w:val="clear" w:color="auto" w:fill="ECF0F1"/>
            <w:vAlign w:val="center"/>
          </w:tcPr>
          <w:p>
            <w:r/>
            <w:r>
              <w:rPr>
                <w:b w:val="0"/>
                <w:sz w:val="18"/>
              </w:rPr>
              <w:t>DAYOFWEEK(d)</w:t>
            </w:r>
          </w:p>
        </w:tc>
        <w:tc>
          <w:tcPr>
            <w:tcW w:type="dxa" w:w="2448"/>
            <w:shd w:val="clear" w:color="auto" w:fill="ECF0F1"/>
            <w:vAlign w:val="center"/>
          </w:tcPr>
          <w:p>
            <w:r/>
            <w:r>
              <w:rPr>
                <w:b w:val="0"/>
                <w:sz w:val="18"/>
              </w:rPr>
              <w:t>DATEPART(dw, d)</w:t>
            </w:r>
          </w:p>
        </w:tc>
      </w:tr>
      <w:tr>
        <w:tc>
          <w:tcPr>
            <w:tcW w:type="dxa" w:w="2448"/>
            <w:shd w:val="clear" w:color="auto" w:fill="FFFFFF"/>
            <w:vAlign w:val="center"/>
          </w:tcPr>
          <w:p>
            <w:r/>
            <w:r>
              <w:rPr>
                <w:b w:val="0"/>
                <w:sz w:val="18"/>
              </w:rPr>
              <w:t>Month name</w:t>
            </w:r>
          </w:p>
        </w:tc>
        <w:tc>
          <w:tcPr>
            <w:tcW w:type="dxa" w:w="2448"/>
            <w:shd w:val="clear" w:color="auto" w:fill="FFFFFF"/>
            <w:vAlign w:val="center"/>
          </w:tcPr>
          <w:p>
            <w:r/>
            <w:r>
              <w:rPr>
                <w:b w:val="0"/>
                <w:sz w:val="18"/>
              </w:rPr>
              <w:t>TO_CHAR(d, 'Month')</w:t>
            </w:r>
          </w:p>
        </w:tc>
        <w:tc>
          <w:tcPr>
            <w:tcW w:type="dxa" w:w="2448"/>
            <w:shd w:val="clear" w:color="auto" w:fill="FFFFFF"/>
            <w:vAlign w:val="center"/>
          </w:tcPr>
          <w:p>
            <w:r/>
            <w:r>
              <w:rPr>
                <w:b w:val="0"/>
                <w:sz w:val="18"/>
              </w:rPr>
              <w:t>MONTHNAME(d)</w:t>
            </w:r>
          </w:p>
        </w:tc>
        <w:tc>
          <w:tcPr>
            <w:tcW w:type="dxa" w:w="2448"/>
            <w:shd w:val="clear" w:color="auto" w:fill="FFFFFF"/>
            <w:vAlign w:val="center"/>
          </w:tcPr>
          <w:p>
            <w:r/>
            <w:r>
              <w:rPr>
                <w:b w:val="0"/>
                <w:sz w:val="18"/>
              </w:rPr>
              <w:t>DATENAME(month, d)</w:t>
            </w:r>
          </w:p>
        </w:tc>
      </w:tr>
      <w:tr>
        <w:tc>
          <w:tcPr>
            <w:tcW w:type="dxa" w:w="2448"/>
            <w:shd w:val="clear" w:color="auto" w:fill="ECF0F1"/>
            <w:vAlign w:val="center"/>
          </w:tcPr>
          <w:p>
            <w:r/>
            <w:r>
              <w:rPr>
                <w:b w:val="0"/>
                <w:sz w:val="18"/>
              </w:rPr>
              <w:t>Truncate to month</w:t>
            </w:r>
          </w:p>
        </w:tc>
        <w:tc>
          <w:tcPr>
            <w:tcW w:type="dxa" w:w="2448"/>
            <w:shd w:val="clear" w:color="auto" w:fill="ECF0F1"/>
            <w:vAlign w:val="center"/>
          </w:tcPr>
          <w:p>
            <w:r/>
            <w:r>
              <w:rPr>
                <w:b w:val="0"/>
                <w:sz w:val="18"/>
              </w:rPr>
              <w:t>DATE_TRUNC('month', d)</w:t>
            </w:r>
          </w:p>
        </w:tc>
        <w:tc>
          <w:tcPr>
            <w:tcW w:type="dxa" w:w="2448"/>
            <w:shd w:val="clear" w:color="auto" w:fill="ECF0F1"/>
            <w:vAlign w:val="center"/>
          </w:tcPr>
          <w:p>
            <w:r/>
            <w:r>
              <w:rPr>
                <w:b w:val="0"/>
                <w:sz w:val="18"/>
              </w:rPr>
              <w:t>DATE_FORMAT(d, '%Y-%m-01')</w:t>
            </w:r>
          </w:p>
        </w:tc>
        <w:tc>
          <w:tcPr>
            <w:tcW w:type="dxa" w:w="2448"/>
            <w:shd w:val="clear" w:color="auto" w:fill="ECF0F1"/>
            <w:vAlign w:val="center"/>
          </w:tcPr>
          <w:p>
            <w:r/>
            <w:r>
              <w:rPr>
                <w:b w:val="0"/>
                <w:sz w:val="18"/>
              </w:rPr>
              <w:t>DATEFROMPARTS(YEAR(d),</w:t>
              <w:br/>
              <w:t>MONTH(d), 1)</w:t>
            </w:r>
          </w:p>
        </w:tc>
      </w:tr>
      <w:tr>
        <w:tc>
          <w:tcPr>
            <w:tcW w:type="dxa" w:w="2448"/>
            <w:shd w:val="clear" w:color="auto" w:fill="FFFFFF"/>
            <w:vAlign w:val="center"/>
          </w:tcPr>
          <w:p>
            <w:r/>
            <w:r>
              <w:rPr>
                <w:b w:val="0"/>
                <w:sz w:val="18"/>
              </w:rPr>
              <w:t>Add interval</w:t>
            </w:r>
          </w:p>
        </w:tc>
        <w:tc>
          <w:tcPr>
            <w:tcW w:type="dxa" w:w="2448"/>
            <w:shd w:val="clear" w:color="auto" w:fill="FFFFFF"/>
            <w:vAlign w:val="center"/>
          </w:tcPr>
          <w:p>
            <w:r/>
            <w:r>
              <w:rPr>
                <w:b w:val="0"/>
                <w:sz w:val="18"/>
              </w:rPr>
              <w:t>d + INTERVAL '1 month'</w:t>
            </w:r>
          </w:p>
        </w:tc>
        <w:tc>
          <w:tcPr>
            <w:tcW w:type="dxa" w:w="2448"/>
            <w:shd w:val="clear" w:color="auto" w:fill="FFFFFF"/>
            <w:vAlign w:val="center"/>
          </w:tcPr>
          <w:p>
            <w:r/>
            <w:r>
              <w:rPr>
                <w:b w:val="0"/>
                <w:sz w:val="18"/>
              </w:rPr>
              <w:t>DATE_ADD(d, INTERVAL</w:t>
              <w:br/>
              <w:t>1 MONTH)</w:t>
            </w:r>
          </w:p>
        </w:tc>
        <w:tc>
          <w:tcPr>
            <w:tcW w:type="dxa" w:w="2448"/>
            <w:shd w:val="clear" w:color="auto" w:fill="FFFFFF"/>
            <w:vAlign w:val="center"/>
          </w:tcPr>
          <w:p>
            <w:r/>
            <w:r>
              <w:rPr>
                <w:b w:val="0"/>
                <w:sz w:val="18"/>
              </w:rPr>
              <w:t>DATEADD(month, 1, d)</w:t>
            </w:r>
          </w:p>
        </w:tc>
      </w:tr>
    </w:tbl>
    <w:p/>
    <w:p>
      <w:pPr>
        <w:pStyle w:val="Heading2"/>
      </w:pPr>
      <w:r>
        <w:rPr>
          <w:color w:val="1A1A2E"/>
        </w:rPr>
        <w:t>2.4 Type Casting</w:t>
      </w:r>
    </w:p>
    <w:p>
      <w:pPr>
        <w:spacing w:after="120"/>
      </w:pPr>
      <w:r>
        <w:rPr>
          <w:sz w:val="20"/>
        </w:rPr>
        <w:t>Type casting converts a value from one data type to another. It is often required when combining columns of different types — for example, when using COALESCE to replace a NULL DATE with a TEXT string.</w:t>
      </w:r>
    </w:p>
    <w:p>
      <w:pPr>
        <w:pStyle w:val="NoSpacing"/>
        <w:spacing w:before="0" w:after="0"/>
        <w:ind w:left="576"/>
      </w:pPr>
      <w:r>
        <w:rPr>
          <w:rFonts w:ascii="Consolas" w:hAnsi="Consolas"/>
          <w:color w:val="2C3E50"/>
          <w:sz w:val="18"/>
        </w:rPr>
        <w:t>-- PostgreSQL shorthand (:: operator)</w:t>
      </w:r>
    </w:p>
    <w:p>
      <w:pPr>
        <w:pStyle w:val="NoSpacing"/>
        <w:spacing w:before="0" w:after="0"/>
        <w:ind w:left="576"/>
      </w:pPr>
      <w:r>
        <w:rPr>
          <w:rFonts w:ascii="Consolas" w:hAnsi="Consolas"/>
          <w:color w:val="2C3E50"/>
          <w:sz w:val="18"/>
        </w:rPr>
        <w:t>ship_date::TEXT          -- converts DATE to TEXT</w:t>
      </w:r>
    </w:p>
    <w:p>
      <w:pPr>
        <w:pStyle w:val="NoSpacing"/>
        <w:spacing w:before="0" w:after="0"/>
        <w:ind w:left="576"/>
      </w:pPr>
    </w:p>
    <w:p>
      <w:pPr>
        <w:pStyle w:val="NoSpacing"/>
        <w:spacing w:before="0" w:after="0"/>
        <w:ind w:left="576"/>
      </w:pPr>
      <w:r>
        <w:rPr>
          <w:rFonts w:ascii="Consolas" w:hAnsi="Consolas"/>
          <w:color w:val="2C3E50"/>
          <w:sz w:val="18"/>
        </w:rPr>
        <w:t>-- Standard SQL (works on all platforms)</w:t>
      </w:r>
    </w:p>
    <w:p>
      <w:pPr>
        <w:pStyle w:val="NoSpacing"/>
        <w:spacing w:before="0" w:after="0"/>
        <w:ind w:left="576"/>
      </w:pPr>
      <w:r>
        <w:rPr>
          <w:rFonts w:ascii="Consolas" w:hAnsi="Consolas"/>
          <w:color w:val="2C3E50"/>
          <w:sz w:val="18"/>
        </w:rPr>
        <w:t>CAST(ship_date AS TEXT)  -- equivalent to the above</w:t>
      </w:r>
    </w:p>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Whenever COALESCE reports a type mismatch error, check whether your arguments are different data types and add an explicit cast.</w:t>
            </w:r>
          </w:p>
        </w:tc>
      </w:tr>
    </w:tbl>
    <w:p/>
    <w:p>
      <w:r>
        <w:br w:type="page"/>
      </w:r>
    </w:p>
    <w:p>
      <w:pPr>
        <w:pStyle w:val="Heading1"/>
      </w:pPr>
      <w:r>
        <w:rPr>
          <w:color w:val="1A1A2E"/>
        </w:rPr>
        <w:t>3. Aggregate Functions and Grouping</w:t>
      </w:r>
    </w:p>
    <w:p>
      <w:pPr>
        <w:pStyle w:val="Heading2"/>
      </w:pPr>
      <w:r>
        <w:rPr>
          <w:color w:val="1A1A2E"/>
        </w:rPr>
        <w:t>3.1 COUNT, SUM, AVG — The Basics</w:t>
      </w:r>
    </w:p>
    <w:p>
      <w:pPr>
        <w:spacing w:after="120"/>
      </w:pPr>
      <w:r>
        <w:rPr>
          <w:sz w:val="20"/>
        </w:rPr>
        <w:t>Aggregate functions collapse multiple rows into a single summary value. The table below summarises the core functions and their behaviour with NULL values.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pPr>
              <w:jc w:val="center"/>
            </w:pPr>
            <w:r/>
            <w:r>
              <w:rPr>
                <w:b/>
                <w:color w:val="FFFFFF"/>
                <w:sz w:val="20"/>
              </w:rPr>
              <w:t>Function</w:t>
            </w:r>
          </w:p>
        </w:tc>
        <w:tc>
          <w:tcPr>
            <w:tcW w:type="dxa" w:w="3264"/>
            <w:shd w:val="clear" w:color="auto" w:fill="2C3E50"/>
            <w:vAlign w:val="center"/>
          </w:tcPr>
          <w:p>
            <w:pPr>
              <w:jc w:val="center"/>
            </w:pPr>
            <w:r/>
            <w:r>
              <w:rPr>
                <w:b/>
                <w:color w:val="FFFFFF"/>
                <w:sz w:val="20"/>
              </w:rPr>
              <w:t>What It Does</w:t>
            </w:r>
          </w:p>
        </w:tc>
        <w:tc>
          <w:tcPr>
            <w:tcW w:type="dxa" w:w="3264"/>
            <w:shd w:val="clear" w:color="auto" w:fill="2C3E50"/>
            <w:vAlign w:val="center"/>
          </w:tcPr>
          <w:p>
            <w:pPr>
              <w:jc w:val="center"/>
            </w:pPr>
            <w:r/>
            <w:r>
              <w:rPr>
                <w:b/>
                <w:color w:val="FFFFFF"/>
                <w:sz w:val="20"/>
              </w:rPr>
              <w:t>NULL Behaviour</w:t>
            </w:r>
          </w:p>
        </w:tc>
      </w:tr>
      <w:tr>
        <w:tc>
          <w:tcPr>
            <w:tcW w:type="dxa" w:w="3264"/>
            <w:shd w:val="clear" w:color="auto" w:fill="ECF0F1"/>
            <w:vAlign w:val="center"/>
          </w:tcPr>
          <w:p>
            <w:r/>
            <w:r>
              <w:rPr>
                <w:b w:val="0"/>
                <w:sz w:val="18"/>
              </w:rPr>
              <w:t>COUNT(*)</w:t>
            </w:r>
          </w:p>
        </w:tc>
        <w:tc>
          <w:tcPr>
            <w:tcW w:type="dxa" w:w="3264"/>
            <w:shd w:val="clear" w:color="auto" w:fill="ECF0F1"/>
            <w:vAlign w:val="center"/>
          </w:tcPr>
          <w:p>
            <w:r/>
            <w:r>
              <w:rPr>
                <w:b w:val="0"/>
                <w:sz w:val="18"/>
              </w:rPr>
              <w:t>Counts all rows in the group</w:t>
            </w:r>
          </w:p>
        </w:tc>
        <w:tc>
          <w:tcPr>
            <w:tcW w:type="dxa" w:w="3264"/>
            <w:shd w:val="clear" w:color="auto" w:fill="ECF0F1"/>
            <w:vAlign w:val="center"/>
          </w:tcPr>
          <w:p>
            <w:r/>
            <w:r>
              <w:rPr>
                <w:b w:val="0"/>
                <w:sz w:val="18"/>
              </w:rPr>
              <w:t>Includes rows with NULLs</w:t>
            </w:r>
          </w:p>
        </w:tc>
      </w:tr>
      <w:tr>
        <w:tc>
          <w:tcPr>
            <w:tcW w:type="dxa" w:w="3264"/>
            <w:shd w:val="clear" w:color="auto" w:fill="FFFFFF"/>
            <w:vAlign w:val="center"/>
          </w:tcPr>
          <w:p>
            <w:r/>
            <w:r>
              <w:rPr>
                <w:b w:val="0"/>
                <w:sz w:val="18"/>
              </w:rPr>
              <w:t>COUNT(column)</w:t>
            </w:r>
          </w:p>
        </w:tc>
        <w:tc>
          <w:tcPr>
            <w:tcW w:type="dxa" w:w="3264"/>
            <w:shd w:val="clear" w:color="auto" w:fill="FFFFFF"/>
            <w:vAlign w:val="center"/>
          </w:tcPr>
          <w:p>
            <w:r/>
            <w:r>
              <w:rPr>
                <w:b w:val="0"/>
                <w:sz w:val="18"/>
              </w:rPr>
              <w:t>Counts non-NULL values in column</w:t>
            </w:r>
          </w:p>
        </w:tc>
        <w:tc>
          <w:tcPr>
            <w:tcW w:type="dxa" w:w="3264"/>
            <w:shd w:val="clear" w:color="auto" w:fill="FFFFFF"/>
            <w:vAlign w:val="center"/>
          </w:tcPr>
          <w:p>
            <w:r/>
            <w:r>
              <w:rPr>
                <w:b w:val="0"/>
                <w:sz w:val="18"/>
              </w:rPr>
              <w:t>Excludes NULLs</w:t>
            </w:r>
          </w:p>
        </w:tc>
      </w:tr>
      <w:tr>
        <w:tc>
          <w:tcPr>
            <w:tcW w:type="dxa" w:w="3264"/>
            <w:shd w:val="clear" w:color="auto" w:fill="ECF0F1"/>
            <w:vAlign w:val="center"/>
          </w:tcPr>
          <w:p>
            <w:r/>
            <w:r>
              <w:rPr>
                <w:b w:val="0"/>
                <w:sz w:val="18"/>
              </w:rPr>
              <w:t>SUM(column)</w:t>
            </w:r>
          </w:p>
        </w:tc>
        <w:tc>
          <w:tcPr>
            <w:tcW w:type="dxa" w:w="3264"/>
            <w:shd w:val="clear" w:color="auto" w:fill="ECF0F1"/>
            <w:vAlign w:val="center"/>
          </w:tcPr>
          <w:p>
            <w:r/>
            <w:r>
              <w:rPr>
                <w:b w:val="0"/>
                <w:sz w:val="18"/>
              </w:rPr>
              <w:t>Adds all non-NULL values</w:t>
            </w:r>
          </w:p>
        </w:tc>
        <w:tc>
          <w:tcPr>
            <w:tcW w:type="dxa" w:w="3264"/>
            <w:shd w:val="clear" w:color="auto" w:fill="ECF0F1"/>
            <w:vAlign w:val="center"/>
          </w:tcPr>
          <w:p>
            <w:r/>
            <w:r>
              <w:rPr>
                <w:b w:val="0"/>
                <w:sz w:val="18"/>
              </w:rPr>
              <w:t>Ignores NULLs</w:t>
            </w:r>
          </w:p>
        </w:tc>
      </w:tr>
      <w:tr>
        <w:tc>
          <w:tcPr>
            <w:tcW w:type="dxa" w:w="3264"/>
            <w:shd w:val="clear" w:color="auto" w:fill="FFFFFF"/>
            <w:vAlign w:val="center"/>
          </w:tcPr>
          <w:p>
            <w:r/>
            <w:r>
              <w:rPr>
                <w:b w:val="0"/>
                <w:sz w:val="18"/>
              </w:rPr>
              <w:t>AVG(column)</w:t>
            </w:r>
          </w:p>
        </w:tc>
        <w:tc>
          <w:tcPr>
            <w:tcW w:type="dxa" w:w="3264"/>
            <w:shd w:val="clear" w:color="auto" w:fill="FFFFFF"/>
            <w:vAlign w:val="center"/>
          </w:tcPr>
          <w:p>
            <w:r/>
            <w:r>
              <w:rPr>
                <w:b w:val="0"/>
                <w:sz w:val="18"/>
              </w:rPr>
              <w:t>Average of non-NULL values</w:t>
            </w:r>
          </w:p>
        </w:tc>
        <w:tc>
          <w:tcPr>
            <w:tcW w:type="dxa" w:w="3264"/>
            <w:shd w:val="clear" w:color="auto" w:fill="FFFFFF"/>
            <w:vAlign w:val="center"/>
          </w:tcPr>
          <w:p>
            <w:r/>
            <w:r>
              <w:rPr>
                <w:b w:val="0"/>
                <w:sz w:val="18"/>
              </w:rPr>
              <w:t>Ignores NULLs (divides by non-NULL count only)</w:t>
            </w:r>
          </w:p>
        </w:tc>
      </w:tr>
      <w:tr>
        <w:tc>
          <w:tcPr>
            <w:tcW w:type="dxa" w:w="3264"/>
            <w:shd w:val="clear" w:color="auto" w:fill="ECF0F1"/>
            <w:vAlign w:val="center"/>
          </w:tcPr>
          <w:p>
            <w:r/>
            <w:r>
              <w:rPr>
                <w:b w:val="0"/>
                <w:sz w:val="18"/>
              </w:rPr>
              <w:t>MIN / MAX(column)</w:t>
            </w:r>
          </w:p>
        </w:tc>
        <w:tc>
          <w:tcPr>
            <w:tcW w:type="dxa" w:w="3264"/>
            <w:shd w:val="clear" w:color="auto" w:fill="ECF0F1"/>
            <w:vAlign w:val="center"/>
          </w:tcPr>
          <w:p>
            <w:r/>
            <w:r>
              <w:rPr>
                <w:b w:val="0"/>
                <w:sz w:val="18"/>
              </w:rPr>
              <w:t>Smallest / largest non-NULL value</w:t>
            </w:r>
          </w:p>
        </w:tc>
        <w:tc>
          <w:tcPr>
            <w:tcW w:type="dxa" w:w="3264"/>
            <w:shd w:val="clear" w:color="auto" w:fill="ECF0F1"/>
            <w:vAlign w:val="center"/>
          </w:tcPr>
          <w:p>
            <w:r/>
            <w:r>
              <w:rPr>
                <w:b w:val="0"/>
                <w:sz w:val="18"/>
              </w:rPr>
              <w:t>Ignores NULLs</w:t>
            </w:r>
          </w:p>
        </w:tc>
      </w:tr>
    </w:tbl>
    <w:p/>
    <w:p>
      <w:pPr>
        <w:spacing w:after="120"/>
      </w:pPr>
      <w:r>
        <w:rPr>
          <w:sz w:val="20"/>
        </w:rPr>
        <w:t>Remember: aggregate functions (except COUNT(*)) ignore NULL values. This means AVG(column) divides only by the count of non-NULL rows, which can produce unexpected results if NULLs are not handled first with COALESCE.</w:t>
      </w:r>
    </w:p>
    <w:p>
      <w:pPr>
        <w:pStyle w:val="Heading2"/>
      </w:pPr>
      <w:r>
        <w:rPr>
          <w:color w:val="1A1A2E"/>
        </w:rPr>
        <w:t>3.2 COUNT(DISTINCT) — Counting Unique Values</w:t>
      </w:r>
    </w:p>
    <w:p>
      <w:pPr>
        <w:spacing w:after="120"/>
      </w:pPr>
      <w:r>
        <w:rPr>
          <w:sz w:val="20"/>
        </w:rPr>
        <w:t>COUNT(DISTINCT column) counts only unique, non-NULL values in the specified column, eliminating duplicates before counting.</w:t>
      </w:r>
    </w:p>
    <w:p>
      <w:pPr>
        <w:pStyle w:val="NoSpacing"/>
        <w:spacing w:before="0" w:after="0"/>
        <w:ind w:left="576"/>
      </w:pPr>
      <w:r>
        <w:rPr>
          <w:rFonts w:ascii="Consolas" w:hAnsi="Consolas"/>
          <w:color w:val="2C3E50"/>
          <w:sz w:val="18"/>
        </w:rPr>
        <w:t>-- Six orders were placed by four unique customers in January</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COUNT(*)                    AS total_orders,      -- returns 6</w:t>
      </w:r>
    </w:p>
    <w:p>
      <w:pPr>
        <w:pStyle w:val="NoSpacing"/>
        <w:spacing w:before="0" w:after="0"/>
        <w:ind w:left="576"/>
      </w:pPr>
      <w:r>
        <w:rPr>
          <w:rFonts w:ascii="Consolas" w:hAnsi="Consolas"/>
          <w:color w:val="2C3E50"/>
          <w:sz w:val="18"/>
        </w:rPr>
        <w:t xml:space="preserve">    COUNT(DISTINCT customer_id) AS unique_customers   -- returns 4</w:t>
      </w:r>
    </w:p>
    <w:p>
      <w:pPr>
        <w:pStyle w:val="NoSpacing"/>
        <w:spacing w:before="0" w:after="0"/>
        <w:ind w:left="576"/>
      </w:pPr>
      <w:r>
        <w:rPr>
          <w:rFonts w:ascii="Consolas" w:hAnsi="Consolas"/>
          <w:color w:val="2C3E50"/>
          <w:sz w:val="18"/>
        </w:rPr>
        <w:t>FROM orders</w:t>
      </w:r>
    </w:p>
    <w:p>
      <w:pPr>
        <w:pStyle w:val="NoSpacing"/>
        <w:spacing w:before="0" w:after="0"/>
        <w:ind w:left="576"/>
      </w:pPr>
      <w:r>
        <w:rPr>
          <w:rFonts w:ascii="Consolas" w:hAnsi="Consolas"/>
          <w:color w:val="2C3E50"/>
          <w:sz w:val="18"/>
        </w:rPr>
        <w:t>WHERE order_date BETWEEN '2024-01-01' AND '2024-01-31';</w:t>
      </w:r>
    </w:p>
    <w:p/>
    <w:p>
      <w:pPr>
        <w:spacing w:after="120"/>
      </w:pPr>
      <w:r>
        <w:rPr>
          <w:sz w:val="20"/>
        </w:rPr>
        <w:t>Use COUNT(DISTINCT) whenever an entity (customer, product, session) can appear in multiple rows and you need to know how many unique entities there are, not how many rows exist.</w:t>
      </w:r>
    </w:p>
    <w:p>
      <w:pPr>
        <w:pStyle w:val="Heading2"/>
      </w:pPr>
      <w:r>
        <w:rPr>
          <w:color w:val="1A1A2E"/>
        </w:rPr>
        <w:t>3.3 Conditional Aggregation — CASE Inside Aggregates</w:t>
      </w:r>
    </w:p>
    <w:p>
      <w:pPr>
        <w:spacing w:after="120"/>
      </w:pPr>
      <w:r>
        <w:rPr>
          <w:sz w:val="20"/>
        </w:rPr>
        <w:t>Conditional aggregation combines CASE with an aggregate function to split a single column into multiple calculated columns — all within one query, without subqueries or self-joins.</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EXTRACT(MONTH FROM order_date)                       AS order_month,</w:t>
      </w:r>
    </w:p>
    <w:p>
      <w:pPr>
        <w:pStyle w:val="NoSpacing"/>
        <w:spacing w:before="0" w:after="0"/>
        <w:ind w:left="576"/>
      </w:pPr>
      <w:r>
        <w:rPr>
          <w:rFonts w:ascii="Consolas" w:hAnsi="Consolas"/>
          <w:color w:val="2C3E50"/>
          <w:sz w:val="18"/>
        </w:rPr>
        <w:t xml:space="preserve">    SUM(CASE WHEN order_type = 'Priority' THEN revenue</w:t>
      </w:r>
    </w:p>
    <w:p>
      <w:pPr>
        <w:pStyle w:val="NoSpacing"/>
        <w:spacing w:before="0" w:after="0"/>
        <w:ind w:left="576"/>
      </w:pPr>
      <w:r>
        <w:rPr>
          <w:rFonts w:ascii="Consolas" w:hAnsi="Consolas"/>
          <w:color w:val="2C3E50"/>
          <w:sz w:val="18"/>
        </w:rPr>
        <w:t xml:space="preserve">             ELSE 0 END)                                 AS priority_revenue,</w:t>
      </w:r>
    </w:p>
    <w:p>
      <w:pPr>
        <w:pStyle w:val="NoSpacing"/>
        <w:spacing w:before="0" w:after="0"/>
        <w:ind w:left="576"/>
      </w:pPr>
      <w:r>
        <w:rPr>
          <w:rFonts w:ascii="Consolas" w:hAnsi="Consolas"/>
          <w:color w:val="2C3E50"/>
          <w:sz w:val="18"/>
        </w:rPr>
        <w:t xml:space="preserve">    SUM(CASE WHEN order_type = 'Standard' THEN revenue</w:t>
      </w:r>
    </w:p>
    <w:p>
      <w:pPr>
        <w:pStyle w:val="NoSpacing"/>
        <w:spacing w:before="0" w:after="0"/>
        <w:ind w:left="576"/>
      </w:pPr>
      <w:r>
        <w:rPr>
          <w:rFonts w:ascii="Consolas" w:hAnsi="Consolas"/>
          <w:color w:val="2C3E50"/>
          <w:sz w:val="18"/>
        </w:rPr>
        <w:t xml:space="preserve">             ELSE 0 END)                                 AS standard_revenue,</w:t>
      </w:r>
    </w:p>
    <w:p>
      <w:pPr>
        <w:pStyle w:val="NoSpacing"/>
        <w:spacing w:before="0" w:after="0"/>
        <w:ind w:left="576"/>
      </w:pPr>
      <w:r>
        <w:rPr>
          <w:rFonts w:ascii="Consolas" w:hAnsi="Consolas"/>
          <w:color w:val="2C3E50"/>
          <w:sz w:val="18"/>
        </w:rPr>
        <w:t xml:space="preserve">    SUM(revenue)                                         AS total_revenue</w:t>
      </w:r>
    </w:p>
    <w:p>
      <w:pPr>
        <w:pStyle w:val="NoSpacing"/>
        <w:spacing w:before="0" w:after="0"/>
        <w:ind w:left="576"/>
      </w:pPr>
      <w:r>
        <w:rPr>
          <w:rFonts w:ascii="Consolas" w:hAnsi="Consolas"/>
          <w:color w:val="2C3E50"/>
          <w:sz w:val="18"/>
        </w:rPr>
        <w:t>FROM orders</w:t>
      </w:r>
    </w:p>
    <w:p>
      <w:pPr>
        <w:pStyle w:val="NoSpacing"/>
        <w:spacing w:before="0" w:after="0"/>
        <w:ind w:left="576"/>
      </w:pPr>
      <w:r>
        <w:rPr>
          <w:rFonts w:ascii="Consolas" w:hAnsi="Consolas"/>
          <w:color w:val="2C3E50"/>
          <w:sz w:val="18"/>
        </w:rPr>
        <w:t>GROUP BY EXTRACT(MONTH FROM order_date);</w:t>
      </w:r>
    </w:p>
    <w:p/>
    <w:p>
      <w:pPr>
        <w:spacing w:after="120"/>
      </w:pPr>
      <w:r>
        <w:rPr>
          <w:b/>
          <w:color w:val="2C3E50"/>
          <w:sz w:val="20"/>
        </w:rPr>
        <w:t>How It Works:</w:t>
      </w:r>
    </w:p>
    <w:p>
      <w:pPr>
        <w:pStyle w:val="ListBullet"/>
      </w:pPr>
      <w:r>
        <w:t>For each row, the CASE expression returns the revenue if the condition matches, or 0 otherwise.</w:t>
      </w:r>
    </w:p>
    <w:p>
      <w:pPr>
        <w:pStyle w:val="ListBullet"/>
      </w:pPr>
      <w:r>
        <w:t>SUM then adds up these values across all rows in the group.</w:t>
      </w:r>
    </w:p>
    <w:p>
      <w:pPr>
        <w:pStyle w:val="ListBullet"/>
      </w:pPr>
      <w:r>
        <w:t>The ELSE 0 is critical — without it, non-matching rows would contribute NULL, and SUM would ignore them (same numeric result but makes intent less clear and can cause issues when combined with other logic).</w:t>
      </w:r>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Conditional aggregation is one of the most powerful patterns in analytical SQL. It lets you build pivot-table-style reports in a single pass over the data.</w:t>
            </w:r>
          </w:p>
        </w:tc>
      </w:tr>
    </w:tbl>
    <w:p/>
    <w:p>
      <w:pPr>
        <w:pStyle w:val="Heading2"/>
      </w:pPr>
      <w:r>
        <w:rPr>
          <w:color w:val="1A1A2E"/>
        </w:rPr>
        <w:t>3.4 GROUP BY Rules and Best Practices</w:t>
      </w:r>
    </w:p>
    <w:p>
      <w:pPr>
        <w:spacing w:after="120"/>
      </w:pPr>
      <w:r>
        <w:rPr>
          <w:sz w:val="20"/>
        </w:rPr>
        <w:t>When you use GROUP BY, you are collapsing multiple rows into summary rows. The database enforces a strict rule:</w:t>
      </w:r>
    </w:p>
    <w:p>
      <w:pPr>
        <w:spacing w:after="120"/>
      </w:pPr>
      <w:r>
        <w:rPr>
          <w:b/>
          <w:color w:val="2C3E50"/>
          <w:sz w:val="20"/>
        </w:rPr>
        <w:t>Every column in the SELECT clause that is NOT inside an aggregate function (COUNT, SUM, AVG, etc.) MUST appear in the GROUP BY clause.</w:t>
      </w:r>
    </w:p>
    <w:p>
      <w:pPr>
        <w:pStyle w:val="NoSpacing"/>
        <w:spacing w:before="0" w:after="0"/>
        <w:ind w:left="576"/>
      </w:pPr>
      <w:r>
        <w:rPr>
          <w:rFonts w:ascii="Consolas" w:hAnsi="Consolas"/>
          <w:color w:val="2C3E50"/>
          <w:sz w:val="18"/>
        </w:rPr>
        <w:t>-- Correct: both non-aggregated columns are in GROUP BY</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EXTRACT(YEAR FROM order_date)  AS order_year,</w:t>
      </w:r>
    </w:p>
    <w:p>
      <w:pPr>
        <w:pStyle w:val="NoSpacing"/>
        <w:spacing w:before="0" w:after="0"/>
        <w:ind w:left="576"/>
      </w:pPr>
      <w:r>
        <w:rPr>
          <w:rFonts w:ascii="Consolas" w:hAnsi="Consolas"/>
          <w:color w:val="2C3E50"/>
          <w:sz w:val="18"/>
        </w:rPr>
        <w:t xml:space="preserve">    EXTRACT(MONTH FROM order_date) AS order_month,</w:t>
      </w:r>
    </w:p>
    <w:p>
      <w:pPr>
        <w:pStyle w:val="NoSpacing"/>
        <w:spacing w:before="0" w:after="0"/>
        <w:ind w:left="576"/>
      </w:pPr>
      <w:r>
        <w:rPr>
          <w:rFonts w:ascii="Consolas" w:hAnsi="Consolas"/>
          <w:color w:val="2C3E50"/>
          <w:sz w:val="18"/>
        </w:rPr>
        <w:t xml:space="preserve">    COUNT(*)                       AS total_orders</w:t>
      </w:r>
    </w:p>
    <w:p>
      <w:pPr>
        <w:pStyle w:val="NoSpacing"/>
        <w:spacing w:before="0" w:after="0"/>
        <w:ind w:left="576"/>
      </w:pPr>
      <w:r>
        <w:rPr>
          <w:rFonts w:ascii="Consolas" w:hAnsi="Consolas"/>
          <w:color w:val="2C3E50"/>
          <w:sz w:val="18"/>
        </w:rPr>
        <w:t>FROM orders</w:t>
      </w:r>
    </w:p>
    <w:p>
      <w:pPr>
        <w:pStyle w:val="NoSpacing"/>
        <w:spacing w:before="0" w:after="0"/>
        <w:ind w:left="576"/>
      </w:pPr>
      <w:r>
        <w:rPr>
          <w:rFonts w:ascii="Consolas" w:hAnsi="Consolas"/>
          <w:color w:val="2C3E50"/>
          <w:sz w:val="18"/>
        </w:rPr>
        <w:t>GROUP BY</w:t>
      </w:r>
    </w:p>
    <w:p>
      <w:pPr>
        <w:pStyle w:val="NoSpacing"/>
        <w:spacing w:before="0" w:after="0"/>
        <w:ind w:left="576"/>
      </w:pPr>
      <w:r>
        <w:rPr>
          <w:rFonts w:ascii="Consolas" w:hAnsi="Consolas"/>
          <w:color w:val="2C3E50"/>
          <w:sz w:val="18"/>
        </w:rPr>
        <w:t xml:space="preserve">    EXTRACT(YEAR FROM order_date),</w:t>
      </w:r>
    </w:p>
    <w:p>
      <w:pPr>
        <w:pStyle w:val="NoSpacing"/>
        <w:spacing w:before="0" w:after="0"/>
        <w:ind w:left="576"/>
      </w:pPr>
      <w:r>
        <w:rPr>
          <w:rFonts w:ascii="Consolas" w:hAnsi="Consolas"/>
          <w:color w:val="2C3E50"/>
          <w:sz w:val="18"/>
        </w:rPr>
        <w:t xml:space="preserve">    EXTRACT(MONTH FROM order_date);</w:t>
      </w:r>
    </w:p>
    <w:p/>
    <w:p>
      <w:pPr>
        <w:pStyle w:val="ListBullet"/>
      </w:pPr>
      <w:r>
        <w:t>In PostgreSQL, you must repeat the full expression in GROUP BY — you cannot use the column alias. Some other databases (MySQL, BigQuery) allow grouping by alias.</w:t>
      </w:r>
    </w:p>
    <w:p>
      <w:pPr>
        <w:pStyle w:val="ListBullet"/>
      </w:pPr>
      <w:r>
        <w:t>If you GROUP BY a CASE expression, that same CASE must be repeated exactly in the GROUP BY clause.</w:t>
      </w:r>
    </w:p>
    <w:p>
      <w:r>
        <w:br w:type="page"/>
      </w:r>
    </w:p>
    <w:p>
      <w:pPr>
        <w:pStyle w:val="Heading1"/>
      </w:pPr>
      <w:r>
        <w:rPr>
          <w:color w:val="1A1A2E"/>
        </w:rPr>
        <w:t>4. Query Optimization</w:t>
      </w:r>
    </w:p>
    <w:p>
      <w:pPr>
        <w:pStyle w:val="Heading2"/>
      </w:pPr>
      <w:r>
        <w:rPr>
          <w:color w:val="1A1A2E"/>
        </w:rPr>
        <w:t>4.1 Why Optimization Matters</w:t>
      </w:r>
    </w:p>
    <w:p>
      <w:pPr>
        <w:spacing w:after="120"/>
      </w:pPr>
      <w:r>
        <w:rPr>
          <w:sz w:val="20"/>
        </w:rPr>
        <w:t>Query optimisation is the process of minimising the time and resources required to execute a SQL statement. In cloud data warehouses, you typically pay per query based on the amount of data scanned — a poorly optimised query can cost 100x more than an optimised one for the same result.</w:t>
      </w:r>
    </w:p>
    <w:p>
      <w:pPr>
        <w:spacing w:after="120"/>
      </w:pPr>
      <w:r>
        <w:rPr>
          <w:sz w:val="20"/>
        </w:rPr>
        <w:t>The database’s query optimiser attempts to find the most efficient execution plan, but it relies heavily on the table design and the hints provided by the analyst. Poorly optimised queries lead to unnecessary full table scans, excessive I/O, and wasted compute.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Unoptimised Query</w:t>
            </w:r>
          </w:p>
        </w:tc>
        <w:tc>
          <w:tcPr>
            <w:tcW w:type="dxa" w:w="3264"/>
            <w:shd w:val="clear" w:color="auto" w:fill="2C3E50"/>
            <w:vAlign w:val="center"/>
          </w:tcPr>
          <w:p>
            <w:pPr>
              <w:jc w:val="center"/>
            </w:pPr>
            <w:r/>
            <w:r>
              <w:rPr>
                <w:b/>
                <w:color w:val="FFFFFF"/>
                <w:sz w:val="20"/>
              </w:rPr>
              <w:t>Optimised Query</w:t>
            </w:r>
          </w:p>
        </w:tc>
      </w:tr>
      <w:tr>
        <w:tc>
          <w:tcPr>
            <w:tcW w:type="dxa" w:w="3264"/>
            <w:shd w:val="clear" w:color="auto" w:fill="ECF0F1"/>
            <w:vAlign w:val="center"/>
          </w:tcPr>
          <w:p>
            <w:r/>
            <w:r>
              <w:rPr>
                <w:b/>
                <w:sz w:val="18"/>
              </w:rPr>
              <w:t>Data Scanned</w:t>
            </w:r>
          </w:p>
        </w:tc>
        <w:tc>
          <w:tcPr>
            <w:tcW w:type="dxa" w:w="3264"/>
            <w:shd w:val="clear" w:color="auto" w:fill="ECF0F1"/>
            <w:vAlign w:val="center"/>
          </w:tcPr>
          <w:p>
            <w:r/>
            <w:r>
              <w:rPr>
                <w:b w:val="0"/>
                <w:sz w:val="18"/>
              </w:rPr>
              <w:t>10 million rows</w:t>
            </w:r>
          </w:p>
        </w:tc>
        <w:tc>
          <w:tcPr>
            <w:tcW w:type="dxa" w:w="3264"/>
            <w:shd w:val="clear" w:color="auto" w:fill="ECF0F1"/>
            <w:vAlign w:val="center"/>
          </w:tcPr>
          <w:p>
            <w:r/>
            <w:r>
              <w:rPr>
                <w:b w:val="0"/>
                <w:sz w:val="18"/>
              </w:rPr>
              <w:t>150,000 rows (1.5%)</w:t>
            </w:r>
          </w:p>
        </w:tc>
      </w:tr>
      <w:tr>
        <w:tc>
          <w:tcPr>
            <w:tcW w:type="dxa" w:w="3264"/>
            <w:shd w:val="clear" w:color="auto" w:fill="FFFFFF"/>
            <w:vAlign w:val="center"/>
          </w:tcPr>
          <w:p>
            <w:r/>
            <w:r>
              <w:rPr>
                <w:b/>
                <w:sz w:val="18"/>
              </w:rPr>
              <w:t>Execution Time</w:t>
            </w:r>
          </w:p>
        </w:tc>
        <w:tc>
          <w:tcPr>
            <w:tcW w:type="dxa" w:w="3264"/>
            <w:shd w:val="clear" w:color="auto" w:fill="FFFFFF"/>
            <w:vAlign w:val="center"/>
          </w:tcPr>
          <w:p>
            <w:r/>
            <w:r>
              <w:rPr>
                <w:b w:val="0"/>
                <w:sz w:val="18"/>
              </w:rPr>
              <w:t>30+ seconds</w:t>
            </w:r>
          </w:p>
        </w:tc>
        <w:tc>
          <w:tcPr>
            <w:tcW w:type="dxa" w:w="3264"/>
            <w:shd w:val="clear" w:color="auto" w:fill="FFFFFF"/>
            <w:vAlign w:val="center"/>
          </w:tcPr>
          <w:p>
            <w:r/>
            <w:r>
              <w:rPr>
                <w:b w:val="0"/>
                <w:sz w:val="18"/>
              </w:rPr>
              <w:t>&lt; 1 second</w:t>
            </w:r>
          </w:p>
        </w:tc>
      </w:tr>
      <w:tr>
        <w:tc>
          <w:tcPr>
            <w:tcW w:type="dxa" w:w="3264"/>
            <w:shd w:val="clear" w:color="auto" w:fill="ECF0F1"/>
            <w:vAlign w:val="center"/>
          </w:tcPr>
          <w:p>
            <w:r/>
            <w:r>
              <w:rPr>
                <w:b/>
                <w:sz w:val="18"/>
              </w:rPr>
              <w:t>Cloud Cost</w:t>
            </w:r>
          </w:p>
        </w:tc>
        <w:tc>
          <w:tcPr>
            <w:tcW w:type="dxa" w:w="3264"/>
            <w:shd w:val="clear" w:color="auto" w:fill="ECF0F1"/>
            <w:vAlign w:val="center"/>
          </w:tcPr>
          <w:p>
            <w:r/>
            <w:r>
              <w:rPr>
                <w:b w:val="0"/>
                <w:sz w:val="18"/>
              </w:rPr>
              <w:t>$$$  (high I/O)</w:t>
            </w:r>
          </w:p>
        </w:tc>
        <w:tc>
          <w:tcPr>
            <w:tcW w:type="dxa" w:w="3264"/>
            <w:shd w:val="clear" w:color="auto" w:fill="ECF0F1"/>
            <w:vAlign w:val="center"/>
          </w:tcPr>
          <w:p>
            <w:r/>
            <w:r>
              <w:rPr>
                <w:b w:val="0"/>
                <w:sz w:val="18"/>
              </w:rPr>
              <w:t>$  (minimal I/O)</w:t>
            </w:r>
          </w:p>
        </w:tc>
      </w:tr>
      <w:tr>
        <w:tc>
          <w:tcPr>
            <w:tcW w:type="dxa" w:w="3264"/>
            <w:shd w:val="clear" w:color="auto" w:fill="FFFFFF"/>
            <w:vAlign w:val="center"/>
          </w:tcPr>
          <w:p>
            <w:r/>
            <w:r>
              <w:rPr>
                <w:b/>
                <w:sz w:val="18"/>
              </w:rPr>
              <w:t>User Experience</w:t>
            </w:r>
          </w:p>
        </w:tc>
        <w:tc>
          <w:tcPr>
            <w:tcW w:type="dxa" w:w="3264"/>
            <w:shd w:val="clear" w:color="auto" w:fill="FFFFFF"/>
            <w:vAlign w:val="center"/>
          </w:tcPr>
          <w:p>
            <w:r/>
            <w:r>
              <w:rPr>
                <w:b w:val="0"/>
                <w:sz w:val="18"/>
              </w:rPr>
              <w:t>Dashboard timeout</w:t>
            </w:r>
          </w:p>
        </w:tc>
        <w:tc>
          <w:tcPr>
            <w:tcW w:type="dxa" w:w="3264"/>
            <w:shd w:val="clear" w:color="auto" w:fill="FFFFFF"/>
            <w:vAlign w:val="center"/>
          </w:tcPr>
          <w:p>
            <w:r/>
            <w:r>
              <w:rPr>
                <w:b w:val="0"/>
                <w:sz w:val="18"/>
              </w:rPr>
              <w:t>Instant load</w:t>
            </w:r>
          </w:p>
        </w:tc>
      </w:tr>
    </w:tbl>
    <w:p/>
    <w:p>
      <w:pPr>
        <w:pStyle w:val="Heading2"/>
      </w:pPr>
      <w:r>
        <w:rPr>
          <w:color w:val="1A1A2E"/>
        </w:rPr>
        <w:t>4.2 Indexing</w:t>
      </w:r>
    </w:p>
    <w:p>
      <w:pPr>
        <w:spacing w:after="120"/>
      </w:pPr>
      <w:r>
        <w:rPr>
          <w:sz w:val="20"/>
        </w:rPr>
        <w:t>Indexing is the single most important physical optimisation technique. An index is a separate, sorted data structure — typically a B-tree — that maps column values to the physical locations of the rows containing those values.</w:t>
      </w:r>
    </w:p>
    <w:p>
      <w:pPr>
        <w:spacing w:after="120"/>
      </w:pPr>
      <w:r>
        <w:rPr>
          <w:b/>
          <w:color w:val="2C3E50"/>
          <w:sz w:val="20"/>
        </w:rPr>
        <w:t>The Textbook Analogy:</w:t>
      </w:r>
    </w:p>
    <w:p>
      <w:pPr>
        <w:spacing w:after="120"/>
      </w:pPr>
      <w:r>
        <w:rPr>
          <w:sz w:val="20"/>
        </w:rPr>
        <w:t>Think of an index like the index at the back of a textbook. To find the section on ‘query optimisation’, you do not read every page from the beginning (a Full Table Scan). Instead, you look up the term in the index (an Index Scan) and jump directly to the right page.</w:t>
      </w:r>
    </w:p>
    <w:p>
      <w:pPr>
        <w:spacing w:after="120"/>
      </w:pPr>
      <w:r>
        <w:rPr>
          <w:b/>
          <w:color w:val="2980B9"/>
          <w:sz w:val="22"/>
        </w:rPr>
        <w:t>Full Table Scan vs. Index Scan: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Full Table Scan (Seq Scan)</w:t>
            </w:r>
          </w:p>
        </w:tc>
        <w:tc>
          <w:tcPr>
            <w:tcW w:type="dxa" w:w="3264"/>
            <w:shd w:val="clear" w:color="auto" w:fill="2C3E50"/>
            <w:vAlign w:val="center"/>
          </w:tcPr>
          <w:p>
            <w:pPr>
              <w:jc w:val="center"/>
            </w:pPr>
            <w:r/>
            <w:r>
              <w:rPr>
                <w:b/>
                <w:color w:val="FFFFFF"/>
                <w:sz w:val="20"/>
              </w:rPr>
              <w:t>Index Scan</w:t>
            </w:r>
          </w:p>
        </w:tc>
      </w:tr>
      <w:tr>
        <w:tc>
          <w:tcPr>
            <w:tcW w:type="dxa" w:w="3264"/>
            <w:shd w:val="clear" w:color="auto" w:fill="ECF0F1"/>
            <w:vAlign w:val="center"/>
          </w:tcPr>
          <w:p>
            <w:r/>
            <w:r>
              <w:rPr>
                <w:b/>
                <w:sz w:val="18"/>
              </w:rPr>
              <w:t>How it works</w:t>
            </w:r>
          </w:p>
        </w:tc>
        <w:tc>
          <w:tcPr>
            <w:tcW w:type="dxa" w:w="3264"/>
            <w:shd w:val="clear" w:color="auto" w:fill="ECF0F1"/>
            <w:vAlign w:val="center"/>
          </w:tcPr>
          <w:p>
            <w:r/>
            <w:r>
              <w:rPr>
                <w:b w:val="0"/>
                <w:sz w:val="18"/>
              </w:rPr>
              <w:t>Reads every row in the table</w:t>
              <w:br/>
              <w:t>sequentially</w:t>
            </w:r>
          </w:p>
        </w:tc>
        <w:tc>
          <w:tcPr>
            <w:tcW w:type="dxa" w:w="3264"/>
            <w:shd w:val="clear" w:color="auto" w:fill="ECF0F1"/>
            <w:vAlign w:val="center"/>
          </w:tcPr>
          <w:p>
            <w:r/>
            <w:r>
              <w:rPr>
                <w:b w:val="0"/>
                <w:sz w:val="18"/>
              </w:rPr>
              <w:t>Uses the index to jump directly</w:t>
              <w:br/>
              <w:t>to matching rows</w:t>
            </w:r>
          </w:p>
        </w:tc>
      </w:tr>
      <w:tr>
        <w:tc>
          <w:tcPr>
            <w:tcW w:type="dxa" w:w="3264"/>
            <w:shd w:val="clear" w:color="auto" w:fill="FFFFFF"/>
            <w:vAlign w:val="center"/>
          </w:tcPr>
          <w:p>
            <w:r/>
            <w:r>
              <w:rPr>
                <w:b/>
                <w:sz w:val="18"/>
              </w:rPr>
              <w:t>When it happens</w:t>
            </w:r>
          </w:p>
        </w:tc>
        <w:tc>
          <w:tcPr>
            <w:tcW w:type="dxa" w:w="3264"/>
            <w:shd w:val="clear" w:color="auto" w:fill="FFFFFF"/>
            <w:vAlign w:val="center"/>
          </w:tcPr>
          <w:p>
            <w:r/>
            <w:r>
              <w:rPr>
                <w:b w:val="0"/>
                <w:sz w:val="18"/>
              </w:rPr>
              <w:t>No index on the filtered column</w:t>
            </w:r>
          </w:p>
        </w:tc>
        <w:tc>
          <w:tcPr>
            <w:tcW w:type="dxa" w:w="3264"/>
            <w:shd w:val="clear" w:color="auto" w:fill="FFFFFF"/>
            <w:vAlign w:val="center"/>
          </w:tcPr>
          <w:p>
            <w:r/>
            <w:r>
              <w:rPr>
                <w:b w:val="0"/>
                <w:sz w:val="18"/>
              </w:rPr>
              <w:t>Index exists on the filtered column</w:t>
            </w:r>
          </w:p>
        </w:tc>
      </w:tr>
      <w:tr>
        <w:tc>
          <w:tcPr>
            <w:tcW w:type="dxa" w:w="3264"/>
            <w:shd w:val="clear" w:color="auto" w:fill="ECF0F1"/>
            <w:vAlign w:val="center"/>
          </w:tcPr>
          <w:p>
            <w:r/>
            <w:r>
              <w:rPr>
                <w:b/>
                <w:sz w:val="18"/>
              </w:rPr>
              <w:t>Performance</w:t>
              <w:br/>
              <w:t>on 10M rows</w:t>
            </w:r>
          </w:p>
        </w:tc>
        <w:tc>
          <w:tcPr>
            <w:tcW w:type="dxa" w:w="3264"/>
            <w:shd w:val="clear" w:color="auto" w:fill="ECF0F1"/>
            <w:vAlign w:val="center"/>
          </w:tcPr>
          <w:p>
            <w:r/>
            <w:r>
              <w:rPr>
                <w:b w:val="0"/>
                <w:sz w:val="18"/>
              </w:rPr>
              <w:t>Scans all 10M rows</w:t>
            </w:r>
          </w:p>
        </w:tc>
        <w:tc>
          <w:tcPr>
            <w:tcW w:type="dxa" w:w="3264"/>
            <w:shd w:val="clear" w:color="auto" w:fill="ECF0F1"/>
            <w:vAlign w:val="center"/>
          </w:tcPr>
          <w:p>
            <w:r/>
            <w:r>
              <w:rPr>
                <w:b w:val="0"/>
                <w:sz w:val="18"/>
              </w:rPr>
              <w:t>Scans only the matching rows</w:t>
              <w:br/>
              <w:t>(e.g., 150K)</w:t>
            </w:r>
          </w:p>
        </w:tc>
      </w:tr>
      <w:tr>
        <w:tc>
          <w:tcPr>
            <w:tcW w:type="dxa" w:w="3264"/>
            <w:shd w:val="clear" w:color="auto" w:fill="FFFFFF"/>
            <w:vAlign w:val="center"/>
          </w:tcPr>
          <w:p>
            <w:r/>
            <w:r>
              <w:rPr>
                <w:b/>
                <w:sz w:val="18"/>
              </w:rPr>
              <w:t>Rows wasted</w:t>
            </w:r>
          </w:p>
        </w:tc>
        <w:tc>
          <w:tcPr>
            <w:tcW w:type="dxa" w:w="3264"/>
            <w:shd w:val="clear" w:color="auto" w:fill="FFFFFF"/>
            <w:vAlign w:val="center"/>
          </w:tcPr>
          <w:p>
            <w:r/>
            <w:r>
              <w:rPr>
                <w:b w:val="0"/>
                <w:sz w:val="18"/>
              </w:rPr>
              <w:t>Potentially 98%+ read</w:t>
              <w:br/>
              <w:t>and discarded</w:t>
            </w:r>
          </w:p>
        </w:tc>
        <w:tc>
          <w:tcPr>
            <w:tcW w:type="dxa" w:w="3264"/>
            <w:shd w:val="clear" w:color="auto" w:fill="FFFFFF"/>
            <w:vAlign w:val="center"/>
          </w:tcPr>
          <w:p>
            <w:r/>
            <w:r>
              <w:rPr>
                <w:b w:val="0"/>
                <w:sz w:val="18"/>
              </w:rPr>
              <w:t>Near-zero wasted reads</w:t>
            </w:r>
          </w:p>
        </w:tc>
      </w:tr>
    </w:tbl>
    <w:p/>
    <w:p>
      <w:pPr>
        <w:jc w:val="center"/>
      </w:pPr>
      <w:r>
        <w:rPr>
          <w:b/>
          <w:color w:val="2980B9"/>
          <w:sz w:val="22"/>
        </w:rPr>
        <w:t>How a B-tree Index Locates a Value</w:t>
      </w:r>
    </w:p>
    <w:tbl>
      <w:tblPr>
        <w:tblW w:type="auto" w:w="0"/>
        <w:jc w:val="center"/>
        <w:tblLook w:firstColumn="1" w:firstRow="1" w:lastColumn="0" w:lastRow="0" w:noHBand="0" w:noVBand="1" w:val="04A0"/>
      </w:tblPr>
      <w:tblGrid>
        <w:gridCol w:w="9792"/>
      </w:tblGrid>
      <w:tr>
        <w:tc>
          <w:tcPr>
            <w:tcW w:type="dxa" w:w="7937"/>
            <w:shd w:val="clear" w:color="auto" w:fill="D6EAF8"/>
          </w:tcPr>
          <w:p>
            <w:pPr>
              <w:jc w:val="center"/>
            </w:pPr>
            <w:r>
              <w:rPr>
                <w:b/>
                <w:sz w:val="18"/>
              </w:rPr>
              <w:t>Root Node: [D  |  M  |  T]</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6EAF8"/>
          </w:tcPr>
          <w:p>
            <w:pPr>
              <w:jc w:val="center"/>
            </w:pPr>
            <w:r>
              <w:rPr>
                <w:b/>
                <w:sz w:val="18"/>
              </w:rPr>
              <w:t>Branch: value &lt; D → go left  |  D-M → middle  |  &gt; T → right</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Leaf Node: points directly to the row on disk</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Result: Row returned in O(log n) time — no full scan needed</w:t>
            </w:r>
          </w:p>
        </w:tc>
      </w:tr>
    </w:tbl>
    <w:p/>
    <w:p>
      <w:pPr>
        <w:spacing w:after="120"/>
      </w:pPr>
      <w:r>
        <w:rPr>
          <w:b/>
          <w:color w:val="2C3E50"/>
          <w:sz w:val="20"/>
        </w:rPr>
        <w:t>Creating an Index:</w:t>
      </w:r>
    </w:p>
    <w:p>
      <w:pPr>
        <w:pStyle w:val="NoSpacing"/>
        <w:spacing w:before="0" w:after="0"/>
        <w:ind w:left="576"/>
      </w:pPr>
      <w:r>
        <w:rPr>
          <w:rFonts w:ascii="Consolas" w:hAnsi="Consolas"/>
          <w:color w:val="2C3E50"/>
          <w:sz w:val="18"/>
        </w:rPr>
        <w:t>-- Single-column index</w:t>
      </w:r>
    </w:p>
    <w:p>
      <w:pPr>
        <w:pStyle w:val="NoSpacing"/>
        <w:spacing w:before="0" w:after="0"/>
        <w:ind w:left="576"/>
      </w:pPr>
      <w:r>
        <w:rPr>
          <w:rFonts w:ascii="Consolas" w:hAnsi="Consolas"/>
          <w:color w:val="2C3E50"/>
          <w:sz w:val="18"/>
        </w:rPr>
        <w:t>CREATE INDEX idx_orders_date ON orders(order_date);</w:t>
      </w:r>
    </w:p>
    <w:p>
      <w:pPr>
        <w:pStyle w:val="NoSpacing"/>
        <w:spacing w:before="0" w:after="0"/>
        <w:ind w:left="576"/>
      </w:pPr>
    </w:p>
    <w:p>
      <w:pPr>
        <w:pStyle w:val="NoSpacing"/>
        <w:spacing w:before="0" w:after="0"/>
        <w:ind w:left="576"/>
      </w:pPr>
      <w:r>
        <w:rPr>
          <w:rFonts w:ascii="Consolas" w:hAnsi="Consolas"/>
          <w:color w:val="2C3E50"/>
          <w:sz w:val="18"/>
        </w:rPr>
        <w:t>-- Composite index (covers two WHERE conditions in one lookup)</w:t>
      </w:r>
    </w:p>
    <w:p>
      <w:pPr>
        <w:pStyle w:val="NoSpacing"/>
        <w:spacing w:before="0" w:after="0"/>
        <w:ind w:left="576"/>
      </w:pPr>
      <w:r>
        <w:rPr>
          <w:rFonts w:ascii="Consolas" w:hAnsi="Consolas"/>
          <w:color w:val="2C3E50"/>
          <w:sz w:val="18"/>
        </w:rPr>
        <w:t>CREATE INDEX idx_orders_date_status ON orders(order_date, status);</w:t>
      </w:r>
    </w:p>
    <w:p/>
    <w:p>
      <w:pPr>
        <w:spacing w:after="120"/>
      </w:pPr>
      <w:r>
        <w:rPr>
          <w:sz w:val="20"/>
        </w:rPr>
        <w:t>A composite index on (order_date, status) allows the database to satisfy both WHERE conditions in a single index lookup. Column order matters — place the most selective column first (the one that narrows down the most rows).</w:t>
      </w:r>
    </w:p>
    <w:p>
      <w:pPr>
        <w:spacing w:after="120"/>
      </w:pPr>
      <w:r>
        <w:rPr>
          <w:b/>
          <w:color w:val="2C3E50"/>
          <w:sz w:val="20"/>
        </w:rPr>
        <w:t>The Read/Write Trade-off:</w:t>
      </w:r>
    </w:p>
    <w:p>
      <w:pPr>
        <w:spacing w:after="120"/>
      </w:pPr>
      <w:r>
        <w:rPr>
          <w:sz w:val="20"/>
        </w:rPr>
        <w:t>Indexes dramatically speed up read operations (SELECT), but they add overhead to write operations (INSERT, UPDATE, DELETE). Every time a row is written or modified, the database must also update every index on that table. The analyst must judiciously choose which columns to index based on query patterns.</w:t>
      </w:r>
    </w:p>
    <w:p>
      <w:pPr>
        <w:spacing w:after="120"/>
      </w:pPr>
      <w:r>
        <w:rPr>
          <w:b/>
          <w:color w:val="2C3E50"/>
          <w:sz w:val="20"/>
        </w:rPr>
        <w:t>When to Index:</w:t>
      </w:r>
    </w:p>
    <w:p>
      <w:pPr>
        <w:pStyle w:val="ListBullet"/>
      </w:pPr>
      <w:r>
        <w:t>Columns frequently used in WHERE clauses (especially with high cardinality — many unique values, like customer_id or order_date).</w:t>
      </w:r>
    </w:p>
    <w:p>
      <w:pPr>
        <w:pStyle w:val="ListBullet"/>
      </w:pPr>
      <w:r>
        <w:t>Columns used in JOIN conditions.</w:t>
      </w:r>
    </w:p>
    <w:p>
      <w:pPr>
        <w:pStyle w:val="ListBullet"/>
      </w:pPr>
      <w:r>
        <w:t>Columns used in ORDER BY clauses on large tables.</w:t>
      </w:r>
    </w:p>
    <w:p>
      <w:pPr>
        <w:pStyle w:val="ListBullet"/>
      </w:pPr>
      <w:r>
        <w:t>Avoid indexing low-cardinality columns (e.g., a boolean flag with only TRUE/FALSE) or columns that are rarely filtered on.</w:t>
      </w:r>
    </w:p>
    <w:p>
      <w:pPr>
        <w:pStyle w:val="Heading2"/>
      </w:pPr>
      <w:r>
        <w:rPr>
          <w:color w:val="1A1A2E"/>
        </w:rPr>
        <w:t>4.3 Parametrization</w:t>
      </w:r>
    </w:p>
    <w:p>
      <w:pPr>
        <w:spacing w:after="120"/>
      </w:pPr>
      <w:r>
        <w:rPr>
          <w:sz w:val="20"/>
        </w:rPr>
        <w:t>Parametrisation involves using placeholder variables in a query instead of hardcoding constant values.</w:t>
      </w:r>
    </w:p>
    <w:p>
      <w:pPr>
        <w:pStyle w:val="NoSpacing"/>
        <w:spacing w:before="0" w:after="0"/>
        <w:ind w:left="576"/>
      </w:pPr>
      <w:r>
        <w:rPr>
          <w:rFonts w:ascii="Consolas" w:hAnsi="Consolas"/>
          <w:color w:val="2C3E50"/>
          <w:sz w:val="18"/>
        </w:rPr>
        <w:t>-- Hardcoded (bad practice in applications)</w:t>
      </w:r>
    </w:p>
    <w:p>
      <w:pPr>
        <w:pStyle w:val="NoSpacing"/>
        <w:spacing w:before="0" w:after="0"/>
        <w:ind w:left="576"/>
      </w:pPr>
      <w:r>
        <w:rPr>
          <w:rFonts w:ascii="Consolas" w:hAnsi="Consolas"/>
          <w:color w:val="2C3E50"/>
          <w:sz w:val="18"/>
        </w:rPr>
        <w:t>SELECT * FROM orders WHERE customer_id = 1042;</w:t>
      </w:r>
    </w:p>
    <w:p>
      <w:pPr>
        <w:pStyle w:val="NoSpacing"/>
        <w:spacing w:before="0" w:after="0"/>
        <w:ind w:left="576"/>
      </w:pPr>
    </w:p>
    <w:p>
      <w:pPr>
        <w:pStyle w:val="NoSpacing"/>
        <w:spacing w:before="0" w:after="0"/>
        <w:ind w:left="576"/>
      </w:pPr>
      <w:r>
        <w:rPr>
          <w:rFonts w:ascii="Consolas" w:hAnsi="Consolas"/>
          <w:color w:val="2C3E50"/>
          <w:sz w:val="18"/>
        </w:rPr>
        <w:t>-- Parametrised (good practice)</w:t>
      </w:r>
    </w:p>
    <w:p>
      <w:pPr>
        <w:pStyle w:val="NoSpacing"/>
        <w:spacing w:before="0" w:after="0"/>
        <w:ind w:left="576"/>
      </w:pPr>
      <w:r>
        <w:rPr>
          <w:rFonts w:ascii="Consolas" w:hAnsi="Consolas"/>
          <w:color w:val="2C3E50"/>
          <w:sz w:val="18"/>
        </w:rPr>
        <w:t>SELECT * FROM orders WHERE customer_id = $1;   -- $1 is a parameter</w:t>
      </w:r>
    </w:p>
    <w:p/>
    <w:p>
      <w:pPr>
        <w:spacing w:after="120"/>
      </w:pPr>
      <w:r>
        <w:rPr>
          <w:b/>
          <w:color w:val="2C3E50"/>
          <w:sz w:val="20"/>
        </w:rPr>
        <w:t>Benefits:</w:t>
      </w:r>
    </w:p>
    <w:p>
      <w:pPr>
        <w:pStyle w:val="ListBullet"/>
      </w:pPr>
      <w:r>
        <w:t>Security: Prevents SQL injection attacks by separating query structure from user-supplied values.</w:t>
      </w:r>
    </w:p>
    <w:p>
      <w:pPr>
        <w:pStyle w:val="ListBullet"/>
      </w:pPr>
      <w:r>
        <w:t>Performance: The database compiles the execution plan once and caches it. Subsequent executions with different parameter values reuse the cached plan, saving the overhead of re-optimisation.</w:t>
      </w:r>
    </w:p>
    <w:p>
      <w:pPr>
        <w:pStyle w:val="ListBullet"/>
      </w:pPr>
      <w:r>
        <w:t>This is especially important for BI tools and applications that execute the same query structure repeatedly with different filter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String Concatenation (Vulnerable)</w:t>
            </w:r>
          </w:p>
        </w:tc>
        <w:tc>
          <w:tcPr>
            <w:tcW w:type="dxa" w:w="3264"/>
            <w:shd w:val="clear" w:color="auto" w:fill="2C3E50"/>
            <w:vAlign w:val="center"/>
          </w:tcPr>
          <w:p>
            <w:pPr>
              <w:jc w:val="center"/>
            </w:pPr>
            <w:r/>
            <w:r>
              <w:rPr>
                <w:b/>
                <w:color w:val="FFFFFF"/>
                <w:sz w:val="20"/>
              </w:rPr>
              <w:t>Parameterised Query (Safe)</w:t>
            </w:r>
          </w:p>
        </w:tc>
      </w:tr>
      <w:tr>
        <w:tc>
          <w:tcPr>
            <w:tcW w:type="dxa" w:w="3264"/>
            <w:shd w:val="clear" w:color="auto" w:fill="ECF0F1"/>
            <w:vAlign w:val="center"/>
          </w:tcPr>
          <w:p>
            <w:r/>
            <w:r>
              <w:rPr>
                <w:b/>
                <w:sz w:val="18"/>
              </w:rPr>
              <w:t>SQL String</w:t>
            </w:r>
          </w:p>
        </w:tc>
        <w:tc>
          <w:tcPr>
            <w:tcW w:type="dxa" w:w="3264"/>
            <w:shd w:val="clear" w:color="auto" w:fill="ECF0F1"/>
            <w:vAlign w:val="center"/>
          </w:tcPr>
          <w:p>
            <w:r/>
            <w:r>
              <w:rPr>
                <w:b w:val="0"/>
                <w:sz w:val="18"/>
              </w:rPr>
              <w:t>WHERE id = ' + userInput + '</w:t>
            </w:r>
          </w:p>
        </w:tc>
        <w:tc>
          <w:tcPr>
            <w:tcW w:type="dxa" w:w="3264"/>
            <w:shd w:val="clear" w:color="auto" w:fill="ECF0F1"/>
            <w:vAlign w:val="center"/>
          </w:tcPr>
          <w:p>
            <w:r/>
            <w:r>
              <w:rPr>
                <w:b w:val="0"/>
                <w:sz w:val="18"/>
              </w:rPr>
              <w:t>WHERE id = $1</w:t>
            </w:r>
          </w:p>
        </w:tc>
      </w:tr>
      <w:tr>
        <w:tc>
          <w:tcPr>
            <w:tcW w:type="dxa" w:w="3264"/>
            <w:shd w:val="clear" w:color="auto" w:fill="FFFFFF"/>
            <w:vAlign w:val="center"/>
          </w:tcPr>
          <w:p>
            <w:r/>
            <w:r>
              <w:rPr>
                <w:b/>
                <w:sz w:val="18"/>
              </w:rPr>
              <w:t>Malicious Input</w:t>
            </w:r>
          </w:p>
        </w:tc>
        <w:tc>
          <w:tcPr>
            <w:tcW w:type="dxa" w:w="3264"/>
            <w:shd w:val="clear" w:color="auto" w:fill="FFFFFF"/>
            <w:vAlign w:val="center"/>
          </w:tcPr>
          <w:p>
            <w:r/>
            <w:r>
              <w:rPr>
                <w:b w:val="0"/>
                <w:sz w:val="18"/>
              </w:rPr>
              <w:t>1; DROP TABLE orders; --</w:t>
              <w:br/>
              <w:t>(executes destructive SQL!)</w:t>
            </w:r>
          </w:p>
        </w:tc>
        <w:tc>
          <w:tcPr>
            <w:tcW w:type="dxa" w:w="3264"/>
            <w:shd w:val="clear" w:color="auto" w:fill="FFFFFF"/>
            <w:vAlign w:val="center"/>
          </w:tcPr>
          <w:p>
            <w:r/>
            <w:r>
              <w:rPr>
                <w:b w:val="0"/>
                <w:sz w:val="18"/>
              </w:rPr>
              <w:t>Treated as literal text</w:t>
              <w:br/>
              <w:t>(harmless)</w:t>
            </w:r>
          </w:p>
        </w:tc>
      </w:tr>
      <w:tr>
        <w:tc>
          <w:tcPr>
            <w:tcW w:type="dxa" w:w="3264"/>
            <w:shd w:val="clear" w:color="auto" w:fill="ECF0F1"/>
            <w:vAlign w:val="center"/>
          </w:tcPr>
          <w:p>
            <w:r/>
            <w:r>
              <w:rPr>
                <w:b/>
                <w:sz w:val="18"/>
              </w:rPr>
              <w:t>Plan Caching</w:t>
            </w:r>
          </w:p>
        </w:tc>
        <w:tc>
          <w:tcPr>
            <w:tcW w:type="dxa" w:w="3264"/>
            <w:shd w:val="clear" w:color="auto" w:fill="ECF0F1"/>
            <w:vAlign w:val="center"/>
          </w:tcPr>
          <w:p>
            <w:r/>
            <w:r>
              <w:rPr>
                <w:b w:val="0"/>
                <w:sz w:val="18"/>
              </w:rPr>
              <w:t>New plan compiled every time</w:t>
            </w:r>
          </w:p>
        </w:tc>
        <w:tc>
          <w:tcPr>
            <w:tcW w:type="dxa" w:w="3264"/>
            <w:shd w:val="clear" w:color="auto" w:fill="ECF0F1"/>
            <w:vAlign w:val="center"/>
          </w:tcPr>
          <w:p>
            <w:r/>
            <w:r>
              <w:rPr>
                <w:b w:val="0"/>
                <w:sz w:val="18"/>
              </w:rPr>
              <w:t>Plan compiled once,</w:t>
              <w:br/>
              <w:t>reused for all values</w:t>
            </w:r>
          </w:p>
        </w:tc>
      </w:tr>
      <w:tr>
        <w:tc>
          <w:tcPr>
            <w:tcW w:type="dxa" w:w="3264"/>
            <w:shd w:val="clear" w:color="auto" w:fill="FFFFFF"/>
            <w:vAlign w:val="center"/>
          </w:tcPr>
          <w:p>
            <w:r/>
            <w:r>
              <w:rPr>
                <w:b/>
                <w:sz w:val="18"/>
              </w:rPr>
              <w:t>Security</w:t>
            </w:r>
          </w:p>
        </w:tc>
        <w:tc>
          <w:tcPr>
            <w:tcW w:type="dxa" w:w="3264"/>
            <w:shd w:val="clear" w:color="auto" w:fill="FFFFFF"/>
            <w:vAlign w:val="center"/>
          </w:tcPr>
          <w:p>
            <w:r/>
            <w:r>
              <w:rPr>
                <w:b w:val="0"/>
                <w:sz w:val="18"/>
              </w:rPr>
              <w:t>VULNERABLE to SQL Injection</w:t>
            </w:r>
          </w:p>
        </w:tc>
        <w:tc>
          <w:tcPr>
            <w:tcW w:type="dxa" w:w="3264"/>
            <w:shd w:val="clear" w:color="auto" w:fill="FFFFFF"/>
            <w:vAlign w:val="center"/>
          </w:tcPr>
          <w:p>
            <w:r/>
            <w:r>
              <w:rPr>
                <w:b w:val="0"/>
                <w:sz w:val="18"/>
              </w:rPr>
              <w:t>SAFE from SQL Injection</w:t>
            </w:r>
          </w:p>
        </w:tc>
      </w:tr>
    </w:tbl>
    <w:p/>
    <w:p>
      <w:pPr>
        <w:pStyle w:val="Heading2"/>
      </w:pPr>
      <w:r>
        <w:rPr>
          <w:color w:val="1A1A2E"/>
        </w:rPr>
        <w:t>4.4 Query Execution Plans</w:t>
      </w:r>
    </w:p>
    <w:p>
      <w:pPr>
        <w:spacing w:after="120"/>
      </w:pPr>
      <w:r>
        <w:rPr>
          <w:sz w:val="20"/>
        </w:rPr>
        <w:t>A Query Execution Plan is a detailed report from the database engine showing exactly how it will (or did) execute your query. It reveals the access methods used (Full Table Scan vs. Index Scan), the join strategies, row estimates, and costs at each step.</w:t>
      </w:r>
    </w:p>
    <w:p>
      <w:pPr>
        <w:spacing w:after="120"/>
      </w:pPr>
      <w:r>
        <w:rPr>
          <w:b/>
          <w:color w:val="2C3E50"/>
          <w:sz w:val="20"/>
        </w:rPr>
        <w:t>How to Generate a Plan:</w:t>
      </w:r>
    </w:p>
    <w:p>
      <w:pPr>
        <w:pStyle w:val="NoSpacing"/>
        <w:spacing w:before="0" w:after="0"/>
        <w:ind w:left="576"/>
      </w:pPr>
      <w:r>
        <w:rPr>
          <w:rFonts w:ascii="Consolas" w:hAnsi="Consolas"/>
          <w:color w:val="2C3E50"/>
          <w:sz w:val="18"/>
        </w:rPr>
        <w:t>-- Show the estimated plan (does not run the query)</w:t>
      </w:r>
    </w:p>
    <w:p>
      <w:pPr>
        <w:pStyle w:val="NoSpacing"/>
        <w:spacing w:before="0" w:after="0"/>
        <w:ind w:left="576"/>
      </w:pPr>
      <w:r>
        <w:rPr>
          <w:rFonts w:ascii="Consolas" w:hAnsi="Consolas"/>
          <w:color w:val="2C3E50"/>
          <w:sz w:val="18"/>
        </w:rPr>
        <w:t>EXPLAIN</w:t>
      </w:r>
    </w:p>
    <w:p>
      <w:pPr>
        <w:pStyle w:val="NoSpacing"/>
        <w:spacing w:before="0" w:after="0"/>
        <w:ind w:left="576"/>
      </w:pPr>
      <w:r>
        <w:rPr>
          <w:rFonts w:ascii="Consolas" w:hAnsi="Consolas"/>
          <w:color w:val="2C3E50"/>
          <w:sz w:val="18"/>
        </w:rPr>
        <w:t>SELECT * FROM orders WHERE order_date = '2024-01-15';</w:t>
      </w:r>
    </w:p>
    <w:p>
      <w:pPr>
        <w:pStyle w:val="NoSpacing"/>
        <w:spacing w:before="0" w:after="0"/>
        <w:ind w:left="576"/>
      </w:pPr>
    </w:p>
    <w:p>
      <w:pPr>
        <w:pStyle w:val="NoSpacing"/>
        <w:spacing w:before="0" w:after="0"/>
        <w:ind w:left="576"/>
      </w:pPr>
      <w:r>
        <w:rPr>
          <w:rFonts w:ascii="Consolas" w:hAnsi="Consolas"/>
          <w:color w:val="2C3E50"/>
          <w:sz w:val="18"/>
        </w:rPr>
        <w:t>-- Show the actual plan with real execution times</w:t>
      </w:r>
    </w:p>
    <w:p>
      <w:pPr>
        <w:pStyle w:val="NoSpacing"/>
        <w:spacing w:before="0" w:after="0"/>
        <w:ind w:left="576"/>
      </w:pPr>
      <w:r>
        <w:rPr>
          <w:rFonts w:ascii="Consolas" w:hAnsi="Consolas"/>
          <w:color w:val="2C3E50"/>
          <w:sz w:val="18"/>
        </w:rPr>
        <w:t>EXPLAIN ANALYZE</w:t>
      </w:r>
    </w:p>
    <w:p>
      <w:pPr>
        <w:pStyle w:val="NoSpacing"/>
        <w:spacing w:before="0" w:after="0"/>
        <w:ind w:left="576"/>
      </w:pPr>
      <w:r>
        <w:rPr>
          <w:rFonts w:ascii="Consolas" w:hAnsi="Consolas"/>
          <w:color w:val="2C3E50"/>
          <w:sz w:val="18"/>
        </w:rPr>
        <w:t>SELECT * FROM orders WHERE order_date = '2024-01-15';</w:t>
      </w:r>
    </w:p>
    <w:p/>
    <w:p>
      <w:pPr>
        <w:spacing w:after="120"/>
      </w:pPr>
      <w:r>
        <w:rPr>
          <w:b/>
          <w:color w:val="2C3E50"/>
          <w:sz w:val="20"/>
        </w:rPr>
        <w:t>What to Look For:</w:t>
      </w:r>
    </w:p>
    <w:p>
      <w:pPr>
        <w:pStyle w:val="ListBullet"/>
      </w:pPr>
      <w:r>
        <w:t>Seq Scan (Sequential Scan): Full Table Scan. The database is reading every row. On large tables, this is the most common bottleneck.</w:t>
      </w:r>
    </w:p>
    <w:p>
      <w:pPr>
        <w:pStyle w:val="ListBullet"/>
      </w:pPr>
      <w:r>
        <w:t>Index Scan: The database is using an index to jump directly to matching rows. This is what you want to see.</w:t>
      </w:r>
    </w:p>
    <w:p>
      <w:pPr>
        <w:pStyle w:val="ListBullet"/>
      </w:pPr>
      <w:r>
        <w:t>"Rows Removed by Filter": A high number means the database scanned many rows only to discard them — a sign that an index is needed.</w:t>
      </w:r>
    </w:p>
    <w:p>
      <w:pPr>
        <w:pStyle w:val="ListBullet"/>
      </w:pPr>
      <w:r>
        <w:t>SubPlan (correlated subquery): A subquery that executes once per outer row. If the outer query returns 50,000 rows, the subquery runs 50,000 times. Replace with a CTE or JOIN.</w:t>
      </w:r>
    </w:p>
    <w:p>
      <w:pPr>
        <w:spacing w:after="120"/>
      </w:pPr>
      <w:r>
        <w:rPr>
          <w:b/>
          <w:color w:val="2C3E50"/>
          <w:sz w:val="20"/>
        </w:rPr>
        <w:t>Reading a Conceptual Execution Plan:</w:t>
      </w:r>
    </w:p>
    <w:p>
      <w:pPr>
        <w:pStyle w:val="NoSpacing"/>
        <w:spacing w:before="0" w:after="0"/>
        <w:ind w:left="576"/>
      </w:pPr>
      <w:r>
        <w:rPr>
          <w:rFonts w:ascii="Consolas" w:hAnsi="Consolas"/>
          <w:color w:val="2C3E50"/>
          <w:sz w:val="18"/>
        </w:rPr>
        <w:t>Seq Scan on orders                        &lt;-- BOTTLENECK: Full Table Scan</w:t>
      </w:r>
    </w:p>
    <w:p>
      <w:pPr>
        <w:pStyle w:val="NoSpacing"/>
        <w:spacing w:before="0" w:after="0"/>
        <w:ind w:left="576"/>
      </w:pPr>
      <w:r>
        <w:rPr>
          <w:rFonts w:ascii="Consolas" w:hAnsi="Consolas"/>
          <w:color w:val="2C3E50"/>
          <w:sz w:val="18"/>
        </w:rPr>
        <w:t xml:space="preserve">  (cost=0.00..985400.00 rows=150000)</w:t>
      </w:r>
    </w:p>
    <w:p>
      <w:pPr>
        <w:pStyle w:val="NoSpacing"/>
        <w:spacing w:before="0" w:after="0"/>
        <w:ind w:left="576"/>
      </w:pPr>
      <w:r>
        <w:rPr>
          <w:rFonts w:ascii="Consolas" w:hAnsi="Consolas"/>
          <w:color w:val="2C3E50"/>
          <w:sz w:val="18"/>
        </w:rPr>
        <w:t xml:space="preserve">  Filter: (order_date BETWEEN ... AND status = 'Completed')</w:t>
      </w:r>
    </w:p>
    <w:p>
      <w:pPr>
        <w:pStyle w:val="NoSpacing"/>
        <w:spacing w:before="0" w:after="0"/>
        <w:ind w:left="576"/>
      </w:pPr>
      <w:r>
        <w:rPr>
          <w:rFonts w:ascii="Consolas" w:hAnsi="Consolas"/>
          <w:color w:val="2C3E50"/>
          <w:sz w:val="18"/>
        </w:rPr>
        <w:t xml:space="preserve">  Rows Removed by Filter: 9,850,000       &lt;-- 9.85M rows scanned &amp; discarded</w:t>
      </w:r>
    </w:p>
    <w:p/>
    <w:p>
      <w:pPr>
        <w:spacing w:after="120"/>
      </w:pPr>
      <w:r>
        <w:rPr>
          <w:sz w:val="20"/>
        </w:rPr>
        <w:t>In this example, the database scanned all 10 million rows but only 150,000 matched — 98.5% of the work was wasted. Creating an index on (order_date, status) would change the Seq Scan to an Index Scan, reading only the 150,000 matching rows directly.</w:t>
      </w:r>
    </w:p>
    <w:p>
      <w:pPr>
        <w:jc w:val="center"/>
      </w:pPr>
      <w:r>
        <w:rPr>
          <w:b/>
          <w:color w:val="2980B9"/>
          <w:sz w:val="22"/>
        </w:rPr>
        <w:t>Execution Plan Reading Guide</w:t>
      </w:r>
    </w:p>
    <w:tbl>
      <w:tblPr>
        <w:tblW w:type="auto" w:w="0"/>
        <w:jc w:val="center"/>
        <w:tblLook w:firstColumn="1" w:firstRow="1" w:lastColumn="0" w:lastRow="0" w:noHBand="0" w:noVBand="1" w:val="04A0"/>
      </w:tblPr>
      <w:tblGrid>
        <w:gridCol w:w="9792"/>
      </w:tblGrid>
      <w:tr>
        <w:tc>
          <w:tcPr>
            <w:tcW w:type="dxa" w:w="7937"/>
            <w:shd w:val="clear" w:color="auto" w:fill="FADBD8"/>
          </w:tcPr>
          <w:p>
            <w:pPr>
              <w:jc w:val="center"/>
            </w:pPr>
            <w:r>
              <w:rPr>
                <w:b/>
                <w:sz w:val="18"/>
              </w:rPr>
              <w:t>1. Look for 'Seq Scan' → Bottleneck! Needs an index</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FADBD8"/>
          </w:tcPr>
          <w:p>
            <w:pPr>
              <w:jc w:val="center"/>
            </w:pPr>
            <w:r>
              <w:rPr>
                <w:b/>
                <w:sz w:val="18"/>
              </w:rPr>
              <w:t>2. Check 'Rows Removed by Filter' → High = wasteful scanning</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3. Look for 'Index Scan' → Good! Index is being used</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6EAF8"/>
          </w:tcPr>
          <w:p>
            <w:pPr>
              <w:jc w:val="center"/>
            </w:pPr>
            <w:r>
              <w:rPr>
                <w:b/>
                <w:sz w:val="18"/>
              </w:rPr>
              <w:t>4. Check 'Execution Time' → Compare before/after optimisation</w:t>
            </w:r>
          </w:p>
        </w:tc>
      </w:tr>
    </w:tbl>
    <w:p/>
    <w:p>
      <w:pPr>
        <w:pStyle w:val="Heading2"/>
      </w:pPr>
      <w:r>
        <w:rPr>
          <w:color w:val="1A1A2E"/>
        </w:rPr>
        <w:t>4.5 The LIMIT Clause</w:t>
      </w:r>
    </w:p>
    <w:p>
      <w:pPr>
        <w:spacing w:after="120"/>
      </w:pPr>
      <w:r>
        <w:rPr>
          <w:sz w:val="20"/>
        </w:rPr>
        <w:t>A common misconception is that adding LIMIT 100 to a query makes it run faster by telling the database to ‘only process 100 rows’. This is not accurate.</w:t>
      </w:r>
    </w:p>
    <w:p>
      <w:pPr>
        <w:spacing w:after="120"/>
      </w:pPr>
      <w:r>
        <w:rPr>
          <w:b/>
          <w:color w:val="2C3E50"/>
          <w:sz w:val="20"/>
        </w:rPr>
        <w:t>What LIMIT Actually Does:</w:t>
      </w:r>
    </w:p>
    <w:p>
      <w:pPr>
        <w:spacing w:after="120"/>
      </w:pPr>
      <w:r>
        <w:rPr>
          <w:sz w:val="20"/>
        </w:rPr>
        <w:t>LIMIT controls how many rows are returned to your client application. The database engine still builds the full execution plan and may still scan large portions of the table before returning your limited rows.</w:t>
      </w:r>
    </w:p>
    <w:p>
      <w:pPr>
        <w:spacing w:after="120"/>
      </w:pPr>
      <w:r>
        <w:rPr>
          <w:b/>
          <w:color w:val="2C3E50"/>
          <w:sz w:val="20"/>
        </w:rPr>
        <w:t>LIMIT as an Analyst Workflow Tool:</w:t>
      </w:r>
    </w:p>
    <w:p>
      <w:pPr>
        <w:pStyle w:val="ListBullet"/>
      </w:pPr>
      <w:r>
        <w:t>Preview data: SELECT * FROM sales_data LIMIT 10 lets you inspect the schema and sample values before writing a full query.</w:t>
      </w:r>
    </w:p>
    <w:p>
      <w:pPr>
        <w:pStyle w:val="ListBullet"/>
      </w:pPr>
      <w:r>
        <w:t>Safety net: Prevents accidentally pulling 40 million rows into your laptop’s memory and crashing your SQL client.</w:t>
      </w:r>
    </w:p>
    <w:p>
      <w:pPr>
        <w:pStyle w:val="ListBullet"/>
      </w:pPr>
      <w:r>
        <w:t>Top-N analysis: ORDER BY revenue DESC LIMIT 5 retrieves the five highest-revenue items — a legitimate analytical pattern.</w:t>
      </w:r>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Always use LIMIT when exploring unfamiliar tables. It costs nothing and saves you from accidental data avalanches.</w:t>
            </w:r>
          </w:p>
        </w:tc>
      </w:tr>
    </w:tbl>
    <w:p/>
    <w:p>
      <w:r>
        <w:br w:type="page"/>
      </w:r>
    </w:p>
    <w:p>
      <w:pPr>
        <w:pStyle w:val="Heading1"/>
      </w:pPr>
      <w:r>
        <w:rPr>
          <w:color w:val="1A1A2E"/>
        </w:rPr>
        <w:t>5. Temporary Tables and Common Table Expressions</w:t>
      </w:r>
    </w:p>
    <w:p>
      <w:pPr>
        <w:spacing w:after="120"/>
      </w:pPr>
      <w:r>
        <w:rPr>
          <w:sz w:val="20"/>
        </w:rPr>
        <w:t>Temporary structures are query-time optimisation tools that store intermediate results so they can be referenced multiple times without forcing the database to re-compute them.</w:t>
      </w:r>
    </w:p>
    <w:p>
      <w:pPr>
        <w:pStyle w:val="Heading2"/>
      </w:pPr>
      <w:r>
        <w:rPr>
          <w:color w:val="1A1A2E"/>
        </w:rPr>
        <w:t>5.1 Common Table Expressions (CTEs)</w:t>
      </w:r>
    </w:p>
    <w:p>
      <w:pPr>
        <w:spacing w:after="120"/>
      </w:pPr>
      <w:r>
        <w:rPr>
          <w:sz w:val="20"/>
        </w:rPr>
        <w:t>A CTE is defined using the WITH ... AS syntax. It creates a named, temporary result set that exists only for the duration of the single query in which it is defined.</w:t>
      </w:r>
    </w:p>
    <w:p>
      <w:pPr>
        <w:pStyle w:val="NoSpacing"/>
        <w:spacing w:before="0" w:after="0"/>
        <w:ind w:left="576"/>
      </w:pPr>
      <w:r>
        <w:rPr>
          <w:rFonts w:ascii="Consolas" w:hAnsi="Consolas"/>
          <w:color w:val="2C3E50"/>
          <w:sz w:val="18"/>
        </w:rPr>
        <w:t>WITH monthly_totals AS (</w:t>
      </w:r>
    </w:p>
    <w:p>
      <w:pPr>
        <w:pStyle w:val="NoSpacing"/>
        <w:spacing w:before="0" w:after="0"/>
        <w:ind w:left="576"/>
      </w:pPr>
      <w:r>
        <w:rPr>
          <w:rFonts w:ascii="Consolas" w:hAnsi="Consolas"/>
          <w:color w:val="2C3E50"/>
          <w:sz w:val="18"/>
        </w:rPr>
        <w:t xml:space="preserve">    -- This aggregation is computed ONCE</w:t>
      </w:r>
    </w:p>
    <w:p>
      <w:pPr>
        <w:pStyle w:val="NoSpacing"/>
        <w:spacing w:before="0" w:after="0"/>
        <w:ind w:left="576"/>
      </w:pPr>
      <w:r>
        <w:rPr>
          <w:rFonts w:ascii="Consolas" w:hAnsi="Consolas"/>
          <w:color w:val="2C3E50"/>
          <w:sz w:val="18"/>
        </w:rPr>
        <w:t xml:space="preserve">    SELECT</w:t>
      </w:r>
    </w:p>
    <w:p>
      <w:pPr>
        <w:pStyle w:val="NoSpacing"/>
        <w:spacing w:before="0" w:after="0"/>
        <w:ind w:left="576"/>
      </w:pPr>
      <w:r>
        <w:rPr>
          <w:rFonts w:ascii="Consolas" w:hAnsi="Consolas"/>
          <w:color w:val="2C3E50"/>
          <w:sz w:val="18"/>
        </w:rPr>
        <w:t xml:space="preserve">        customer_id,</w:t>
      </w:r>
    </w:p>
    <w:p>
      <w:pPr>
        <w:pStyle w:val="NoSpacing"/>
        <w:spacing w:before="0" w:after="0"/>
        <w:ind w:left="576"/>
      </w:pPr>
      <w:r>
        <w:rPr>
          <w:rFonts w:ascii="Consolas" w:hAnsi="Consolas"/>
          <w:color w:val="2C3E50"/>
          <w:sz w:val="18"/>
        </w:rPr>
        <w:t xml:space="preserve">        SUM(order_total) AS total_spent</w:t>
      </w:r>
    </w:p>
    <w:p>
      <w:pPr>
        <w:pStyle w:val="NoSpacing"/>
        <w:spacing w:before="0" w:after="0"/>
        <w:ind w:left="576"/>
      </w:pPr>
      <w:r>
        <w:rPr>
          <w:rFonts w:ascii="Consolas" w:hAnsi="Consolas"/>
          <w:color w:val="2C3E50"/>
          <w:sz w:val="18"/>
        </w:rPr>
        <w:t xml:space="preserve">    FROM orders</w:t>
      </w:r>
    </w:p>
    <w:p>
      <w:pPr>
        <w:pStyle w:val="NoSpacing"/>
        <w:spacing w:before="0" w:after="0"/>
        <w:ind w:left="576"/>
      </w:pPr>
      <w:r>
        <w:rPr>
          <w:rFonts w:ascii="Consolas" w:hAnsi="Consolas"/>
          <w:color w:val="2C3E50"/>
          <w:sz w:val="18"/>
        </w:rPr>
        <w:t xml:space="preserve">    WHERE order_date &gt;= DATE_TRUNC('month', CURRENT_DATE)</w:t>
      </w:r>
    </w:p>
    <w:p>
      <w:pPr>
        <w:pStyle w:val="NoSpacing"/>
        <w:spacing w:before="0" w:after="0"/>
        <w:ind w:left="576"/>
      </w:pPr>
      <w:r>
        <w:rPr>
          <w:rFonts w:ascii="Consolas" w:hAnsi="Consolas"/>
          <w:color w:val="2C3E50"/>
          <w:sz w:val="18"/>
        </w:rPr>
        <w:t xml:space="preserve">    GROUP BY customer_id</w:t>
      </w:r>
    </w:p>
    <w:p>
      <w:pPr>
        <w:pStyle w:val="NoSpacing"/>
        <w:spacing w:before="0" w:after="0"/>
        <w:ind w:left="576"/>
      </w:pPr>
      <w:r>
        <w:rPr>
          <w:rFonts w:ascii="Consolas" w:hAnsi="Consolas"/>
          <w:color w:val="2C3E50"/>
          <w:sz w:val="18"/>
        </w:rPr>
        <w:t>)</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c.customer_name,</w:t>
      </w:r>
    </w:p>
    <w:p>
      <w:pPr>
        <w:pStyle w:val="NoSpacing"/>
        <w:spacing w:before="0" w:after="0"/>
        <w:ind w:left="576"/>
      </w:pPr>
      <w:r>
        <w:rPr>
          <w:rFonts w:ascii="Consolas" w:hAnsi="Consolas"/>
          <w:color w:val="2C3E50"/>
          <w:sz w:val="18"/>
        </w:rPr>
        <w:t xml:space="preserve">    mt.total_spent</w:t>
      </w:r>
    </w:p>
    <w:p>
      <w:pPr>
        <w:pStyle w:val="NoSpacing"/>
        <w:spacing w:before="0" w:after="0"/>
        <w:ind w:left="576"/>
      </w:pPr>
      <w:r>
        <w:rPr>
          <w:rFonts w:ascii="Consolas" w:hAnsi="Consolas"/>
          <w:color w:val="2C3E50"/>
          <w:sz w:val="18"/>
        </w:rPr>
        <w:t>FROM monthly_totals mt</w:t>
      </w:r>
    </w:p>
    <w:p>
      <w:pPr>
        <w:pStyle w:val="NoSpacing"/>
        <w:spacing w:before="0" w:after="0"/>
        <w:ind w:left="576"/>
      </w:pPr>
      <w:r>
        <w:rPr>
          <w:rFonts w:ascii="Consolas" w:hAnsi="Consolas"/>
          <w:color w:val="2C3E50"/>
          <w:sz w:val="18"/>
        </w:rPr>
        <w:t>JOIN customers c ON mt.customer_id = c.customer_id</w:t>
      </w:r>
    </w:p>
    <w:p>
      <w:pPr>
        <w:pStyle w:val="NoSpacing"/>
        <w:spacing w:before="0" w:after="0"/>
        <w:ind w:left="576"/>
      </w:pPr>
      <w:r>
        <w:rPr>
          <w:rFonts w:ascii="Consolas" w:hAnsi="Consolas"/>
          <w:color w:val="2C3E50"/>
          <w:sz w:val="18"/>
        </w:rPr>
        <w:t>ORDER BY mt.total_spent DESC;</w:t>
      </w:r>
    </w:p>
    <w:p/>
    <w:p>
      <w:pPr>
        <w:spacing w:after="120"/>
      </w:pPr>
      <w:r>
        <w:rPr>
          <w:b/>
          <w:color w:val="2C3E50"/>
          <w:sz w:val="20"/>
        </w:rPr>
        <w:t>CTEs vs. Correlated Subqueries: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Correlated Subquery</w:t>
            </w:r>
          </w:p>
        </w:tc>
        <w:tc>
          <w:tcPr>
            <w:tcW w:type="dxa" w:w="3264"/>
            <w:shd w:val="clear" w:color="auto" w:fill="2C3E50"/>
            <w:vAlign w:val="center"/>
          </w:tcPr>
          <w:p>
            <w:pPr>
              <w:jc w:val="center"/>
            </w:pPr>
            <w:r/>
            <w:r>
              <w:rPr>
                <w:b/>
                <w:color w:val="FFFFFF"/>
                <w:sz w:val="20"/>
              </w:rPr>
              <w:t>CTE</w:t>
            </w:r>
          </w:p>
        </w:tc>
      </w:tr>
      <w:tr>
        <w:tc>
          <w:tcPr>
            <w:tcW w:type="dxa" w:w="3264"/>
            <w:shd w:val="clear" w:color="auto" w:fill="ECF0F1"/>
            <w:vAlign w:val="center"/>
          </w:tcPr>
          <w:p>
            <w:r/>
            <w:r>
              <w:rPr>
                <w:b/>
                <w:sz w:val="18"/>
              </w:rPr>
              <w:t>Execution</w:t>
            </w:r>
          </w:p>
        </w:tc>
        <w:tc>
          <w:tcPr>
            <w:tcW w:type="dxa" w:w="3264"/>
            <w:shd w:val="clear" w:color="auto" w:fill="ECF0F1"/>
            <w:vAlign w:val="center"/>
          </w:tcPr>
          <w:p>
            <w:r/>
            <w:r>
              <w:rPr>
                <w:b w:val="0"/>
                <w:sz w:val="18"/>
              </w:rPr>
              <w:t>Re-runs for every row</w:t>
              <w:br/>
              <w:t>in the outer query</w:t>
            </w:r>
          </w:p>
        </w:tc>
        <w:tc>
          <w:tcPr>
            <w:tcW w:type="dxa" w:w="3264"/>
            <w:shd w:val="clear" w:color="auto" w:fill="ECF0F1"/>
            <w:vAlign w:val="center"/>
          </w:tcPr>
          <w:p>
            <w:r/>
            <w:r>
              <w:rPr>
                <w:b w:val="0"/>
                <w:sz w:val="18"/>
              </w:rPr>
              <w:t>Computed once, then joined</w:t>
            </w:r>
          </w:p>
        </w:tc>
      </w:tr>
      <w:tr>
        <w:tc>
          <w:tcPr>
            <w:tcW w:type="dxa" w:w="3264"/>
            <w:shd w:val="clear" w:color="auto" w:fill="FFFFFF"/>
            <w:vAlign w:val="center"/>
          </w:tcPr>
          <w:p>
            <w:r/>
            <w:r>
              <w:rPr>
                <w:b/>
                <w:sz w:val="18"/>
              </w:rPr>
              <w:t>Performance</w:t>
            </w:r>
          </w:p>
        </w:tc>
        <w:tc>
          <w:tcPr>
            <w:tcW w:type="dxa" w:w="3264"/>
            <w:shd w:val="clear" w:color="auto" w:fill="FFFFFF"/>
            <w:vAlign w:val="center"/>
          </w:tcPr>
          <w:p>
            <w:r/>
            <w:r>
              <w:rPr>
                <w:b w:val="0"/>
                <w:sz w:val="18"/>
              </w:rPr>
              <w:t>N executions</w:t>
              <w:br/>
              <w:t>(N = outer row count)</w:t>
            </w:r>
          </w:p>
        </w:tc>
        <w:tc>
          <w:tcPr>
            <w:tcW w:type="dxa" w:w="3264"/>
            <w:shd w:val="clear" w:color="auto" w:fill="FFFFFF"/>
            <w:vAlign w:val="center"/>
          </w:tcPr>
          <w:p>
            <w:r/>
            <w:r>
              <w:rPr>
                <w:b w:val="0"/>
                <w:sz w:val="18"/>
              </w:rPr>
              <w:t>1 execution</w:t>
            </w:r>
          </w:p>
        </w:tc>
      </w:tr>
      <w:tr>
        <w:tc>
          <w:tcPr>
            <w:tcW w:type="dxa" w:w="3264"/>
            <w:shd w:val="clear" w:color="auto" w:fill="ECF0F1"/>
            <w:vAlign w:val="center"/>
          </w:tcPr>
          <w:p>
            <w:r/>
            <w:r>
              <w:rPr>
                <w:b/>
                <w:sz w:val="18"/>
              </w:rPr>
              <w:t>Readability</w:t>
            </w:r>
          </w:p>
        </w:tc>
        <w:tc>
          <w:tcPr>
            <w:tcW w:type="dxa" w:w="3264"/>
            <w:shd w:val="clear" w:color="auto" w:fill="ECF0F1"/>
            <w:vAlign w:val="center"/>
          </w:tcPr>
          <w:p>
            <w:r/>
            <w:r>
              <w:rPr>
                <w:b w:val="0"/>
                <w:sz w:val="18"/>
              </w:rPr>
              <w:t>Nested, hard to follow</w:t>
            </w:r>
          </w:p>
        </w:tc>
        <w:tc>
          <w:tcPr>
            <w:tcW w:type="dxa" w:w="3264"/>
            <w:shd w:val="clear" w:color="auto" w:fill="ECF0F1"/>
            <w:vAlign w:val="center"/>
          </w:tcPr>
          <w:p>
            <w:r/>
            <w:r>
              <w:rPr>
                <w:b w:val="0"/>
                <w:sz w:val="18"/>
              </w:rPr>
              <w:t>Clean, top-down, named</w:t>
            </w:r>
          </w:p>
        </w:tc>
      </w:tr>
      <w:tr>
        <w:tc>
          <w:tcPr>
            <w:tcW w:type="dxa" w:w="3264"/>
            <w:shd w:val="clear" w:color="auto" w:fill="FFFFFF"/>
            <w:vAlign w:val="center"/>
          </w:tcPr>
          <w:p>
            <w:r/>
            <w:r>
              <w:rPr>
                <w:b/>
                <w:sz w:val="18"/>
              </w:rPr>
              <w:t>Example</w:t>
            </w:r>
          </w:p>
        </w:tc>
        <w:tc>
          <w:tcPr>
            <w:tcW w:type="dxa" w:w="3264"/>
            <w:shd w:val="clear" w:color="auto" w:fill="FFFFFF"/>
            <w:vAlign w:val="center"/>
          </w:tcPr>
          <w:p>
            <w:r/>
            <w:r>
              <w:rPr>
                <w:b w:val="0"/>
                <w:sz w:val="18"/>
              </w:rPr>
              <w:t>50K outer rows =</w:t>
              <w:br/>
              <w:t>50K subquery runs</w:t>
            </w:r>
          </w:p>
        </w:tc>
        <w:tc>
          <w:tcPr>
            <w:tcW w:type="dxa" w:w="3264"/>
            <w:shd w:val="clear" w:color="auto" w:fill="FFFFFF"/>
            <w:vAlign w:val="center"/>
          </w:tcPr>
          <w:p>
            <w:r/>
            <w:r>
              <w:rPr>
                <w:b w:val="0"/>
                <w:sz w:val="18"/>
              </w:rPr>
              <w:t>1 aggregation pass + 1 join</w:t>
            </w:r>
          </w:p>
        </w:tc>
      </w:tr>
    </w:tbl>
    <w:p/>
    <w:p>
      <w:pPr>
        <w:pStyle w:val="Heading2"/>
      </w:pPr>
      <w:r>
        <w:rPr>
          <w:color w:val="1A1A2E"/>
        </w:rPr>
        <w:t>5.2 Temporary Tables</w:t>
      </w:r>
    </w:p>
    <w:p>
      <w:pPr>
        <w:spacing w:after="120"/>
      </w:pPr>
      <w:r>
        <w:rPr>
          <w:sz w:val="20"/>
        </w:rPr>
        <w:t>A temporary table is a physical table that exists for the duration of your database session (or transaction, depending on configuration). Unlike a CTE, which exists only within a single query, a temporary table can be referenced by multiple queries in the same session.</w:t>
      </w:r>
    </w:p>
    <w:p>
      <w:pPr>
        <w:pStyle w:val="NoSpacing"/>
        <w:spacing w:before="0" w:after="0"/>
        <w:ind w:left="576"/>
      </w:pPr>
      <w:r>
        <w:rPr>
          <w:rFonts w:ascii="Consolas" w:hAnsi="Consolas"/>
          <w:color w:val="2C3E50"/>
          <w:sz w:val="18"/>
        </w:rPr>
        <w:t>-- Create a temp table with pre-aggregated data</w:t>
      </w:r>
    </w:p>
    <w:p>
      <w:pPr>
        <w:pStyle w:val="NoSpacing"/>
        <w:spacing w:before="0" w:after="0"/>
        <w:ind w:left="576"/>
      </w:pPr>
      <w:r>
        <w:rPr>
          <w:rFonts w:ascii="Consolas" w:hAnsi="Consolas"/>
          <w:color w:val="2C3E50"/>
          <w:sz w:val="18"/>
        </w:rPr>
        <w:t>CREATE TEMP TABLE hourly_counts AS</w:t>
      </w:r>
    </w:p>
    <w:p>
      <w:pPr>
        <w:pStyle w:val="NoSpacing"/>
        <w:spacing w:before="0" w:after="0"/>
        <w:ind w:left="576"/>
      </w:pPr>
      <w:r>
        <w:rPr>
          <w:rFonts w:ascii="Consolas" w:hAnsi="Consolas"/>
          <w:color w:val="2C3E50"/>
          <w:sz w:val="18"/>
        </w:rPr>
        <w:t>SELECT</w:t>
      </w:r>
    </w:p>
    <w:p>
      <w:pPr>
        <w:pStyle w:val="NoSpacing"/>
        <w:spacing w:before="0" w:after="0"/>
        <w:ind w:left="576"/>
      </w:pPr>
      <w:r>
        <w:rPr>
          <w:rFonts w:ascii="Consolas" w:hAnsi="Consolas"/>
          <w:color w:val="2C3E50"/>
          <w:sz w:val="18"/>
        </w:rPr>
        <w:t xml:space="preserve">    DATE_TRUNC('hour', event_timestamp) AS event_hour,</w:t>
      </w:r>
    </w:p>
    <w:p>
      <w:pPr>
        <w:pStyle w:val="NoSpacing"/>
        <w:spacing w:before="0" w:after="0"/>
        <w:ind w:left="576"/>
      </w:pPr>
      <w:r>
        <w:rPr>
          <w:rFonts w:ascii="Consolas" w:hAnsi="Consolas"/>
          <w:color w:val="2C3E50"/>
          <w:sz w:val="18"/>
        </w:rPr>
        <w:t xml:space="preserve">    event_type,</w:t>
      </w:r>
    </w:p>
    <w:p>
      <w:pPr>
        <w:pStyle w:val="NoSpacing"/>
        <w:spacing w:before="0" w:after="0"/>
        <w:ind w:left="576"/>
      </w:pPr>
      <w:r>
        <w:rPr>
          <w:rFonts w:ascii="Consolas" w:hAnsi="Consolas"/>
          <w:color w:val="2C3E50"/>
          <w:sz w:val="18"/>
        </w:rPr>
        <w:t xml:space="preserve">    COUNT(*) AS event_count</w:t>
      </w:r>
    </w:p>
    <w:p>
      <w:pPr>
        <w:pStyle w:val="NoSpacing"/>
        <w:spacing w:before="0" w:after="0"/>
        <w:ind w:left="576"/>
      </w:pPr>
      <w:r>
        <w:rPr>
          <w:rFonts w:ascii="Consolas" w:hAnsi="Consolas"/>
          <w:color w:val="2C3E50"/>
          <w:sz w:val="18"/>
        </w:rPr>
        <w:t>FROM raw_events</w:t>
      </w:r>
    </w:p>
    <w:p>
      <w:pPr>
        <w:pStyle w:val="NoSpacing"/>
        <w:spacing w:before="0" w:after="0"/>
        <w:ind w:left="576"/>
      </w:pPr>
      <w:r>
        <w:rPr>
          <w:rFonts w:ascii="Consolas" w:hAnsi="Consolas"/>
          <w:color w:val="2C3E50"/>
          <w:sz w:val="18"/>
        </w:rPr>
        <w:t>WHERE event_timestamp &gt;= '2024-03-15'</w:t>
      </w:r>
    </w:p>
    <w:p>
      <w:pPr>
        <w:pStyle w:val="NoSpacing"/>
        <w:spacing w:before="0" w:after="0"/>
        <w:ind w:left="576"/>
      </w:pPr>
      <w:r>
        <w:rPr>
          <w:rFonts w:ascii="Consolas" w:hAnsi="Consolas"/>
          <w:color w:val="2C3E50"/>
          <w:sz w:val="18"/>
        </w:rPr>
        <w:t xml:space="preserve">  AND event_timestamp &lt;  '2024-03-16'</w:t>
      </w:r>
    </w:p>
    <w:p>
      <w:pPr>
        <w:pStyle w:val="NoSpacing"/>
        <w:spacing w:before="0" w:after="0"/>
        <w:ind w:left="576"/>
      </w:pPr>
      <w:r>
        <w:rPr>
          <w:rFonts w:ascii="Consolas" w:hAnsi="Consolas"/>
          <w:color w:val="2C3E50"/>
          <w:sz w:val="18"/>
        </w:rPr>
        <w:t>GROUP BY 1, 2;</w:t>
      </w:r>
    </w:p>
    <w:p>
      <w:pPr>
        <w:pStyle w:val="NoSpacing"/>
        <w:spacing w:before="0" w:after="0"/>
        <w:ind w:left="576"/>
      </w:pPr>
    </w:p>
    <w:p>
      <w:pPr>
        <w:pStyle w:val="NoSpacing"/>
        <w:spacing w:before="0" w:after="0"/>
        <w:ind w:left="576"/>
      </w:pPr>
      <w:r>
        <w:rPr>
          <w:rFonts w:ascii="Consolas" w:hAnsi="Consolas"/>
          <w:color w:val="2C3E50"/>
          <w:sz w:val="18"/>
        </w:rPr>
        <w:t>-- Now run multiple queries against the small temp table</w:t>
      </w:r>
    </w:p>
    <w:p>
      <w:pPr>
        <w:pStyle w:val="NoSpacing"/>
        <w:spacing w:before="0" w:after="0"/>
        <w:ind w:left="576"/>
      </w:pPr>
      <w:r>
        <w:rPr>
          <w:rFonts w:ascii="Consolas" w:hAnsi="Consolas"/>
          <w:color w:val="2C3E50"/>
          <w:sz w:val="18"/>
        </w:rPr>
        <w:t>SELECT event_type, SUM(event_count) AS daily_total</w:t>
      </w:r>
    </w:p>
    <w:p>
      <w:pPr>
        <w:pStyle w:val="NoSpacing"/>
        <w:spacing w:before="0" w:after="0"/>
        <w:ind w:left="576"/>
      </w:pPr>
      <w:r>
        <w:rPr>
          <w:rFonts w:ascii="Consolas" w:hAnsi="Consolas"/>
          <w:color w:val="2C3E50"/>
          <w:sz w:val="18"/>
        </w:rPr>
        <w:t>FROM hourly_counts</w:t>
      </w:r>
    </w:p>
    <w:p>
      <w:pPr>
        <w:pStyle w:val="NoSpacing"/>
        <w:spacing w:before="0" w:after="0"/>
        <w:ind w:left="576"/>
      </w:pPr>
      <w:r>
        <w:rPr>
          <w:rFonts w:ascii="Consolas" w:hAnsi="Consolas"/>
          <w:color w:val="2C3E50"/>
          <w:sz w:val="18"/>
        </w:rPr>
        <w:t>GROUP BY event_type;</w:t>
      </w:r>
    </w:p>
    <w:p/>
    <w:p>
      <w:pPr>
        <w:pStyle w:val="Heading2"/>
      </w:pPr>
      <w:r>
        <w:rPr>
          <w:color w:val="1A1A2E"/>
        </w:rPr>
        <w:t>5.3 CTEs vs. Temporary Tables — When to Use Which</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CTE (WITH ... AS)</w:t>
            </w:r>
          </w:p>
        </w:tc>
        <w:tc>
          <w:tcPr>
            <w:tcW w:type="dxa" w:w="3264"/>
            <w:shd w:val="clear" w:color="auto" w:fill="2C3E50"/>
            <w:vAlign w:val="center"/>
          </w:tcPr>
          <w:p>
            <w:pPr>
              <w:jc w:val="center"/>
            </w:pPr>
            <w:r/>
            <w:r>
              <w:rPr>
                <w:b/>
                <w:color w:val="FFFFFF"/>
                <w:sz w:val="20"/>
              </w:rPr>
              <w:t>Temporary Table (CREATE TEMP TABLE)</w:t>
            </w:r>
          </w:p>
        </w:tc>
      </w:tr>
      <w:tr>
        <w:tc>
          <w:tcPr>
            <w:tcW w:type="dxa" w:w="3264"/>
            <w:shd w:val="clear" w:color="auto" w:fill="ECF0F1"/>
            <w:vAlign w:val="center"/>
          </w:tcPr>
          <w:p>
            <w:r/>
            <w:r>
              <w:rPr>
                <w:b/>
                <w:sz w:val="18"/>
              </w:rPr>
              <w:t>Scope</w:t>
            </w:r>
          </w:p>
        </w:tc>
        <w:tc>
          <w:tcPr>
            <w:tcW w:type="dxa" w:w="3264"/>
            <w:shd w:val="clear" w:color="auto" w:fill="ECF0F1"/>
            <w:vAlign w:val="center"/>
          </w:tcPr>
          <w:p>
            <w:r/>
            <w:r>
              <w:rPr>
                <w:b w:val="0"/>
                <w:sz w:val="18"/>
              </w:rPr>
              <w:t>Single query only</w:t>
            </w:r>
          </w:p>
        </w:tc>
        <w:tc>
          <w:tcPr>
            <w:tcW w:type="dxa" w:w="3264"/>
            <w:shd w:val="clear" w:color="auto" w:fill="ECF0F1"/>
            <w:vAlign w:val="center"/>
          </w:tcPr>
          <w:p>
            <w:r/>
            <w:r>
              <w:rPr>
                <w:b w:val="0"/>
                <w:sz w:val="18"/>
              </w:rPr>
              <w:t>Entire session</w:t>
              <w:br/>
              <w:t>(multiple queries)</w:t>
            </w:r>
          </w:p>
        </w:tc>
      </w:tr>
      <w:tr>
        <w:tc>
          <w:tcPr>
            <w:tcW w:type="dxa" w:w="3264"/>
            <w:shd w:val="clear" w:color="auto" w:fill="FFFFFF"/>
            <w:vAlign w:val="center"/>
          </w:tcPr>
          <w:p>
            <w:r/>
            <w:r>
              <w:rPr>
                <w:b/>
                <w:sz w:val="18"/>
              </w:rPr>
              <w:t>Persistence</w:t>
            </w:r>
          </w:p>
        </w:tc>
        <w:tc>
          <w:tcPr>
            <w:tcW w:type="dxa" w:w="3264"/>
            <w:shd w:val="clear" w:color="auto" w:fill="FFFFFF"/>
            <w:vAlign w:val="center"/>
          </w:tcPr>
          <w:p>
            <w:r/>
            <w:r>
              <w:rPr>
                <w:b w:val="0"/>
                <w:sz w:val="18"/>
              </w:rPr>
              <w:t>Gone after the query finishes</w:t>
            </w:r>
          </w:p>
        </w:tc>
        <w:tc>
          <w:tcPr>
            <w:tcW w:type="dxa" w:w="3264"/>
            <w:shd w:val="clear" w:color="auto" w:fill="FFFFFF"/>
            <w:vAlign w:val="center"/>
          </w:tcPr>
          <w:p>
            <w:r/>
            <w:r>
              <w:rPr>
                <w:b w:val="0"/>
                <w:sz w:val="18"/>
              </w:rPr>
              <w:t>Persists until session ends</w:t>
              <w:br/>
              <w:t>or explicit DROP</w:t>
            </w:r>
          </w:p>
        </w:tc>
      </w:tr>
      <w:tr>
        <w:tc>
          <w:tcPr>
            <w:tcW w:type="dxa" w:w="3264"/>
            <w:shd w:val="clear" w:color="auto" w:fill="ECF0F1"/>
            <w:vAlign w:val="center"/>
          </w:tcPr>
          <w:p>
            <w:r/>
            <w:r>
              <w:rPr>
                <w:b/>
                <w:sz w:val="18"/>
              </w:rPr>
              <w:t>Best for</w:t>
            </w:r>
          </w:p>
        </w:tc>
        <w:tc>
          <w:tcPr>
            <w:tcW w:type="dxa" w:w="3264"/>
            <w:shd w:val="clear" w:color="auto" w:fill="ECF0F1"/>
            <w:vAlign w:val="center"/>
          </w:tcPr>
          <w:p>
            <w:r/>
            <w:r>
              <w:rPr>
                <w:b w:val="0"/>
                <w:sz w:val="18"/>
              </w:rPr>
              <w:t>Referencing an intermediate result</w:t>
              <w:br/>
              <w:t>multiple times within one query</w:t>
            </w:r>
          </w:p>
        </w:tc>
        <w:tc>
          <w:tcPr>
            <w:tcW w:type="dxa" w:w="3264"/>
            <w:shd w:val="clear" w:color="auto" w:fill="ECF0F1"/>
            <w:vAlign w:val="center"/>
          </w:tcPr>
          <w:p>
            <w:r/>
            <w:r>
              <w:rPr>
                <w:b w:val="0"/>
                <w:sz w:val="18"/>
              </w:rPr>
              <w:t>Sharing a pre-computed result</w:t>
              <w:br/>
              <w:t>across several separate queries</w:t>
            </w:r>
          </w:p>
        </w:tc>
      </w:tr>
      <w:tr>
        <w:tc>
          <w:tcPr>
            <w:tcW w:type="dxa" w:w="3264"/>
            <w:shd w:val="clear" w:color="auto" w:fill="FFFFFF"/>
            <w:vAlign w:val="center"/>
          </w:tcPr>
          <w:p>
            <w:r/>
            <w:r>
              <w:rPr>
                <w:b/>
                <w:sz w:val="18"/>
              </w:rPr>
              <w:t>Creation overhead</w:t>
            </w:r>
          </w:p>
        </w:tc>
        <w:tc>
          <w:tcPr>
            <w:tcW w:type="dxa" w:w="3264"/>
            <w:shd w:val="clear" w:color="auto" w:fill="FFFFFF"/>
            <w:vAlign w:val="center"/>
          </w:tcPr>
          <w:p>
            <w:r/>
            <w:r>
              <w:rPr>
                <w:b w:val="0"/>
                <w:sz w:val="18"/>
              </w:rPr>
              <w:t>None (defined inline)</w:t>
            </w:r>
          </w:p>
        </w:tc>
        <w:tc>
          <w:tcPr>
            <w:tcW w:type="dxa" w:w="3264"/>
            <w:shd w:val="clear" w:color="auto" w:fill="FFFFFF"/>
            <w:vAlign w:val="center"/>
          </w:tcPr>
          <w:p>
            <w:r/>
            <w:r>
              <w:rPr>
                <w:b w:val="0"/>
                <w:sz w:val="18"/>
              </w:rPr>
              <w:t>Small overhead</w:t>
              <w:br/>
              <w:t>(table materialised to disk)</w:t>
            </w:r>
          </w:p>
        </w:tc>
      </w:tr>
      <w:tr>
        <w:tc>
          <w:tcPr>
            <w:tcW w:type="dxa" w:w="3264"/>
            <w:shd w:val="clear" w:color="auto" w:fill="ECF0F1"/>
            <w:vAlign w:val="center"/>
          </w:tcPr>
          <w:p>
            <w:r/>
            <w:r>
              <w:rPr>
                <w:b/>
                <w:sz w:val="18"/>
              </w:rPr>
              <w:t>Example use case</w:t>
            </w:r>
          </w:p>
        </w:tc>
        <w:tc>
          <w:tcPr>
            <w:tcW w:type="dxa" w:w="3264"/>
            <w:shd w:val="clear" w:color="auto" w:fill="ECF0F1"/>
            <w:vAlign w:val="center"/>
          </w:tcPr>
          <w:p>
            <w:r/>
            <w:r>
              <w:rPr>
                <w:b w:val="0"/>
                <w:sz w:val="18"/>
              </w:rPr>
              <w:t>Replace a correlated subquery</w:t>
            </w:r>
          </w:p>
        </w:tc>
        <w:tc>
          <w:tcPr>
            <w:tcW w:type="dxa" w:w="3264"/>
            <w:shd w:val="clear" w:color="auto" w:fill="ECF0F1"/>
            <w:vAlign w:val="center"/>
          </w:tcPr>
          <w:p>
            <w:r/>
            <w:r>
              <w:rPr>
                <w:b w:val="0"/>
                <w:sz w:val="18"/>
              </w:rPr>
              <w:t>Store hourly aggregates for</w:t>
              <w:br/>
              <w:t>multiple daily reports</w:t>
            </w:r>
          </w:p>
        </w:tc>
      </w:tr>
    </w:tbl>
    <w:p/>
    <w:p>
      <w:pPr>
        <w:jc w:val="center"/>
      </w:pPr>
      <w:r>
        <w:rPr>
          <w:b/>
          <w:color w:val="2980B9"/>
          <w:sz w:val="22"/>
        </w:rPr>
        <w:t>CTE vs. Temp Table: Decision Flow</w:t>
      </w:r>
    </w:p>
    <w:tbl>
      <w:tblPr>
        <w:tblW w:type="auto" w:w="0"/>
        <w:jc w:val="center"/>
        <w:tblLook w:firstColumn="1" w:firstRow="1" w:lastColumn="0" w:lastRow="0" w:noHBand="0" w:noVBand="1" w:val="04A0"/>
      </w:tblPr>
      <w:tblGrid>
        <w:gridCol w:w="9792"/>
      </w:tblGrid>
      <w:tr>
        <w:tc>
          <w:tcPr>
            <w:tcW w:type="dxa" w:w="7937"/>
            <w:shd w:val="clear" w:color="auto" w:fill="D6EAF8"/>
          </w:tcPr>
          <w:p>
            <w:pPr>
              <w:jc w:val="center"/>
            </w:pPr>
            <w:r>
              <w:rPr>
                <w:b/>
                <w:sz w:val="18"/>
              </w:rPr>
              <w:t>Do you need the result in MORE THAN ONE query?</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YES → Use a TEMPORARY TABLE</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6EAF8"/>
          </w:tcPr>
          <w:p>
            <w:pPr>
              <w:jc w:val="center"/>
            </w:pPr>
            <w:r>
              <w:rPr>
                <w:b/>
                <w:sz w:val="18"/>
              </w:rPr>
              <w:t>NO → Do you reference the result more than once in the SAME query?</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YES → Use a CTE     |     NO → Use a simple subquery</w:t>
            </w:r>
          </w:p>
        </w:tc>
      </w:tr>
    </w:tbl>
    <w:p/>
    <w:p>
      <w:pPr>
        <w:pStyle w:val="Heading2"/>
      </w:pPr>
      <w:r>
        <w:rPr>
          <w:color w:val="1A1A2E"/>
        </w:rPr>
        <w:t>5.4 Computational Re-use</w:t>
      </w:r>
    </w:p>
    <w:p>
      <w:pPr>
        <w:spacing w:after="120"/>
      </w:pPr>
      <w:r>
        <w:rPr>
          <w:sz w:val="20"/>
        </w:rPr>
        <w:t>Computational re-use is the core principle behind both CTEs and temporary tables: compute an expensive operation once, store the result, and reference it multiple times — instead of redundantly re-executing the same expensive aggregation.</w:t>
      </w:r>
    </w:p>
    <w:p>
      <w:pPr>
        <w:spacing w:after="120"/>
      </w:pPr>
      <w:r>
        <w:rPr>
          <w:b/>
          <w:color w:val="2C3E50"/>
          <w:sz w:val="20"/>
        </w:rPr>
        <w:t>Example: Daily Aggregation Without Re-use:</w:t>
      </w:r>
    </w:p>
    <w:p>
      <w:pPr>
        <w:spacing w:after="120"/>
      </w:pPr>
      <w:r>
        <w:rPr>
          <w:sz w:val="20"/>
        </w:rPr>
        <w:t>Imagine a table with 24 million raw event records per day. A naive daily aggregation query must read and process all 24 million rows. If you need three different reports (by event type, by device, by region), the database scans 24M rows three times = 72M total scans.</w:t>
      </w:r>
    </w:p>
    <w:p>
      <w:pPr>
        <w:spacing w:after="120"/>
      </w:pPr>
      <w:r>
        <w:rPr>
          <w:b/>
          <w:color w:val="2C3E50"/>
          <w:sz w:val="20"/>
        </w:rPr>
        <w:t>Example: Daily Aggregation With Re-use:</w:t>
      </w:r>
    </w:p>
    <w:p>
      <w:pPr>
        <w:spacing w:after="120"/>
      </w:pPr>
      <w:r>
        <w:rPr>
          <w:sz w:val="20"/>
        </w:rPr>
        <w:t>An hourly job pre-aggregates each hour’s ~1 million events into a temporary table, producing one summary row per event type per hour. After 24 hours, the temp table contains roughly 24 rows per event type — instead of 24 million raw rows. All three reports now query the tiny temp table instead of the massive raw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Without Re-use</w:t>
            </w:r>
          </w:p>
        </w:tc>
        <w:tc>
          <w:tcPr>
            <w:tcW w:type="dxa" w:w="3264"/>
            <w:shd w:val="clear" w:color="auto" w:fill="2C3E50"/>
            <w:vAlign w:val="center"/>
          </w:tcPr>
          <w:p>
            <w:pPr>
              <w:jc w:val="center"/>
            </w:pPr>
            <w:r/>
            <w:r>
              <w:rPr>
                <w:b/>
                <w:color w:val="FFFFFF"/>
                <w:sz w:val="20"/>
              </w:rPr>
              <w:t>With Re-use</w:t>
            </w:r>
          </w:p>
        </w:tc>
      </w:tr>
      <w:tr>
        <w:tc>
          <w:tcPr>
            <w:tcW w:type="dxa" w:w="3264"/>
            <w:shd w:val="clear" w:color="auto" w:fill="ECF0F1"/>
            <w:vAlign w:val="center"/>
          </w:tcPr>
          <w:p>
            <w:r/>
            <w:r>
              <w:rPr>
                <w:b/>
                <w:sz w:val="18"/>
              </w:rPr>
              <w:t>Rows scanned per report</w:t>
            </w:r>
          </w:p>
        </w:tc>
        <w:tc>
          <w:tcPr>
            <w:tcW w:type="dxa" w:w="3264"/>
            <w:shd w:val="clear" w:color="auto" w:fill="ECF0F1"/>
            <w:vAlign w:val="center"/>
          </w:tcPr>
          <w:p>
            <w:r/>
            <w:r>
              <w:rPr>
                <w:b w:val="0"/>
                <w:sz w:val="18"/>
              </w:rPr>
              <w:t>24,000,000</w:t>
            </w:r>
          </w:p>
        </w:tc>
        <w:tc>
          <w:tcPr>
            <w:tcW w:type="dxa" w:w="3264"/>
            <w:shd w:val="clear" w:color="auto" w:fill="ECF0F1"/>
            <w:vAlign w:val="center"/>
          </w:tcPr>
          <w:p>
            <w:r/>
            <w:r>
              <w:rPr>
                <w:b w:val="0"/>
                <w:sz w:val="18"/>
              </w:rPr>
              <w:t>~500 (aggregated)</w:t>
            </w:r>
          </w:p>
        </w:tc>
      </w:tr>
      <w:tr>
        <w:tc>
          <w:tcPr>
            <w:tcW w:type="dxa" w:w="3264"/>
            <w:shd w:val="clear" w:color="auto" w:fill="FFFFFF"/>
            <w:vAlign w:val="center"/>
          </w:tcPr>
          <w:p>
            <w:r/>
            <w:r>
              <w:rPr>
                <w:b/>
                <w:sz w:val="18"/>
              </w:rPr>
              <w:t>Three reports total</w:t>
            </w:r>
          </w:p>
        </w:tc>
        <w:tc>
          <w:tcPr>
            <w:tcW w:type="dxa" w:w="3264"/>
            <w:shd w:val="clear" w:color="auto" w:fill="FFFFFF"/>
            <w:vAlign w:val="center"/>
          </w:tcPr>
          <w:p>
            <w:r/>
            <w:r>
              <w:rPr>
                <w:b w:val="0"/>
                <w:sz w:val="18"/>
              </w:rPr>
              <w:t>72,000,000 rows</w:t>
            </w:r>
          </w:p>
        </w:tc>
        <w:tc>
          <w:tcPr>
            <w:tcW w:type="dxa" w:w="3264"/>
            <w:shd w:val="clear" w:color="auto" w:fill="FFFFFF"/>
            <w:vAlign w:val="center"/>
          </w:tcPr>
          <w:p>
            <w:r/>
            <w:r>
              <w:rPr>
                <w:b w:val="0"/>
                <w:sz w:val="18"/>
              </w:rPr>
              <w:t>~1,500 rows</w:t>
            </w:r>
          </w:p>
        </w:tc>
      </w:tr>
      <w:tr>
        <w:tc>
          <w:tcPr>
            <w:tcW w:type="dxa" w:w="3264"/>
            <w:shd w:val="clear" w:color="auto" w:fill="ECF0F1"/>
            <w:vAlign w:val="center"/>
          </w:tcPr>
          <w:p>
            <w:r/>
            <w:r>
              <w:rPr>
                <w:b/>
                <w:sz w:val="18"/>
              </w:rPr>
              <w:t>Execution time</w:t>
            </w:r>
          </w:p>
        </w:tc>
        <w:tc>
          <w:tcPr>
            <w:tcW w:type="dxa" w:w="3264"/>
            <w:shd w:val="clear" w:color="auto" w:fill="ECF0F1"/>
            <w:vAlign w:val="center"/>
          </w:tcPr>
          <w:p>
            <w:r/>
            <w:r>
              <w:rPr>
                <w:b w:val="0"/>
                <w:sz w:val="18"/>
              </w:rPr>
              <w:t>Minutes per report</w:t>
            </w:r>
          </w:p>
        </w:tc>
        <w:tc>
          <w:tcPr>
            <w:tcW w:type="dxa" w:w="3264"/>
            <w:shd w:val="clear" w:color="auto" w:fill="ECF0F1"/>
            <w:vAlign w:val="center"/>
          </w:tcPr>
          <w:p>
            <w:r/>
            <w:r>
              <w:rPr>
                <w:b w:val="0"/>
                <w:sz w:val="18"/>
              </w:rPr>
              <w:t>Milliseconds per report</w:t>
            </w:r>
          </w:p>
        </w:tc>
      </w:tr>
    </w:tbl>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Ask yourself: ‘Am I computing the same aggregation more than once?’ If yes, extract it into a CTE (single query) or a temporary table (multiple queries) and reference the pre-computed result.</w:t>
            </w:r>
          </w:p>
        </w:tc>
      </w:tr>
    </w:tbl>
    <w:p/>
    <w:p>
      <w:r>
        <w:br w:type="page"/>
      </w:r>
    </w:p>
    <w:p>
      <w:pPr>
        <w:pStyle w:val="Heading1"/>
      </w:pPr>
      <w:r>
        <w:rPr>
          <w:color w:val="1A1A2E"/>
        </w:rPr>
        <w:t>6. Non-Relational Databases (NoSQL)</w:t>
      </w:r>
    </w:p>
    <w:p>
      <w:pPr>
        <w:pStyle w:val="Heading2"/>
      </w:pPr>
      <w:r>
        <w:rPr>
          <w:color w:val="1A1A2E"/>
        </w:rPr>
        <w:t>6.1 Why NoSQL Exists</w:t>
      </w:r>
    </w:p>
    <w:p>
      <w:pPr>
        <w:spacing w:after="120"/>
      </w:pPr>
      <w:r>
        <w:rPr>
          <w:sz w:val="20"/>
        </w:rPr>
        <w:t>Traditional relational databases excel at structured, tabular data with fixed schemas, complex JOINs, and ACID guarantees. However, the explosion of data types beyond traditional tables — JSON documents, real-time sensor streams, social media feeds, user clickstreams — created demands that relational databases were never designed to meet efficiently.</w:t>
      </w:r>
    </w:p>
    <w:p>
      <w:pPr>
        <w:spacing w:after="120"/>
      </w:pPr>
      <w:r>
        <w:rPr>
          <w:sz w:val="20"/>
        </w:rPr>
        <w:t>NoSQL databases abandon the rigid structure and strict ACID guarantees of relational databases in favour of:</w:t>
      </w:r>
    </w:p>
    <w:p>
      <w:pPr>
        <w:pStyle w:val="ListBullet"/>
      </w:pPr>
      <w:r>
        <w:t>Increased scalability (horizontal scaling across many servers)</w:t>
      </w:r>
    </w:p>
    <w:p>
      <w:pPr>
        <w:pStyle w:val="ListBullet"/>
      </w:pPr>
      <w:r>
        <w:t>Flexible or schema-free data models</w:t>
      </w:r>
    </w:p>
    <w:p>
      <w:pPr>
        <w:pStyle w:val="ListBullet"/>
      </w:pPr>
      <w:r>
        <w:t>High availability and high write throughput</w:t>
      </w:r>
    </w:p>
    <w:p>
      <w:pPr>
        <w:pStyle w:val="ListBullet"/>
      </w:pPr>
      <w:r>
        <w:t>Native support for unstructured and semi-structured data (JSON, key-value pairs, graphs)</w:t>
      </w:r>
    </w:p>
    <w:p>
      <w:pPr>
        <w:spacing w:after="120"/>
      </w:pPr>
      <w:r>
        <w:rPr>
          <w:b/>
          <w:color w:val="2C3E50"/>
          <w:sz w:val="20"/>
        </w:rPr>
        <w:t>Schema-on-Write vs. Schema-on-Read: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Schema-on-Write (Relational)</w:t>
            </w:r>
          </w:p>
        </w:tc>
        <w:tc>
          <w:tcPr>
            <w:tcW w:type="dxa" w:w="3264"/>
            <w:shd w:val="clear" w:color="auto" w:fill="2C3E50"/>
            <w:vAlign w:val="center"/>
          </w:tcPr>
          <w:p>
            <w:pPr>
              <w:jc w:val="center"/>
            </w:pPr>
            <w:r/>
            <w:r>
              <w:rPr>
                <w:b/>
                <w:color w:val="FFFFFF"/>
                <w:sz w:val="20"/>
              </w:rPr>
              <w:t>Schema-on-Read (NoSQL)</w:t>
            </w:r>
          </w:p>
        </w:tc>
      </w:tr>
      <w:tr>
        <w:tc>
          <w:tcPr>
            <w:tcW w:type="dxa" w:w="3264"/>
            <w:shd w:val="clear" w:color="auto" w:fill="ECF0F1"/>
            <w:vAlign w:val="center"/>
          </w:tcPr>
          <w:p>
            <w:r/>
            <w:r>
              <w:rPr>
                <w:b/>
                <w:sz w:val="18"/>
              </w:rPr>
              <w:t>When is structure</w:t>
              <w:br/>
              <w:t>enforced?</w:t>
            </w:r>
          </w:p>
        </w:tc>
        <w:tc>
          <w:tcPr>
            <w:tcW w:type="dxa" w:w="3264"/>
            <w:shd w:val="clear" w:color="auto" w:fill="ECF0F1"/>
            <w:vAlign w:val="center"/>
          </w:tcPr>
          <w:p>
            <w:r/>
            <w:r>
              <w:rPr>
                <w:b w:val="0"/>
                <w:sz w:val="18"/>
              </w:rPr>
              <w:t>At write time (INSERT)</w:t>
            </w:r>
          </w:p>
        </w:tc>
        <w:tc>
          <w:tcPr>
            <w:tcW w:type="dxa" w:w="3264"/>
            <w:shd w:val="clear" w:color="auto" w:fill="ECF0F1"/>
            <w:vAlign w:val="center"/>
          </w:tcPr>
          <w:p>
            <w:r/>
            <w:r>
              <w:rPr>
                <w:b w:val="0"/>
                <w:sz w:val="18"/>
              </w:rPr>
              <w:t>At read time (query)</w:t>
            </w:r>
          </w:p>
        </w:tc>
      </w:tr>
      <w:tr>
        <w:tc>
          <w:tcPr>
            <w:tcW w:type="dxa" w:w="3264"/>
            <w:shd w:val="clear" w:color="auto" w:fill="FFFFFF"/>
            <w:vAlign w:val="center"/>
          </w:tcPr>
          <w:p>
            <w:r/>
            <w:r>
              <w:rPr>
                <w:b/>
                <w:sz w:val="18"/>
              </w:rPr>
              <w:t>Schema changes</w:t>
            </w:r>
          </w:p>
        </w:tc>
        <w:tc>
          <w:tcPr>
            <w:tcW w:type="dxa" w:w="3264"/>
            <w:shd w:val="clear" w:color="auto" w:fill="FFFFFF"/>
            <w:vAlign w:val="center"/>
          </w:tcPr>
          <w:p>
            <w:r/>
            <w:r>
              <w:rPr>
                <w:b w:val="0"/>
                <w:sz w:val="18"/>
              </w:rPr>
              <w:t>Require ALTER TABLE —</w:t>
              <w:br/>
              <w:t>can lock large tables</w:t>
            </w:r>
          </w:p>
        </w:tc>
        <w:tc>
          <w:tcPr>
            <w:tcW w:type="dxa" w:w="3264"/>
            <w:shd w:val="clear" w:color="auto" w:fill="FFFFFF"/>
            <w:vAlign w:val="center"/>
          </w:tcPr>
          <w:p>
            <w:r/>
            <w:r>
              <w:rPr>
                <w:b w:val="0"/>
                <w:sz w:val="18"/>
              </w:rPr>
              <w:t>No migration needed —</w:t>
              <w:br/>
              <w:t>new fields appear naturally</w:t>
            </w:r>
          </w:p>
        </w:tc>
      </w:tr>
      <w:tr>
        <w:tc>
          <w:tcPr>
            <w:tcW w:type="dxa" w:w="3264"/>
            <w:shd w:val="clear" w:color="auto" w:fill="ECF0F1"/>
            <w:vAlign w:val="center"/>
          </w:tcPr>
          <w:p>
            <w:r/>
            <w:r>
              <w:rPr>
                <w:b/>
                <w:sz w:val="18"/>
              </w:rPr>
              <w:t>Data consistency</w:t>
            </w:r>
          </w:p>
        </w:tc>
        <w:tc>
          <w:tcPr>
            <w:tcW w:type="dxa" w:w="3264"/>
            <w:shd w:val="clear" w:color="auto" w:fill="ECF0F1"/>
            <w:vAlign w:val="center"/>
          </w:tcPr>
          <w:p>
            <w:r/>
            <w:r>
              <w:rPr>
                <w:b w:val="0"/>
                <w:sz w:val="18"/>
              </w:rPr>
              <w:t>Guaranteed by the database</w:t>
            </w:r>
          </w:p>
        </w:tc>
        <w:tc>
          <w:tcPr>
            <w:tcW w:type="dxa" w:w="3264"/>
            <w:shd w:val="clear" w:color="auto" w:fill="ECF0F1"/>
            <w:vAlign w:val="center"/>
          </w:tcPr>
          <w:p>
            <w:r/>
            <w:r>
              <w:rPr>
                <w:b w:val="0"/>
                <w:sz w:val="18"/>
              </w:rPr>
              <w:t>The application or analyst</w:t>
              <w:br/>
              <w:t>must handle inconsistencies</w:t>
            </w:r>
          </w:p>
        </w:tc>
      </w:tr>
      <w:tr>
        <w:tc>
          <w:tcPr>
            <w:tcW w:type="dxa" w:w="3264"/>
            <w:shd w:val="clear" w:color="auto" w:fill="FFFFFF"/>
            <w:vAlign w:val="center"/>
          </w:tcPr>
          <w:p>
            <w:r/>
            <w:r>
              <w:rPr>
                <w:b/>
                <w:sz w:val="18"/>
              </w:rPr>
              <w:t>Best for</w:t>
            </w:r>
          </w:p>
        </w:tc>
        <w:tc>
          <w:tcPr>
            <w:tcW w:type="dxa" w:w="3264"/>
            <w:shd w:val="clear" w:color="auto" w:fill="FFFFFF"/>
            <w:vAlign w:val="center"/>
          </w:tcPr>
          <w:p>
            <w:r/>
            <w:r>
              <w:rPr>
                <w:b w:val="0"/>
                <w:sz w:val="18"/>
              </w:rPr>
              <w:t>Structured data with</w:t>
              <w:br/>
              <w:t>stable schemas</w:t>
            </w:r>
          </w:p>
        </w:tc>
        <w:tc>
          <w:tcPr>
            <w:tcW w:type="dxa" w:w="3264"/>
            <w:shd w:val="clear" w:color="auto" w:fill="FFFFFF"/>
            <w:vAlign w:val="center"/>
          </w:tcPr>
          <w:p>
            <w:r/>
            <w:r>
              <w:rPr>
                <w:b w:val="0"/>
                <w:sz w:val="18"/>
              </w:rPr>
              <w:t>Rapidly evolving or</w:t>
              <w:br/>
              <w:t>highly variable data</w:t>
            </w:r>
          </w:p>
        </w:tc>
      </w:tr>
    </w:tbl>
    <w:p/>
    <w:p>
      <w:pPr>
        <w:spacing w:after="120"/>
      </w:pPr>
      <w:r>
        <w:rPr>
          <w:b/>
          <w:color w:val="2980B9"/>
          <w:sz w:val="22"/>
        </w:rPr>
        <w:t>NoSQL Database Categories: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2C3E50"/>
            <w:vAlign w:val="center"/>
          </w:tcPr>
          <w:p>
            <w:pPr>
              <w:jc w:val="center"/>
            </w:pPr>
            <w:r/>
            <w:r>
              <w:rPr>
                <w:b/>
                <w:color w:val="FFFFFF"/>
                <w:sz w:val="20"/>
              </w:rPr>
              <w:t>Category</w:t>
            </w:r>
          </w:p>
        </w:tc>
        <w:tc>
          <w:tcPr>
            <w:tcW w:type="dxa" w:w="1958"/>
            <w:shd w:val="clear" w:color="auto" w:fill="2C3E50"/>
            <w:vAlign w:val="center"/>
          </w:tcPr>
          <w:p>
            <w:pPr>
              <w:jc w:val="center"/>
            </w:pPr>
            <w:r/>
            <w:r>
              <w:rPr>
                <w:b/>
                <w:color w:val="FFFFFF"/>
                <w:sz w:val="20"/>
              </w:rPr>
              <w:t>Data Model</w:t>
            </w:r>
          </w:p>
        </w:tc>
        <w:tc>
          <w:tcPr>
            <w:tcW w:type="dxa" w:w="1958"/>
            <w:shd w:val="clear" w:color="auto" w:fill="2C3E50"/>
            <w:vAlign w:val="center"/>
          </w:tcPr>
          <w:p>
            <w:pPr>
              <w:jc w:val="center"/>
            </w:pPr>
            <w:r/>
            <w:r>
              <w:rPr>
                <w:b/>
                <w:color w:val="FFFFFF"/>
                <w:sz w:val="20"/>
              </w:rPr>
              <w:t>Query Capability</w:t>
            </w:r>
          </w:p>
        </w:tc>
        <w:tc>
          <w:tcPr>
            <w:tcW w:type="dxa" w:w="1958"/>
            <w:shd w:val="clear" w:color="auto" w:fill="2C3E50"/>
            <w:vAlign w:val="center"/>
          </w:tcPr>
          <w:p>
            <w:pPr>
              <w:jc w:val="center"/>
            </w:pPr>
            <w:r/>
            <w:r>
              <w:rPr>
                <w:b/>
                <w:color w:val="FFFFFF"/>
                <w:sz w:val="20"/>
              </w:rPr>
              <w:t>Use Cases</w:t>
            </w:r>
          </w:p>
        </w:tc>
        <w:tc>
          <w:tcPr>
            <w:tcW w:type="dxa" w:w="1958"/>
            <w:shd w:val="clear" w:color="auto" w:fill="2C3E50"/>
            <w:vAlign w:val="center"/>
          </w:tcPr>
          <w:p>
            <w:pPr>
              <w:jc w:val="center"/>
            </w:pPr>
            <w:r/>
            <w:r>
              <w:rPr>
                <w:b/>
                <w:color w:val="FFFFFF"/>
                <w:sz w:val="20"/>
              </w:rPr>
              <w:t>Examples</w:t>
            </w:r>
          </w:p>
        </w:tc>
      </w:tr>
      <w:tr>
        <w:tc>
          <w:tcPr>
            <w:tcW w:type="dxa" w:w="1958"/>
            <w:shd w:val="clear" w:color="auto" w:fill="ECF0F1"/>
            <w:vAlign w:val="center"/>
          </w:tcPr>
          <w:p>
            <w:r/>
            <w:r>
              <w:rPr>
                <w:b w:val="0"/>
                <w:sz w:val="18"/>
              </w:rPr>
              <w:t>Key-Value Store</w:t>
            </w:r>
          </w:p>
        </w:tc>
        <w:tc>
          <w:tcPr>
            <w:tcW w:type="dxa" w:w="1958"/>
            <w:shd w:val="clear" w:color="auto" w:fill="ECF0F1"/>
            <w:vAlign w:val="center"/>
          </w:tcPr>
          <w:p>
            <w:r/>
            <w:r>
              <w:rPr>
                <w:b w:val="0"/>
                <w:sz w:val="18"/>
              </w:rPr>
              <w:t>Key → Opaque Value</w:t>
            </w:r>
          </w:p>
        </w:tc>
        <w:tc>
          <w:tcPr>
            <w:tcW w:type="dxa" w:w="1958"/>
            <w:shd w:val="clear" w:color="auto" w:fill="ECF0F1"/>
            <w:vAlign w:val="center"/>
          </w:tcPr>
          <w:p>
            <w:r/>
            <w:r>
              <w:rPr>
                <w:b w:val="0"/>
                <w:sz w:val="18"/>
              </w:rPr>
              <w:t>Lookup by key only</w:t>
              <w:br/>
              <w:t>(cannot query inside value)</w:t>
            </w:r>
          </w:p>
        </w:tc>
        <w:tc>
          <w:tcPr>
            <w:tcW w:type="dxa" w:w="1958"/>
            <w:shd w:val="clear" w:color="auto" w:fill="ECF0F1"/>
            <w:vAlign w:val="center"/>
          </w:tcPr>
          <w:p>
            <w:r/>
            <w:r>
              <w:rPr>
                <w:b w:val="0"/>
                <w:sz w:val="18"/>
              </w:rPr>
              <w:t>Caching, sessions,</w:t>
              <w:br/>
              <w:t>config data</w:t>
            </w:r>
          </w:p>
        </w:tc>
        <w:tc>
          <w:tcPr>
            <w:tcW w:type="dxa" w:w="1958"/>
            <w:shd w:val="clear" w:color="auto" w:fill="ECF0F1"/>
            <w:vAlign w:val="center"/>
          </w:tcPr>
          <w:p>
            <w:r/>
            <w:r>
              <w:rPr>
                <w:b w:val="0"/>
                <w:sz w:val="18"/>
              </w:rPr>
              <w:t>Redis,</w:t>
              <w:br/>
              <w:t>Memcached</w:t>
            </w:r>
          </w:p>
        </w:tc>
      </w:tr>
      <w:tr>
        <w:tc>
          <w:tcPr>
            <w:tcW w:type="dxa" w:w="1958"/>
            <w:shd w:val="clear" w:color="auto" w:fill="FFFFFF"/>
            <w:vAlign w:val="center"/>
          </w:tcPr>
          <w:p>
            <w:r/>
            <w:r>
              <w:rPr>
                <w:b w:val="0"/>
                <w:sz w:val="18"/>
              </w:rPr>
              <w:t>Document Store</w:t>
            </w:r>
          </w:p>
        </w:tc>
        <w:tc>
          <w:tcPr>
            <w:tcW w:type="dxa" w:w="1958"/>
            <w:shd w:val="clear" w:color="auto" w:fill="FFFFFF"/>
            <w:vAlign w:val="center"/>
          </w:tcPr>
          <w:p>
            <w:r/>
            <w:r>
              <w:rPr>
                <w:b w:val="0"/>
                <w:sz w:val="18"/>
              </w:rPr>
              <w:t>Key → JSON/BSON</w:t>
              <w:br/>
              <w:t>Document</w:t>
            </w:r>
          </w:p>
        </w:tc>
        <w:tc>
          <w:tcPr>
            <w:tcW w:type="dxa" w:w="1958"/>
            <w:shd w:val="clear" w:color="auto" w:fill="FFFFFF"/>
            <w:vAlign w:val="center"/>
          </w:tcPr>
          <w:p>
            <w:r/>
            <w:r>
              <w:rPr>
                <w:b w:val="0"/>
                <w:sz w:val="18"/>
              </w:rPr>
              <w:t>Query within documents</w:t>
              <w:br/>
              <w:t>(field-level access)</w:t>
            </w:r>
          </w:p>
        </w:tc>
        <w:tc>
          <w:tcPr>
            <w:tcW w:type="dxa" w:w="1958"/>
            <w:shd w:val="clear" w:color="auto" w:fill="FFFFFF"/>
            <w:vAlign w:val="center"/>
          </w:tcPr>
          <w:p>
            <w:r/>
            <w:r>
              <w:rPr>
                <w:b w:val="0"/>
                <w:sz w:val="18"/>
              </w:rPr>
              <w:t>User profiles, catalogs,</w:t>
              <w:br/>
              <w:t>event logging</w:t>
            </w:r>
          </w:p>
        </w:tc>
        <w:tc>
          <w:tcPr>
            <w:tcW w:type="dxa" w:w="1958"/>
            <w:shd w:val="clear" w:color="auto" w:fill="FFFFFF"/>
            <w:vAlign w:val="center"/>
          </w:tcPr>
          <w:p>
            <w:r/>
            <w:r>
              <w:rPr>
                <w:b w:val="0"/>
                <w:sz w:val="18"/>
              </w:rPr>
              <w:t>MongoDB,</w:t>
              <w:br/>
              <w:t>Couchbase</w:t>
            </w:r>
          </w:p>
        </w:tc>
      </w:tr>
      <w:tr>
        <w:tc>
          <w:tcPr>
            <w:tcW w:type="dxa" w:w="1958"/>
            <w:shd w:val="clear" w:color="auto" w:fill="ECF0F1"/>
            <w:vAlign w:val="center"/>
          </w:tcPr>
          <w:p>
            <w:r/>
            <w:r>
              <w:rPr>
                <w:b w:val="0"/>
                <w:sz w:val="18"/>
              </w:rPr>
              <w:t>Column-Family</w:t>
            </w:r>
          </w:p>
        </w:tc>
        <w:tc>
          <w:tcPr>
            <w:tcW w:type="dxa" w:w="1958"/>
            <w:shd w:val="clear" w:color="auto" w:fill="ECF0F1"/>
            <w:vAlign w:val="center"/>
          </w:tcPr>
          <w:p>
            <w:r/>
            <w:r>
              <w:rPr>
                <w:b w:val="0"/>
                <w:sz w:val="18"/>
              </w:rPr>
              <w:t>Row Key → Column</w:t>
              <w:br/>
              <w:t>Families</w:t>
            </w:r>
          </w:p>
        </w:tc>
        <w:tc>
          <w:tcPr>
            <w:tcW w:type="dxa" w:w="1958"/>
            <w:shd w:val="clear" w:color="auto" w:fill="ECF0F1"/>
            <w:vAlign w:val="center"/>
          </w:tcPr>
          <w:p>
            <w:r/>
            <w:r>
              <w:rPr>
                <w:b w:val="0"/>
                <w:sz w:val="18"/>
              </w:rPr>
              <w:t>Efficient column-range</w:t>
              <w:br/>
              <w:t>scans</w:t>
            </w:r>
          </w:p>
        </w:tc>
        <w:tc>
          <w:tcPr>
            <w:tcW w:type="dxa" w:w="1958"/>
            <w:shd w:val="clear" w:color="auto" w:fill="ECF0F1"/>
            <w:vAlign w:val="center"/>
          </w:tcPr>
          <w:p>
            <w:r/>
            <w:r>
              <w:rPr>
                <w:b w:val="0"/>
                <w:sz w:val="18"/>
              </w:rPr>
              <w:t>Time-series data,</w:t>
              <w:br/>
              <w:t>IoT sensor logs</w:t>
            </w:r>
          </w:p>
        </w:tc>
        <w:tc>
          <w:tcPr>
            <w:tcW w:type="dxa" w:w="1958"/>
            <w:shd w:val="clear" w:color="auto" w:fill="ECF0F1"/>
            <w:vAlign w:val="center"/>
          </w:tcPr>
          <w:p>
            <w:r/>
            <w:r>
              <w:rPr>
                <w:b w:val="0"/>
                <w:sz w:val="18"/>
              </w:rPr>
              <w:t>Cassandra,</w:t>
              <w:br/>
              <w:t>HBase</w:t>
            </w:r>
          </w:p>
        </w:tc>
      </w:tr>
      <w:tr>
        <w:tc>
          <w:tcPr>
            <w:tcW w:type="dxa" w:w="1958"/>
            <w:shd w:val="clear" w:color="auto" w:fill="FFFFFF"/>
            <w:vAlign w:val="center"/>
          </w:tcPr>
          <w:p>
            <w:r/>
            <w:r>
              <w:rPr>
                <w:b w:val="0"/>
                <w:sz w:val="18"/>
              </w:rPr>
              <w:t>Graph Database</w:t>
            </w:r>
          </w:p>
        </w:tc>
        <w:tc>
          <w:tcPr>
            <w:tcW w:type="dxa" w:w="1958"/>
            <w:shd w:val="clear" w:color="auto" w:fill="FFFFFF"/>
            <w:vAlign w:val="center"/>
          </w:tcPr>
          <w:p>
            <w:r/>
            <w:r>
              <w:rPr>
                <w:b w:val="0"/>
                <w:sz w:val="18"/>
              </w:rPr>
              <w:t>Nodes + Edges +</w:t>
              <w:br/>
              <w:t>Properties</w:t>
            </w:r>
          </w:p>
        </w:tc>
        <w:tc>
          <w:tcPr>
            <w:tcW w:type="dxa" w:w="1958"/>
            <w:shd w:val="clear" w:color="auto" w:fill="FFFFFF"/>
            <w:vAlign w:val="center"/>
          </w:tcPr>
          <w:p>
            <w:r/>
            <w:r>
              <w:rPr>
                <w:b w:val="0"/>
                <w:sz w:val="18"/>
              </w:rPr>
              <w:t>Traverse relationships</w:t>
              <w:br/>
              <w:t>natively</w:t>
            </w:r>
          </w:p>
        </w:tc>
        <w:tc>
          <w:tcPr>
            <w:tcW w:type="dxa" w:w="1958"/>
            <w:shd w:val="clear" w:color="auto" w:fill="FFFFFF"/>
            <w:vAlign w:val="center"/>
          </w:tcPr>
          <w:p>
            <w:r/>
            <w:r>
              <w:rPr>
                <w:b w:val="0"/>
                <w:sz w:val="18"/>
              </w:rPr>
              <w:t>Social networks,</w:t>
              <w:br/>
              <w:t>fraud detection</w:t>
            </w:r>
          </w:p>
        </w:tc>
        <w:tc>
          <w:tcPr>
            <w:tcW w:type="dxa" w:w="1958"/>
            <w:shd w:val="clear" w:color="auto" w:fill="FFFFFF"/>
            <w:vAlign w:val="center"/>
          </w:tcPr>
          <w:p>
            <w:r/>
            <w:r>
              <w:rPr>
                <w:b w:val="0"/>
                <w:sz w:val="18"/>
              </w:rPr>
              <w:t>Neo4j,</w:t>
              <w:br/>
              <w:t>Amazon Neptune</w:t>
            </w:r>
          </w:p>
        </w:tc>
      </w:tr>
    </w:tbl>
    <w:p/>
    <w:p>
      <w:pPr>
        <w:pStyle w:val="Heading2"/>
      </w:pPr>
      <w:r>
        <w:rPr>
          <w:color w:val="1A1A2E"/>
        </w:rPr>
        <w:t>6.2 Key-Value Stores</w:t>
      </w:r>
    </w:p>
    <w:p>
      <w:pPr>
        <w:spacing w:after="120"/>
      </w:pPr>
      <w:r>
        <w:rPr>
          <w:sz w:val="20"/>
        </w:rPr>
        <w:t>Key-Value Stores are the simplest NoSQL type. They function like massive, distributed dictionaries: each item is stored as a key (a unique identifier) paired with a value (which can be any data — a string, a JSON blob, a binary object).</w:t>
      </w:r>
    </w:p>
    <w:p>
      <w:pPr>
        <w:spacing w:after="120"/>
      </w:pPr>
      <w:r>
        <w:rPr>
          <w:b/>
          <w:color w:val="2C3E50"/>
          <w:sz w:val="20"/>
        </w:rPr>
        <w:t>Characteristics:</w:t>
      </w:r>
    </w:p>
    <w:p>
      <w:pPr>
        <w:pStyle w:val="ListBullet"/>
      </w:pPr>
      <w:r>
        <w:t>Extremely fast for read and write operations based on the key.</w:t>
      </w:r>
    </w:p>
    <w:p>
      <w:pPr>
        <w:pStyle w:val="ListBullet"/>
      </w:pPr>
      <w:r>
        <w:t>The value is opaque — the database does not understand its internal structure. You can only retrieve the entire value by key; you cannot query within the value.</w:t>
      </w:r>
    </w:p>
    <w:p>
      <w:pPr>
        <w:pStyle w:val="ListBullet"/>
      </w:pPr>
      <w:r>
        <w:t>Typical use cases: caching, session management, configuration data, rate limiting.</w:t>
      </w:r>
    </w:p>
    <w:p>
      <w:pPr>
        <w:pStyle w:val="ListBullet"/>
      </w:pPr>
      <w:r>
        <w:t>Examples: Redis, Amazon DynamoDB (in key-value mode), Memcached.</w:t>
      </w:r>
    </w:p>
    <w:p>
      <w:pPr>
        <w:spacing w:after="120"/>
      </w:pPr>
      <w:r>
        <w:rPr>
          <w:b/>
          <w:color w:val="2C3E50"/>
          <w:sz w:val="20"/>
        </w:rPr>
        <w:t>Limitation:</w:t>
      </w:r>
    </w:p>
    <w:p>
      <w:pPr>
        <w:spacing w:after="120"/>
      </w:pPr>
      <w:r>
        <w:rPr>
          <w:sz w:val="20"/>
        </w:rPr>
        <w:t>Because the database treats the value as a black box, you cannot run queries like ‘find all records where event_type = button_tap’ without retrieving and parsing every single value — making Key-Value Stores unsuitable for analytical queries.</w:t>
      </w:r>
    </w:p>
    <w:p>
      <w:pPr>
        <w:pStyle w:val="Heading2"/>
      </w:pPr>
      <w:r>
        <w:rPr>
          <w:color w:val="1A1A2E"/>
        </w:rPr>
        <w:t>6.3 Document Stores</w:t>
      </w:r>
    </w:p>
    <w:p>
      <w:pPr>
        <w:spacing w:after="120"/>
      </w:pPr>
      <w:r>
        <w:rPr>
          <w:sz w:val="20"/>
        </w:rPr>
        <w:t>Document Stores store data as flexible, semi-structured documents — typically JSON or BSON (Binary JSON). Unlike Key-Value Stores, a Document Store understands the internal structure of each document and can query, index, and filter based on individual fields within it.</w:t>
      </w:r>
    </w:p>
    <w:p>
      <w:pPr>
        <w:spacing w:after="120"/>
      </w:pPr>
      <w:r>
        <w:rPr>
          <w:b/>
          <w:color w:val="2C3E50"/>
          <w:sz w:val="20"/>
        </w:rPr>
        <w:t>Characteristics:</w:t>
      </w:r>
    </w:p>
    <w:p>
      <w:pPr>
        <w:pStyle w:val="ListBullet"/>
      </w:pPr>
      <w:r>
        <w:t>Each document can have a completely different structure — a screen view event and a crash report can coexist in the same collection.</w:t>
      </w:r>
    </w:p>
    <w:p>
      <w:pPr>
        <w:pStyle w:val="ListBullet"/>
      </w:pPr>
      <w:r>
        <w:t>New fields are added simply by including them in new documents — no ALTER TABLE or migration scripts required.</w:t>
      </w:r>
    </w:p>
    <w:p>
      <w:pPr>
        <w:pStyle w:val="ListBullet"/>
      </w:pPr>
      <w:r>
        <w:t>Supports querying within documents: ‘find all documents where preferred_language = fr’ is efficient and indexable.</w:t>
      </w:r>
    </w:p>
    <w:p>
      <w:pPr>
        <w:pStyle w:val="ListBullet"/>
      </w:pPr>
      <w:r>
        <w:t>Ideal for: user profiles, catalogs, content management systems, event logging, and any data where the schema evolves rapidly.</w:t>
      </w:r>
    </w:p>
    <w:p>
      <w:pPr>
        <w:pStyle w:val="ListBullet"/>
      </w:pPr>
      <w:r>
        <w:t>Examples: MongoDB, Couchbase, Amazon DocumentDB.</w:t>
      </w:r>
    </w:p>
    <w:p>
      <w:pPr>
        <w:spacing w:after="120"/>
      </w:pPr>
      <w:r>
        <w:rPr>
          <w:b/>
          <w:color w:val="2C3E50"/>
          <w:sz w:val="20"/>
        </w:rPr>
        <w:t>Example Document:</w:t>
      </w:r>
    </w:p>
    <w:p>
      <w:pPr>
        <w:pStyle w:val="NoSpacing"/>
        <w:spacing w:before="0" w:after="0"/>
        <w:ind w:left="576"/>
      </w:pPr>
      <w:r>
        <w:rPr>
          <w:rFonts w:ascii="Consolas" w:hAnsi="Consolas"/>
          <w:color w:val="2C3E50"/>
          <w:sz w:val="18"/>
        </w:rPr>
        <w:t>{</w:t>
      </w:r>
    </w:p>
    <w:p>
      <w:pPr>
        <w:pStyle w:val="NoSpacing"/>
        <w:spacing w:before="0" w:after="0"/>
        <w:ind w:left="576"/>
      </w:pPr>
      <w:r>
        <w:rPr>
          <w:rFonts w:ascii="Consolas" w:hAnsi="Consolas"/>
          <w:color w:val="2C3E50"/>
          <w:sz w:val="18"/>
        </w:rPr>
        <w:t xml:space="preserve">    "event_id": "e-8827431",</w:t>
      </w:r>
    </w:p>
    <w:p>
      <w:pPr>
        <w:pStyle w:val="NoSpacing"/>
        <w:spacing w:before="0" w:after="0"/>
        <w:ind w:left="576"/>
      </w:pPr>
      <w:r>
        <w:rPr>
          <w:rFonts w:ascii="Consolas" w:hAnsi="Consolas"/>
          <w:color w:val="2C3E50"/>
          <w:sz w:val="18"/>
        </w:rPr>
        <w:t xml:space="preserve">    "event_type": "button_tap",</w:t>
      </w:r>
    </w:p>
    <w:p>
      <w:pPr>
        <w:pStyle w:val="NoSpacing"/>
        <w:spacing w:before="0" w:after="0"/>
        <w:ind w:left="576"/>
      </w:pPr>
      <w:r>
        <w:rPr>
          <w:rFonts w:ascii="Consolas" w:hAnsi="Consolas"/>
          <w:color w:val="2C3E50"/>
          <w:sz w:val="18"/>
        </w:rPr>
        <w:t xml:space="preserve">    "timestamp": "2025-03-15T14:32:07Z",</w:t>
      </w:r>
    </w:p>
    <w:p>
      <w:pPr>
        <w:pStyle w:val="NoSpacing"/>
        <w:spacing w:before="0" w:after="0"/>
        <w:ind w:left="576"/>
      </w:pPr>
      <w:r>
        <w:rPr>
          <w:rFonts w:ascii="Consolas" w:hAnsi="Consolas"/>
          <w:color w:val="2C3E50"/>
          <w:sz w:val="18"/>
        </w:rPr>
        <w:t xml:space="preserve">    "user_id": "u-20491",</w:t>
      </w:r>
    </w:p>
    <w:p>
      <w:pPr>
        <w:pStyle w:val="NoSpacing"/>
        <w:spacing w:before="0" w:after="0"/>
        <w:ind w:left="576"/>
      </w:pPr>
      <w:r>
        <w:rPr>
          <w:rFonts w:ascii="Consolas" w:hAnsi="Consolas"/>
          <w:color w:val="2C3E50"/>
          <w:sz w:val="18"/>
        </w:rPr>
        <w:t xml:space="preserve">    "device": {</w:t>
      </w:r>
    </w:p>
    <w:p>
      <w:pPr>
        <w:pStyle w:val="NoSpacing"/>
        <w:spacing w:before="0" w:after="0"/>
        <w:ind w:left="576"/>
      </w:pPr>
      <w:r>
        <w:rPr>
          <w:rFonts w:ascii="Consolas" w:hAnsi="Consolas"/>
          <w:color w:val="2C3E50"/>
          <w:sz w:val="18"/>
        </w:rPr>
        <w:t xml:space="preserve">        "os": "iOS",</w:t>
      </w:r>
    </w:p>
    <w:p>
      <w:pPr>
        <w:pStyle w:val="NoSpacing"/>
        <w:spacing w:before="0" w:after="0"/>
        <w:ind w:left="576"/>
      </w:pPr>
      <w:r>
        <w:rPr>
          <w:rFonts w:ascii="Consolas" w:hAnsi="Consolas"/>
          <w:color w:val="2C3E50"/>
          <w:sz w:val="18"/>
        </w:rPr>
        <w:t xml:space="preserve">        "version": "17.3",</w:t>
      </w:r>
    </w:p>
    <w:p>
      <w:pPr>
        <w:pStyle w:val="NoSpacing"/>
        <w:spacing w:before="0" w:after="0"/>
        <w:ind w:left="576"/>
      </w:pPr>
      <w:r>
        <w:rPr>
          <w:rFonts w:ascii="Consolas" w:hAnsi="Consolas"/>
          <w:color w:val="2C3E50"/>
          <w:sz w:val="18"/>
        </w:rPr>
        <w:t xml:space="preserve">        "model": "iPhone 15"</w:t>
      </w:r>
    </w:p>
    <w:p>
      <w:pPr>
        <w:pStyle w:val="NoSpacing"/>
        <w:spacing w:before="0" w:after="0"/>
        <w:ind w:left="576"/>
      </w:pPr>
      <w:r>
        <w:rPr>
          <w:rFonts w:ascii="Consolas" w:hAnsi="Consolas"/>
          <w:color w:val="2C3E50"/>
          <w:sz w:val="18"/>
        </w:rPr>
        <w:t xml:space="preserve">    },</w:t>
      </w:r>
    </w:p>
    <w:p>
      <w:pPr>
        <w:pStyle w:val="NoSpacing"/>
        <w:spacing w:before="0" w:after="0"/>
        <w:ind w:left="576"/>
      </w:pPr>
      <w:r>
        <w:rPr>
          <w:rFonts w:ascii="Consolas" w:hAnsi="Consolas"/>
          <w:color w:val="2C3E50"/>
          <w:sz w:val="18"/>
        </w:rPr>
        <w:t xml:space="preserve">    "custom_properties": {</w:t>
      </w:r>
    </w:p>
    <w:p>
      <w:pPr>
        <w:pStyle w:val="NoSpacing"/>
        <w:spacing w:before="0" w:after="0"/>
        <w:ind w:left="576"/>
      </w:pPr>
      <w:r>
        <w:rPr>
          <w:rFonts w:ascii="Consolas" w:hAnsi="Consolas"/>
          <w:color w:val="2C3E50"/>
          <w:sz w:val="18"/>
        </w:rPr>
        <w:t xml:space="preserve">        "coupon_code": "SAVE20",</w:t>
      </w:r>
    </w:p>
    <w:p>
      <w:pPr>
        <w:pStyle w:val="NoSpacing"/>
        <w:spacing w:before="0" w:after="0"/>
        <w:ind w:left="576"/>
      </w:pPr>
      <w:r>
        <w:rPr>
          <w:rFonts w:ascii="Consolas" w:hAnsi="Consolas"/>
          <w:color w:val="2C3E50"/>
          <w:sz w:val="18"/>
        </w:rPr>
        <w:t xml:space="preserve">        "cart_value": 89.99</w:t>
      </w:r>
    </w:p>
    <w:p>
      <w:pPr>
        <w:pStyle w:val="NoSpacing"/>
        <w:spacing w:before="0" w:after="0"/>
        <w:ind w:left="576"/>
      </w:pPr>
      <w:r>
        <w:rPr>
          <w:rFonts w:ascii="Consolas" w:hAnsi="Consolas"/>
          <w:color w:val="2C3E50"/>
          <w:sz w:val="18"/>
        </w:rPr>
        <w:t xml:space="preserve">    }</w:t>
      </w:r>
    </w:p>
    <w:p>
      <w:pPr>
        <w:pStyle w:val="NoSpacing"/>
        <w:spacing w:before="0" w:after="0"/>
        <w:ind w:left="576"/>
      </w:pPr>
      <w:r>
        <w:rPr>
          <w:rFonts w:ascii="Consolas" w:hAnsi="Consolas"/>
          <w:color w:val="2C3E50"/>
          <w:sz w:val="18"/>
        </w:rPr>
        <w:t>}</w:t>
      </w:r>
    </w:p>
    <w:p/>
    <w:p>
      <w:pPr>
        <w:spacing w:after="120"/>
      </w:pPr>
      <w:r>
        <w:rPr>
          <w:sz w:val="20"/>
        </w:rPr>
        <w:t>Note the nested structure (device, custom_properties) and variable fields — this is natural for a Document Store but would require awkward normalisation or a clunky JSON column in a relational database.</w:t>
      </w:r>
    </w:p>
    <w:p>
      <w:pPr>
        <w:pStyle w:val="Heading2"/>
      </w:pPr>
      <w:r>
        <w:rPr>
          <w:color w:val="1A1A2E"/>
        </w:rPr>
        <w:t>6.4 SQL vs. NoSQL Decision Framework</w:t>
      </w:r>
    </w:p>
    <w:p>
      <w:pPr>
        <w:spacing w:after="120"/>
      </w:pPr>
      <w:r>
        <w:rPr>
          <w:sz w:val="20"/>
        </w:rPr>
        <w:t>Choosing between a relational database and a NoSQL database depends on the characteristics of your data and your query patterns. The following framework summarises the key considerations: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r/>
            <w:r>
              <w:rPr>
                <w:b/>
                <w:color w:val="FFFFFF"/>
                <w:sz w:val="20"/>
              </w:rPr>
            </w:r>
          </w:p>
        </w:tc>
        <w:tc>
          <w:tcPr>
            <w:tcW w:type="dxa" w:w="3264"/>
            <w:shd w:val="clear" w:color="auto" w:fill="2C3E50"/>
            <w:vAlign w:val="center"/>
          </w:tcPr>
          <w:p>
            <w:pPr>
              <w:jc w:val="center"/>
            </w:pPr>
            <w:r/>
            <w:r>
              <w:rPr>
                <w:b/>
                <w:color w:val="FFFFFF"/>
                <w:sz w:val="20"/>
              </w:rPr>
              <w:t>Choose Relational (SQL)</w:t>
            </w:r>
          </w:p>
        </w:tc>
        <w:tc>
          <w:tcPr>
            <w:tcW w:type="dxa" w:w="3264"/>
            <w:shd w:val="clear" w:color="auto" w:fill="2C3E50"/>
            <w:vAlign w:val="center"/>
          </w:tcPr>
          <w:p>
            <w:pPr>
              <w:jc w:val="center"/>
            </w:pPr>
            <w:r/>
            <w:r>
              <w:rPr>
                <w:b/>
                <w:color w:val="FFFFFF"/>
                <w:sz w:val="20"/>
              </w:rPr>
              <w:t>Choose NoSQL</w:t>
            </w:r>
          </w:p>
        </w:tc>
      </w:tr>
      <w:tr>
        <w:tc>
          <w:tcPr>
            <w:tcW w:type="dxa" w:w="3264"/>
            <w:shd w:val="clear" w:color="auto" w:fill="ECF0F1"/>
            <w:vAlign w:val="center"/>
          </w:tcPr>
          <w:p>
            <w:r/>
            <w:r>
              <w:rPr>
                <w:b/>
                <w:sz w:val="18"/>
              </w:rPr>
              <w:t>Data structure</w:t>
            </w:r>
          </w:p>
        </w:tc>
        <w:tc>
          <w:tcPr>
            <w:tcW w:type="dxa" w:w="3264"/>
            <w:shd w:val="clear" w:color="auto" w:fill="ECF0F1"/>
            <w:vAlign w:val="center"/>
          </w:tcPr>
          <w:p>
            <w:r/>
            <w:r>
              <w:rPr>
                <w:b w:val="0"/>
                <w:sz w:val="18"/>
              </w:rPr>
              <w:t>Fixed, well-defined schema</w:t>
              <w:br/>
              <w:t>with consistent fields</w:t>
            </w:r>
          </w:p>
        </w:tc>
        <w:tc>
          <w:tcPr>
            <w:tcW w:type="dxa" w:w="3264"/>
            <w:shd w:val="clear" w:color="auto" w:fill="ECF0F1"/>
            <w:vAlign w:val="center"/>
          </w:tcPr>
          <w:p>
            <w:r/>
            <w:r>
              <w:rPr>
                <w:b w:val="0"/>
                <w:sz w:val="18"/>
              </w:rPr>
              <w:t>Variable, flexible, or</w:t>
              <w:br/>
              <w:t>rapidly evolving schema</w:t>
            </w:r>
          </w:p>
        </w:tc>
      </w:tr>
      <w:tr>
        <w:tc>
          <w:tcPr>
            <w:tcW w:type="dxa" w:w="3264"/>
            <w:shd w:val="clear" w:color="auto" w:fill="FFFFFF"/>
            <w:vAlign w:val="center"/>
          </w:tcPr>
          <w:p>
            <w:r/>
            <w:r>
              <w:rPr>
                <w:b/>
                <w:sz w:val="18"/>
              </w:rPr>
              <w:t>Relationships</w:t>
            </w:r>
          </w:p>
        </w:tc>
        <w:tc>
          <w:tcPr>
            <w:tcW w:type="dxa" w:w="3264"/>
            <w:shd w:val="clear" w:color="auto" w:fill="FFFFFF"/>
            <w:vAlign w:val="center"/>
          </w:tcPr>
          <w:p>
            <w:r/>
            <w:r>
              <w:rPr>
                <w:b w:val="0"/>
                <w:sz w:val="18"/>
              </w:rPr>
              <w:t>Complex multi-table</w:t>
              <w:br/>
              <w:t>relationships requiring JOINs</w:t>
            </w:r>
          </w:p>
        </w:tc>
        <w:tc>
          <w:tcPr>
            <w:tcW w:type="dxa" w:w="3264"/>
            <w:shd w:val="clear" w:color="auto" w:fill="FFFFFF"/>
            <w:vAlign w:val="center"/>
          </w:tcPr>
          <w:p>
            <w:r/>
            <w:r>
              <w:rPr>
                <w:b w:val="0"/>
                <w:sz w:val="18"/>
              </w:rPr>
              <w:t>Simple lookups by key</w:t>
              <w:br/>
              <w:t>or document ID</w:t>
            </w:r>
          </w:p>
        </w:tc>
      </w:tr>
      <w:tr>
        <w:tc>
          <w:tcPr>
            <w:tcW w:type="dxa" w:w="3264"/>
            <w:shd w:val="clear" w:color="auto" w:fill="ECF0F1"/>
            <w:vAlign w:val="center"/>
          </w:tcPr>
          <w:p>
            <w:r/>
            <w:r>
              <w:rPr>
                <w:b/>
                <w:sz w:val="18"/>
              </w:rPr>
              <w:t>Data integrity</w:t>
            </w:r>
          </w:p>
        </w:tc>
        <w:tc>
          <w:tcPr>
            <w:tcW w:type="dxa" w:w="3264"/>
            <w:shd w:val="clear" w:color="auto" w:fill="ECF0F1"/>
            <w:vAlign w:val="center"/>
          </w:tcPr>
          <w:p>
            <w:r/>
            <w:r>
              <w:rPr>
                <w:b w:val="0"/>
                <w:sz w:val="18"/>
              </w:rPr>
              <w:t>ACID guarantees required</w:t>
              <w:br/>
              <w:t>(financial data, inventory)</w:t>
            </w:r>
          </w:p>
        </w:tc>
        <w:tc>
          <w:tcPr>
            <w:tcW w:type="dxa" w:w="3264"/>
            <w:shd w:val="clear" w:color="auto" w:fill="ECF0F1"/>
            <w:vAlign w:val="center"/>
          </w:tcPr>
          <w:p>
            <w:r/>
            <w:r>
              <w:rPr>
                <w:b w:val="0"/>
                <w:sz w:val="18"/>
              </w:rPr>
              <w:t>Eventual consistency</w:t>
              <w:br/>
              <w:t>acceptable</w:t>
            </w:r>
          </w:p>
        </w:tc>
      </w:tr>
      <w:tr>
        <w:tc>
          <w:tcPr>
            <w:tcW w:type="dxa" w:w="3264"/>
            <w:shd w:val="clear" w:color="auto" w:fill="FFFFFF"/>
            <w:vAlign w:val="center"/>
          </w:tcPr>
          <w:p>
            <w:r/>
            <w:r>
              <w:rPr>
                <w:b/>
                <w:sz w:val="18"/>
              </w:rPr>
              <w:t>Query patterns</w:t>
            </w:r>
          </w:p>
        </w:tc>
        <w:tc>
          <w:tcPr>
            <w:tcW w:type="dxa" w:w="3264"/>
            <w:shd w:val="clear" w:color="auto" w:fill="FFFFFF"/>
            <w:vAlign w:val="center"/>
          </w:tcPr>
          <w:p>
            <w:r/>
            <w:r>
              <w:rPr>
                <w:b w:val="0"/>
                <w:sz w:val="18"/>
              </w:rPr>
              <w:t>Complex aggregations,</w:t>
              <w:br/>
              <w:t>GROUP BY, multi-table JOINs</w:t>
            </w:r>
          </w:p>
        </w:tc>
        <w:tc>
          <w:tcPr>
            <w:tcW w:type="dxa" w:w="3264"/>
            <w:shd w:val="clear" w:color="auto" w:fill="FFFFFF"/>
            <w:vAlign w:val="center"/>
          </w:tcPr>
          <w:p>
            <w:r/>
            <w:r>
              <w:rPr>
                <w:b w:val="0"/>
                <w:sz w:val="18"/>
              </w:rPr>
              <w:t>High-throughput reads/writes</w:t>
              <w:br/>
              <w:t>by key, simple filters</w:t>
            </w:r>
          </w:p>
        </w:tc>
      </w:tr>
      <w:tr>
        <w:tc>
          <w:tcPr>
            <w:tcW w:type="dxa" w:w="3264"/>
            <w:shd w:val="clear" w:color="auto" w:fill="ECF0F1"/>
            <w:vAlign w:val="center"/>
          </w:tcPr>
          <w:p>
            <w:r/>
            <w:r>
              <w:rPr>
                <w:b/>
                <w:sz w:val="18"/>
              </w:rPr>
              <w:t>Schema changes</w:t>
            </w:r>
          </w:p>
        </w:tc>
        <w:tc>
          <w:tcPr>
            <w:tcW w:type="dxa" w:w="3264"/>
            <w:shd w:val="clear" w:color="auto" w:fill="ECF0F1"/>
            <w:vAlign w:val="center"/>
          </w:tcPr>
          <w:p>
            <w:r/>
            <w:r>
              <w:rPr>
                <w:b w:val="0"/>
                <w:sz w:val="18"/>
              </w:rPr>
              <w:t>Infrequent, planned</w:t>
              <w:br/>
              <w:t>migrations</w:t>
            </w:r>
          </w:p>
        </w:tc>
        <w:tc>
          <w:tcPr>
            <w:tcW w:type="dxa" w:w="3264"/>
            <w:shd w:val="clear" w:color="auto" w:fill="ECF0F1"/>
            <w:vAlign w:val="center"/>
          </w:tcPr>
          <w:p>
            <w:r/>
            <w:r>
              <w:rPr>
                <w:b w:val="0"/>
                <w:sz w:val="18"/>
              </w:rPr>
              <w:t>New fields added every</w:t>
              <w:br/>
              <w:t>sprint or deployment</w:t>
            </w:r>
          </w:p>
        </w:tc>
      </w:tr>
      <w:tr>
        <w:tc>
          <w:tcPr>
            <w:tcW w:type="dxa" w:w="3264"/>
            <w:shd w:val="clear" w:color="auto" w:fill="FFFFFF"/>
            <w:vAlign w:val="center"/>
          </w:tcPr>
          <w:p>
            <w:r/>
            <w:r>
              <w:rPr>
                <w:b/>
                <w:sz w:val="18"/>
              </w:rPr>
              <w:t>Data format</w:t>
            </w:r>
          </w:p>
        </w:tc>
        <w:tc>
          <w:tcPr>
            <w:tcW w:type="dxa" w:w="3264"/>
            <w:shd w:val="clear" w:color="auto" w:fill="FFFFFF"/>
            <w:vAlign w:val="center"/>
          </w:tcPr>
          <w:p>
            <w:r/>
            <w:r>
              <w:rPr>
                <w:b w:val="0"/>
                <w:sz w:val="18"/>
              </w:rPr>
              <w:t>Tabular, normalised</w:t>
              <w:br/>
              <w:t>rows and columns</w:t>
            </w:r>
          </w:p>
        </w:tc>
        <w:tc>
          <w:tcPr>
            <w:tcW w:type="dxa" w:w="3264"/>
            <w:shd w:val="clear" w:color="auto" w:fill="FFFFFF"/>
            <w:vAlign w:val="center"/>
          </w:tcPr>
          <w:p>
            <w:r/>
            <w:r>
              <w:rPr>
                <w:b w:val="0"/>
                <w:sz w:val="18"/>
              </w:rPr>
              <w:t>JSON, nested objects,</w:t>
              <w:br/>
              <w:t>semi-structured</w:t>
            </w:r>
          </w:p>
        </w:tc>
      </w:tr>
      <w:tr>
        <w:tc>
          <w:tcPr>
            <w:tcW w:type="dxa" w:w="3264"/>
            <w:shd w:val="clear" w:color="auto" w:fill="ECF0F1"/>
            <w:vAlign w:val="center"/>
          </w:tcPr>
          <w:p>
            <w:r/>
            <w:r>
              <w:rPr>
                <w:b/>
                <w:sz w:val="18"/>
              </w:rPr>
              <w:t>Scale pattern</w:t>
            </w:r>
          </w:p>
        </w:tc>
        <w:tc>
          <w:tcPr>
            <w:tcW w:type="dxa" w:w="3264"/>
            <w:shd w:val="clear" w:color="auto" w:fill="ECF0F1"/>
            <w:vAlign w:val="center"/>
          </w:tcPr>
          <w:p>
            <w:r/>
            <w:r>
              <w:rPr>
                <w:b w:val="0"/>
                <w:sz w:val="18"/>
              </w:rPr>
              <w:t>Vertical scaling</w:t>
              <w:br/>
              <w:t>(bigger server)</w:t>
            </w:r>
          </w:p>
        </w:tc>
        <w:tc>
          <w:tcPr>
            <w:tcW w:type="dxa" w:w="3264"/>
            <w:shd w:val="clear" w:color="auto" w:fill="ECF0F1"/>
            <w:vAlign w:val="center"/>
          </w:tcPr>
          <w:p>
            <w:r/>
            <w:r>
              <w:rPr>
                <w:b w:val="0"/>
                <w:sz w:val="18"/>
              </w:rPr>
              <w:t>Horizontal scaling</w:t>
              <w:br/>
              <w:t>(more servers)</w:t>
            </w:r>
          </w:p>
        </w:tc>
      </w:tr>
      <w:tr>
        <w:tc>
          <w:tcPr>
            <w:tcW w:type="dxa" w:w="3264"/>
            <w:shd w:val="clear" w:color="auto" w:fill="FFFFFF"/>
            <w:vAlign w:val="center"/>
          </w:tcPr>
          <w:p>
            <w:r/>
            <w:r>
              <w:rPr>
                <w:b/>
                <w:sz w:val="18"/>
              </w:rPr>
              <w:t>Write volume</w:t>
            </w:r>
          </w:p>
        </w:tc>
        <w:tc>
          <w:tcPr>
            <w:tcW w:type="dxa" w:w="3264"/>
            <w:shd w:val="clear" w:color="auto" w:fill="FFFFFF"/>
            <w:vAlign w:val="center"/>
          </w:tcPr>
          <w:p>
            <w:r/>
            <w:r>
              <w:rPr>
                <w:b w:val="0"/>
                <w:sz w:val="18"/>
              </w:rPr>
              <w:t>Batch loads (ETL/ELT)</w:t>
            </w:r>
          </w:p>
        </w:tc>
        <w:tc>
          <w:tcPr>
            <w:tcW w:type="dxa" w:w="3264"/>
            <w:shd w:val="clear" w:color="auto" w:fill="FFFFFF"/>
            <w:vAlign w:val="center"/>
          </w:tcPr>
          <w:p>
            <w:r/>
            <w:r>
              <w:rPr>
                <w:b w:val="0"/>
                <w:sz w:val="18"/>
              </w:rPr>
              <w:t>Continuous streaming,</w:t>
              <w:br/>
              <w:t>millions of writes/hour</w:t>
            </w:r>
          </w:p>
        </w:tc>
      </w:tr>
    </w:tbl>
    <w:p/>
    <w:p>
      <w:pPr>
        <w:pStyle w:val="Heading2"/>
      </w:pPr>
      <w:r>
        <w:rPr>
          <w:color w:val="1A1A2E"/>
        </w:rPr>
        <w:t>6.5 Hybrid Architectures and Data Integration</w:t>
      </w:r>
    </w:p>
    <w:p>
      <w:pPr>
        <w:spacing w:after="120"/>
      </w:pPr>
      <w:r>
        <w:rPr>
          <w:sz w:val="20"/>
        </w:rPr>
        <w:t>Modern data architectures are rarely purely relational or purely NoSQL. They are hybrid, combining traditional relational data warehouses with specialised NoSQL platforms — each used for what it does best.</w:t>
      </w:r>
    </w:p>
    <w:p>
      <w:pPr>
        <w:spacing w:after="120"/>
      </w:pPr>
      <w:r>
        <w:rPr>
          <w:b/>
          <w:color w:val="2C3E50"/>
          <w:sz w:val="20"/>
        </w:rPr>
        <w:t>A Typical Hybrid Pattern:</w:t>
      </w:r>
    </w:p>
    <w:p>
      <w:pPr>
        <w:pStyle w:val="ListBullet"/>
      </w:pPr>
      <w:r>
        <w:t>Structured financial data lives in a relational data warehouse (PostgreSQL, Snowflake, BigQuery) for ACID guarantees, complex JOINs, and aggregations.</w:t>
      </w:r>
    </w:p>
    <w:p>
      <w:pPr>
        <w:pStyle w:val="ListBullet"/>
      </w:pPr>
      <w:r>
        <w:t>Unstructured user preferences or event streams live in a Document Store (MongoDB) for flexible schemas and high write throughput.</w:t>
      </w:r>
    </w:p>
    <w:p>
      <w:pPr>
        <w:pStyle w:val="ListBullet"/>
      </w:pPr>
      <w:r>
        <w:t>An ETL/ELT pipeline extracts data from the NoSQL source, transforms it into a tabular format (schema-on-read), and loads it into the relational warehouse for analysis.</w:t>
      </w:r>
    </w:p>
    <w:p>
      <w:pPr>
        <w:jc w:val="center"/>
      </w:pPr>
      <w:r>
        <w:rPr>
          <w:b/>
          <w:color w:val="2980B9"/>
          <w:sz w:val="22"/>
        </w:rPr>
        <w:t>Hybrid Architecture: Data Flow</w:t>
      </w:r>
    </w:p>
    <w:tbl>
      <w:tblPr>
        <w:tblW w:type="auto" w:w="0"/>
        <w:jc w:val="center"/>
        <w:tblLook w:firstColumn="1" w:firstRow="1" w:lastColumn="0" w:lastRow="0" w:noHBand="0" w:noVBand="1" w:val="04A0"/>
      </w:tblPr>
      <w:tblGrid>
        <w:gridCol w:w="9792"/>
      </w:tblGrid>
      <w:tr>
        <w:tc>
          <w:tcPr>
            <w:tcW w:type="dxa" w:w="7937"/>
            <w:shd w:val="clear" w:color="auto" w:fill="D6EAF8"/>
          </w:tcPr>
          <w:p>
            <w:pPr>
              <w:jc w:val="center"/>
            </w:pPr>
            <w:r>
              <w:rPr>
                <w:b/>
                <w:sz w:val="18"/>
              </w:rPr>
              <w:t>DATA SOURCES: IoT Sensors  |  Mobile App  |  Financial Systems</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FDEBD0"/>
          </w:tcPr>
          <w:p>
            <w:pPr>
              <w:jc w:val="center"/>
            </w:pPr>
            <w:r>
              <w:rPr>
                <w:b/>
                <w:sz w:val="18"/>
              </w:rPr>
              <w:t>INGESTION: NoSQL (MongoDB/DynamoDB) for high-velocity unstructured data</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6EAF8"/>
          </w:tcPr>
          <w:p>
            <w:pPr>
              <w:jc w:val="center"/>
            </w:pPr>
            <w:r>
              <w:rPr>
                <w:b/>
                <w:sz w:val="18"/>
              </w:rPr>
              <w:t>PIPELINE: ETL/ELT — Extract, Transform, Load aggregated summaries</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WAREHOUSE: Relational DW (PostgreSQL/Snowflake) for structured analytics</w:t>
            </w:r>
          </w:p>
        </w:tc>
      </w:tr>
      <w:tr>
        <w:tc>
          <w:tcPr>
            <w:tcW w:type="dxa" w:w="7937"/>
            <w:tcBorders>
              <w:top w:val="none" w:sz="0"/>
              <w:bottom w:val="none" w:sz="0"/>
              <w:left w:val="none" w:sz="0"/>
              <w:right w:val="none" w:sz="0"/>
            </w:tcBorders>
          </w:tcPr>
          <w:p>
            <w:pPr>
              <w:jc w:val="center"/>
            </w:pPr>
            <w:r>
              <w:rPr>
                <w:color w:val="2980B9"/>
                <w:sz w:val="28"/>
              </w:rPr>
              <w:t>↓</w:t>
            </w:r>
          </w:p>
        </w:tc>
      </w:tr>
      <w:tr>
        <w:tc>
          <w:tcPr>
            <w:tcW w:type="dxa" w:w="7937"/>
            <w:shd w:val="clear" w:color="auto" w:fill="D5F5E3"/>
          </w:tcPr>
          <w:p>
            <w:pPr>
              <w:jc w:val="center"/>
            </w:pPr>
            <w:r>
              <w:rPr>
                <w:b/>
                <w:sz w:val="18"/>
              </w:rPr>
              <w:t>REPORTING: BI Dashboards  |  SQL Queries  |  Ad-hoc Analysis</w:t>
            </w:r>
          </w:p>
        </w:tc>
      </w:tr>
    </w:tbl>
    <w:p/>
    <w:p>
      <w:pPr>
        <w:spacing w:after="120"/>
      </w:pPr>
      <w:r>
        <w:rPr>
          <w:b/>
          <w:color w:val="2C3E50"/>
          <w:sz w:val="20"/>
        </w:rPr>
        <w:t>The Integration Challenge:</w:t>
      </w:r>
    </w:p>
    <w:p>
      <w:pPr>
        <w:spacing w:after="120"/>
      </w:pPr>
      <w:r>
        <w:rPr>
          <w:sz w:val="20"/>
        </w:rPr>
        <w:t>When combining data from a NoSQL source with relational query results, the NoSQL data must undergo schema-on-read transformation:</w:t>
      </w:r>
    </w:p>
    <w:p>
      <w:pPr>
        <w:pStyle w:val="ListBullet"/>
      </w:pPr>
      <w:r>
        <w:t>Extract specific fields from each JSON document.</w:t>
      </w:r>
    </w:p>
    <w:p>
      <w:pPr>
        <w:pStyle w:val="ListBullet"/>
      </w:pPr>
      <w:r>
        <w:t>Flatten nested structures into tabular columns.</w:t>
      </w:r>
    </w:p>
    <w:p>
      <w:pPr>
        <w:pStyle w:val="ListBullet"/>
      </w:pPr>
      <w:r>
        <w:t>Apply appropriate data types (JSON values may need to be cast).</w:t>
      </w:r>
    </w:p>
    <w:p>
      <w:pPr>
        <w:pStyle w:val="ListBullet"/>
      </w:pPr>
      <w:r>
        <w:t>Load the transformed data into a staging table in the relational warehouse, then JOIN on a shared key (e.g., customer_id).</w:t>
      </w:r>
    </w:p>
    <w:tbl>
      <w:tblPr>
        <w:tblW w:type="auto" w:w="0"/>
        <w:jc w:val="center"/>
        <w:tblLook w:firstColumn="1" w:firstRow="1" w:lastColumn="0" w:lastRow="0" w:noHBand="0" w:noVBand="1" w:val="04A0"/>
      </w:tblPr>
      <w:tblGrid>
        <w:gridCol w:w="9792"/>
      </w:tblGrid>
      <w:tr>
        <w:tc>
          <w:tcPr>
            <w:tcW w:type="dxa" w:w="9792"/>
            <w:shd w:val="clear" w:color="auto" w:fill="FEF9E7"/>
          </w:tcPr>
          <w:p>
            <w:r>
              <w:rPr>
                <w:b/>
                <w:color w:val="E67E22"/>
                <w:sz w:val="20"/>
              </w:rPr>
              <w:t xml:space="preserve">Tip: </w:t>
            </w:r>
            <w:r>
              <w:rPr>
                <w:sz w:val="20"/>
              </w:rPr>
              <w:t>As a data analyst, your interaction with NoSQL data primarily involves reading and importing data from NoSQL sources into the relational data warehouse for aggregation and analysis.</w:t>
            </w:r>
          </w:p>
        </w:tc>
      </w:tr>
    </w:tbl>
    <w:p/>
    <w:p>
      <w:r>
        <w:br w:type="page"/>
      </w:r>
    </w:p>
    <w:p>
      <w:pPr>
        <w:pStyle w:val="Heading1"/>
      </w:pPr>
      <w:r>
        <w:rPr>
          <w:color w:val="1A1A2E"/>
        </w:rPr>
        <w:t>7. Foundational SQL Reference</w:t>
      </w:r>
    </w:p>
    <w:p>
      <w:pPr>
        <w:spacing w:after="120"/>
      </w:pPr>
      <w:r>
        <w:rPr>
          <w:sz w:val="20"/>
        </w:rPr>
        <w:t>This section provides a quick reference for foundational SQL concepts that underpin the advanced topics covered in this unit.</w:t>
      </w:r>
    </w:p>
    <w:p>
      <w:pPr>
        <w:pStyle w:val="Heading2"/>
      </w:pPr>
      <w:r>
        <w:rPr>
          <w:color w:val="1A1A2E"/>
        </w:rPr>
        <w:t>7.1 JOINs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pPr>
              <w:jc w:val="center"/>
            </w:pPr>
            <w:r/>
            <w:r>
              <w:rPr>
                <w:b/>
                <w:color w:val="FFFFFF"/>
                <w:sz w:val="20"/>
              </w:rPr>
              <w:t>JOIN Type</w:t>
            </w:r>
          </w:p>
        </w:tc>
        <w:tc>
          <w:tcPr>
            <w:tcW w:type="dxa" w:w="3264"/>
            <w:shd w:val="clear" w:color="auto" w:fill="2C3E50"/>
            <w:vAlign w:val="center"/>
          </w:tcPr>
          <w:p>
            <w:pPr>
              <w:jc w:val="center"/>
            </w:pPr>
            <w:r/>
            <w:r>
              <w:rPr>
                <w:b/>
                <w:color w:val="FFFFFF"/>
                <w:sz w:val="20"/>
              </w:rPr>
              <w:t>What It Returns</w:t>
            </w:r>
          </w:p>
        </w:tc>
        <w:tc>
          <w:tcPr>
            <w:tcW w:type="dxa" w:w="3264"/>
            <w:shd w:val="clear" w:color="auto" w:fill="2C3E50"/>
            <w:vAlign w:val="center"/>
          </w:tcPr>
          <w:p>
            <w:pPr>
              <w:jc w:val="center"/>
            </w:pPr>
            <w:r/>
            <w:r>
              <w:rPr>
                <w:b/>
                <w:color w:val="FFFFFF"/>
                <w:sz w:val="20"/>
              </w:rPr>
              <w:t>When to Use</w:t>
            </w:r>
          </w:p>
        </w:tc>
      </w:tr>
      <w:tr>
        <w:tc>
          <w:tcPr>
            <w:tcW w:type="dxa" w:w="3264"/>
            <w:shd w:val="clear" w:color="auto" w:fill="ECF0F1"/>
            <w:vAlign w:val="center"/>
          </w:tcPr>
          <w:p>
            <w:r/>
            <w:r>
              <w:rPr>
                <w:b w:val="0"/>
                <w:sz w:val="18"/>
              </w:rPr>
              <w:t>INNER JOIN</w:t>
            </w:r>
          </w:p>
        </w:tc>
        <w:tc>
          <w:tcPr>
            <w:tcW w:type="dxa" w:w="3264"/>
            <w:shd w:val="clear" w:color="auto" w:fill="ECF0F1"/>
            <w:vAlign w:val="center"/>
          </w:tcPr>
          <w:p>
            <w:r/>
            <w:r>
              <w:rPr>
                <w:b w:val="0"/>
                <w:sz w:val="18"/>
              </w:rPr>
              <w:t>Only rows that match</w:t>
              <w:br/>
              <w:t>in both tables</w:t>
            </w:r>
          </w:p>
        </w:tc>
        <w:tc>
          <w:tcPr>
            <w:tcW w:type="dxa" w:w="3264"/>
            <w:shd w:val="clear" w:color="auto" w:fill="ECF0F1"/>
            <w:vAlign w:val="center"/>
          </w:tcPr>
          <w:p>
            <w:r/>
            <w:r>
              <w:rPr>
                <w:b w:val="0"/>
                <w:sz w:val="18"/>
              </w:rPr>
              <w:t>Default — when you need data from</w:t>
              <w:br/>
              <w:t>both tables and unmatched rows</w:t>
              <w:br/>
              <w:t>are irrelevant</w:t>
            </w:r>
          </w:p>
        </w:tc>
      </w:tr>
      <w:tr>
        <w:tc>
          <w:tcPr>
            <w:tcW w:type="dxa" w:w="3264"/>
            <w:shd w:val="clear" w:color="auto" w:fill="FFFFFF"/>
            <w:vAlign w:val="center"/>
          </w:tcPr>
          <w:p>
            <w:r/>
            <w:r>
              <w:rPr>
                <w:b w:val="0"/>
                <w:sz w:val="18"/>
              </w:rPr>
              <w:t>LEFT JOIN</w:t>
            </w:r>
          </w:p>
        </w:tc>
        <w:tc>
          <w:tcPr>
            <w:tcW w:type="dxa" w:w="3264"/>
            <w:shd w:val="clear" w:color="auto" w:fill="FFFFFF"/>
            <w:vAlign w:val="center"/>
          </w:tcPr>
          <w:p>
            <w:r/>
            <w:r>
              <w:rPr>
                <w:b w:val="0"/>
                <w:sz w:val="18"/>
              </w:rPr>
              <w:t>All rows from the left table</w:t>
              <w:br/>
              <w:t>+ matching rows from right</w:t>
              <w:br/>
              <w:t>(NULL if no match)</w:t>
            </w:r>
          </w:p>
        </w:tc>
        <w:tc>
          <w:tcPr>
            <w:tcW w:type="dxa" w:w="3264"/>
            <w:shd w:val="clear" w:color="auto" w:fill="FFFFFF"/>
            <w:vAlign w:val="center"/>
          </w:tcPr>
          <w:p>
            <w:r/>
            <w:r>
              <w:rPr>
                <w:b w:val="0"/>
                <w:sz w:val="18"/>
              </w:rPr>
              <w:t>When the left table is the</w:t>
              <w:br/>
              <w:t>‘primary’ and you want to</w:t>
              <w:br/>
              <w:t>keep all its rows</w:t>
            </w:r>
          </w:p>
        </w:tc>
      </w:tr>
      <w:tr>
        <w:tc>
          <w:tcPr>
            <w:tcW w:type="dxa" w:w="3264"/>
            <w:shd w:val="clear" w:color="auto" w:fill="ECF0F1"/>
            <w:vAlign w:val="center"/>
          </w:tcPr>
          <w:p>
            <w:r/>
            <w:r>
              <w:rPr>
                <w:b w:val="0"/>
                <w:sz w:val="18"/>
              </w:rPr>
              <w:t>RIGHT JOIN</w:t>
            </w:r>
          </w:p>
        </w:tc>
        <w:tc>
          <w:tcPr>
            <w:tcW w:type="dxa" w:w="3264"/>
            <w:shd w:val="clear" w:color="auto" w:fill="ECF0F1"/>
            <w:vAlign w:val="center"/>
          </w:tcPr>
          <w:p>
            <w:r/>
            <w:r>
              <w:rPr>
                <w:b w:val="0"/>
                <w:sz w:val="18"/>
              </w:rPr>
              <w:t>All rows from the right table</w:t>
              <w:br/>
              <w:t>+ matching rows from left</w:t>
            </w:r>
          </w:p>
        </w:tc>
        <w:tc>
          <w:tcPr>
            <w:tcW w:type="dxa" w:w="3264"/>
            <w:shd w:val="clear" w:color="auto" w:fill="ECF0F1"/>
            <w:vAlign w:val="center"/>
          </w:tcPr>
          <w:p>
            <w:r/>
            <w:r>
              <w:rPr>
                <w:b w:val="0"/>
                <w:sz w:val="18"/>
              </w:rPr>
              <w:t>Rarely used — equivalent to a</w:t>
              <w:br/>
              <w:t>LEFT JOIN with tables swapped</w:t>
            </w:r>
          </w:p>
        </w:tc>
      </w:tr>
      <w:tr>
        <w:tc>
          <w:tcPr>
            <w:tcW w:type="dxa" w:w="3264"/>
            <w:shd w:val="clear" w:color="auto" w:fill="FFFFFF"/>
            <w:vAlign w:val="center"/>
          </w:tcPr>
          <w:p>
            <w:r/>
            <w:r>
              <w:rPr>
                <w:b w:val="0"/>
                <w:sz w:val="18"/>
              </w:rPr>
              <w:t>FULL OUTER</w:t>
              <w:br/>
              <w:t>JOIN</w:t>
            </w:r>
          </w:p>
        </w:tc>
        <w:tc>
          <w:tcPr>
            <w:tcW w:type="dxa" w:w="3264"/>
            <w:shd w:val="clear" w:color="auto" w:fill="FFFFFF"/>
            <w:vAlign w:val="center"/>
          </w:tcPr>
          <w:p>
            <w:r/>
            <w:r>
              <w:rPr>
                <w:b w:val="0"/>
                <w:sz w:val="18"/>
              </w:rPr>
              <w:t>All rows from both tables</w:t>
              <w:br/>
              <w:t>(NULLs where no match)</w:t>
            </w:r>
          </w:p>
        </w:tc>
        <w:tc>
          <w:tcPr>
            <w:tcW w:type="dxa" w:w="3264"/>
            <w:shd w:val="clear" w:color="auto" w:fill="FFFFFF"/>
            <w:vAlign w:val="center"/>
          </w:tcPr>
          <w:p>
            <w:r/>
            <w:r>
              <w:rPr>
                <w:b w:val="0"/>
                <w:sz w:val="18"/>
              </w:rPr>
              <w:t>When you need to see all</w:t>
              <w:br/>
              <w:t>records from both sources</w:t>
            </w:r>
          </w:p>
        </w:tc>
      </w:tr>
    </w:tbl>
    <w:p/>
    <w:p>
      <w:pPr>
        <w:pStyle w:val="NoSpacing"/>
        <w:spacing w:before="0" w:after="0"/>
        <w:ind w:left="576"/>
      </w:pPr>
      <w:r>
        <w:rPr>
          <w:rFonts w:ascii="Consolas" w:hAnsi="Consolas"/>
          <w:color w:val="2C3E50"/>
          <w:sz w:val="18"/>
        </w:rPr>
        <w:t>-- INNER JOIN: only returns orders that have a matching customer</w:t>
      </w:r>
    </w:p>
    <w:p>
      <w:pPr>
        <w:pStyle w:val="NoSpacing"/>
        <w:spacing w:before="0" w:after="0"/>
        <w:ind w:left="576"/>
      </w:pPr>
      <w:r>
        <w:rPr>
          <w:rFonts w:ascii="Consolas" w:hAnsi="Consolas"/>
          <w:color w:val="2C3E50"/>
          <w:sz w:val="18"/>
        </w:rPr>
        <w:t>SELECT o.order_id, c.customer_name</w:t>
      </w:r>
    </w:p>
    <w:p>
      <w:pPr>
        <w:pStyle w:val="NoSpacing"/>
        <w:spacing w:before="0" w:after="0"/>
        <w:ind w:left="576"/>
      </w:pPr>
      <w:r>
        <w:rPr>
          <w:rFonts w:ascii="Consolas" w:hAnsi="Consolas"/>
          <w:color w:val="2C3E50"/>
          <w:sz w:val="18"/>
        </w:rPr>
        <w:t>FROM orders o</w:t>
      </w:r>
    </w:p>
    <w:p>
      <w:pPr>
        <w:pStyle w:val="NoSpacing"/>
        <w:spacing w:before="0" w:after="0"/>
        <w:ind w:left="576"/>
      </w:pPr>
      <w:r>
        <w:rPr>
          <w:rFonts w:ascii="Consolas" w:hAnsi="Consolas"/>
          <w:color w:val="2C3E50"/>
          <w:sz w:val="18"/>
        </w:rPr>
        <w:t>JOIN customers c ON o.customer_id = c.customer_id;</w:t>
      </w:r>
    </w:p>
    <w:p>
      <w:pPr>
        <w:pStyle w:val="NoSpacing"/>
        <w:spacing w:before="0" w:after="0"/>
        <w:ind w:left="576"/>
      </w:pPr>
    </w:p>
    <w:p>
      <w:pPr>
        <w:pStyle w:val="NoSpacing"/>
        <w:spacing w:before="0" w:after="0"/>
        <w:ind w:left="576"/>
      </w:pPr>
      <w:r>
        <w:rPr>
          <w:rFonts w:ascii="Consolas" w:hAnsi="Consolas"/>
          <w:color w:val="2C3E50"/>
          <w:sz w:val="18"/>
        </w:rPr>
        <w:t>-- LEFT JOIN: returns all orders, even if the customer record is missing</w:t>
      </w:r>
    </w:p>
    <w:p>
      <w:pPr>
        <w:pStyle w:val="NoSpacing"/>
        <w:spacing w:before="0" w:after="0"/>
        <w:ind w:left="576"/>
      </w:pPr>
      <w:r>
        <w:rPr>
          <w:rFonts w:ascii="Consolas" w:hAnsi="Consolas"/>
          <w:color w:val="2C3E50"/>
          <w:sz w:val="18"/>
        </w:rPr>
        <w:t>SELECT o.order_id, c.customer_name</w:t>
      </w:r>
    </w:p>
    <w:p>
      <w:pPr>
        <w:pStyle w:val="NoSpacing"/>
        <w:spacing w:before="0" w:after="0"/>
        <w:ind w:left="576"/>
      </w:pPr>
      <w:r>
        <w:rPr>
          <w:rFonts w:ascii="Consolas" w:hAnsi="Consolas"/>
          <w:color w:val="2C3E50"/>
          <w:sz w:val="18"/>
        </w:rPr>
        <w:t>FROM orders o</w:t>
      </w:r>
    </w:p>
    <w:p>
      <w:pPr>
        <w:pStyle w:val="NoSpacing"/>
        <w:spacing w:before="0" w:after="0"/>
        <w:ind w:left="576"/>
      </w:pPr>
      <w:r>
        <w:rPr>
          <w:rFonts w:ascii="Consolas" w:hAnsi="Consolas"/>
          <w:color w:val="2C3E50"/>
          <w:sz w:val="18"/>
        </w:rPr>
        <w:t>LEFT JOIN customers c ON o.customer_id = c.customer_id;</w:t>
      </w:r>
    </w:p>
    <w:p/>
    <w:p>
      <w:pPr>
        <w:pStyle w:val="Heading2"/>
      </w:pPr>
      <w:r>
        <w:rPr>
          <w:color w:val="1A1A2E"/>
        </w:rPr>
        <w:t>7.2 Common Data Types (PostgreSQL)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pPr>
              <w:jc w:val="center"/>
            </w:pPr>
            <w:r/>
            <w:r>
              <w:rPr>
                <w:b/>
                <w:color w:val="FFFFFF"/>
                <w:sz w:val="20"/>
              </w:rPr>
              <w:t>Data Type</w:t>
            </w:r>
          </w:p>
        </w:tc>
        <w:tc>
          <w:tcPr>
            <w:tcW w:type="dxa" w:w="3264"/>
            <w:shd w:val="clear" w:color="auto" w:fill="2C3E50"/>
            <w:vAlign w:val="center"/>
          </w:tcPr>
          <w:p>
            <w:pPr>
              <w:jc w:val="center"/>
            </w:pPr>
            <w:r/>
            <w:r>
              <w:rPr>
                <w:b/>
                <w:color w:val="FFFFFF"/>
                <w:sz w:val="20"/>
              </w:rPr>
              <w:t>Description</w:t>
            </w:r>
          </w:p>
        </w:tc>
        <w:tc>
          <w:tcPr>
            <w:tcW w:type="dxa" w:w="3264"/>
            <w:shd w:val="clear" w:color="auto" w:fill="2C3E50"/>
            <w:vAlign w:val="center"/>
          </w:tcPr>
          <w:p>
            <w:pPr>
              <w:jc w:val="center"/>
            </w:pPr>
            <w:r/>
            <w:r>
              <w:rPr>
                <w:b/>
                <w:color w:val="FFFFFF"/>
                <w:sz w:val="20"/>
              </w:rPr>
              <w:t>Example</w:t>
            </w:r>
          </w:p>
        </w:tc>
      </w:tr>
      <w:tr>
        <w:tc>
          <w:tcPr>
            <w:tcW w:type="dxa" w:w="3264"/>
            <w:shd w:val="clear" w:color="auto" w:fill="ECF0F1"/>
            <w:vAlign w:val="center"/>
          </w:tcPr>
          <w:p>
            <w:r/>
            <w:r>
              <w:rPr>
                <w:b w:val="0"/>
                <w:sz w:val="18"/>
              </w:rPr>
              <w:t>INTEGER</w:t>
            </w:r>
          </w:p>
        </w:tc>
        <w:tc>
          <w:tcPr>
            <w:tcW w:type="dxa" w:w="3264"/>
            <w:shd w:val="clear" w:color="auto" w:fill="ECF0F1"/>
            <w:vAlign w:val="center"/>
          </w:tcPr>
          <w:p>
            <w:r/>
            <w:r>
              <w:rPr>
                <w:b w:val="0"/>
                <w:sz w:val="18"/>
              </w:rPr>
              <w:t>Whole numbers (no decimals)</w:t>
            </w:r>
          </w:p>
        </w:tc>
        <w:tc>
          <w:tcPr>
            <w:tcW w:type="dxa" w:w="3264"/>
            <w:shd w:val="clear" w:color="auto" w:fill="ECF0F1"/>
            <w:vAlign w:val="center"/>
          </w:tcPr>
          <w:p>
            <w:r/>
            <w:r>
              <w:rPr>
                <w:b w:val="0"/>
                <w:sz w:val="18"/>
              </w:rPr>
              <w:t>42, -17, 0</w:t>
            </w:r>
          </w:p>
        </w:tc>
      </w:tr>
      <w:tr>
        <w:tc>
          <w:tcPr>
            <w:tcW w:type="dxa" w:w="3264"/>
            <w:shd w:val="clear" w:color="auto" w:fill="FFFFFF"/>
            <w:vAlign w:val="center"/>
          </w:tcPr>
          <w:p>
            <w:r/>
            <w:r>
              <w:rPr>
                <w:b w:val="0"/>
                <w:sz w:val="18"/>
              </w:rPr>
              <w:t>SERIAL</w:t>
            </w:r>
          </w:p>
        </w:tc>
        <w:tc>
          <w:tcPr>
            <w:tcW w:type="dxa" w:w="3264"/>
            <w:shd w:val="clear" w:color="auto" w:fill="FFFFFF"/>
            <w:vAlign w:val="center"/>
          </w:tcPr>
          <w:p>
            <w:r/>
            <w:r>
              <w:rPr>
                <w:b w:val="0"/>
                <w:sz w:val="18"/>
              </w:rPr>
              <w:t>Auto-incrementing integer</w:t>
              <w:br/>
              <w:t>(PostgreSQL generates the value)</w:t>
            </w:r>
          </w:p>
        </w:tc>
        <w:tc>
          <w:tcPr>
            <w:tcW w:type="dxa" w:w="3264"/>
            <w:shd w:val="clear" w:color="auto" w:fill="FFFFFF"/>
            <w:vAlign w:val="center"/>
          </w:tcPr>
          <w:p>
            <w:r/>
            <w:r>
              <w:rPr>
                <w:b w:val="0"/>
                <w:sz w:val="18"/>
              </w:rPr>
              <w:t>1, 2, 3, ...</w:t>
            </w:r>
          </w:p>
        </w:tc>
      </w:tr>
      <w:tr>
        <w:tc>
          <w:tcPr>
            <w:tcW w:type="dxa" w:w="3264"/>
            <w:shd w:val="clear" w:color="auto" w:fill="ECF0F1"/>
            <w:vAlign w:val="center"/>
          </w:tcPr>
          <w:p>
            <w:r/>
            <w:r>
              <w:rPr>
                <w:b w:val="0"/>
                <w:sz w:val="18"/>
              </w:rPr>
              <w:t>NUMERIC(p, s)</w:t>
            </w:r>
          </w:p>
        </w:tc>
        <w:tc>
          <w:tcPr>
            <w:tcW w:type="dxa" w:w="3264"/>
            <w:shd w:val="clear" w:color="auto" w:fill="ECF0F1"/>
            <w:vAlign w:val="center"/>
          </w:tcPr>
          <w:p>
            <w:r/>
            <w:r>
              <w:rPr>
                <w:b w:val="0"/>
                <w:sz w:val="18"/>
              </w:rPr>
              <w:t>Exact decimal: p total digits,</w:t>
              <w:br/>
              <w:t>s after decimal</w:t>
            </w:r>
          </w:p>
        </w:tc>
        <w:tc>
          <w:tcPr>
            <w:tcW w:type="dxa" w:w="3264"/>
            <w:shd w:val="clear" w:color="auto" w:fill="ECF0F1"/>
            <w:vAlign w:val="center"/>
          </w:tcPr>
          <w:p>
            <w:r/>
            <w:r>
              <w:rPr>
                <w:b w:val="0"/>
                <w:sz w:val="18"/>
              </w:rPr>
              <w:t>NUMERIC(10,2) stores</w:t>
              <w:br/>
              <w:t>up to 99999999.99</w:t>
            </w:r>
          </w:p>
        </w:tc>
      </w:tr>
      <w:tr>
        <w:tc>
          <w:tcPr>
            <w:tcW w:type="dxa" w:w="3264"/>
            <w:shd w:val="clear" w:color="auto" w:fill="FFFFFF"/>
            <w:vAlign w:val="center"/>
          </w:tcPr>
          <w:p>
            <w:r/>
            <w:r>
              <w:rPr>
                <w:b w:val="0"/>
                <w:sz w:val="18"/>
              </w:rPr>
              <w:t>VARCHAR(n)</w:t>
            </w:r>
          </w:p>
        </w:tc>
        <w:tc>
          <w:tcPr>
            <w:tcW w:type="dxa" w:w="3264"/>
            <w:shd w:val="clear" w:color="auto" w:fill="FFFFFF"/>
            <w:vAlign w:val="center"/>
          </w:tcPr>
          <w:p>
            <w:r/>
            <w:r>
              <w:rPr>
                <w:b w:val="0"/>
                <w:sz w:val="18"/>
              </w:rPr>
              <w:t>Variable-length text,</w:t>
              <w:br/>
              <w:t>up to n characters</w:t>
            </w:r>
          </w:p>
        </w:tc>
        <w:tc>
          <w:tcPr>
            <w:tcW w:type="dxa" w:w="3264"/>
            <w:shd w:val="clear" w:color="auto" w:fill="FFFFFF"/>
            <w:vAlign w:val="center"/>
          </w:tcPr>
          <w:p>
            <w:r/>
            <w:r>
              <w:rPr>
                <w:b w:val="0"/>
                <w:sz w:val="18"/>
              </w:rPr>
              <w:t>VARCHAR(100) for names</w:t>
            </w:r>
          </w:p>
        </w:tc>
      </w:tr>
      <w:tr>
        <w:tc>
          <w:tcPr>
            <w:tcW w:type="dxa" w:w="3264"/>
            <w:shd w:val="clear" w:color="auto" w:fill="ECF0F1"/>
            <w:vAlign w:val="center"/>
          </w:tcPr>
          <w:p>
            <w:r/>
            <w:r>
              <w:rPr>
                <w:b w:val="0"/>
                <w:sz w:val="18"/>
              </w:rPr>
              <w:t>TEXT</w:t>
            </w:r>
          </w:p>
        </w:tc>
        <w:tc>
          <w:tcPr>
            <w:tcW w:type="dxa" w:w="3264"/>
            <w:shd w:val="clear" w:color="auto" w:fill="ECF0F1"/>
            <w:vAlign w:val="center"/>
          </w:tcPr>
          <w:p>
            <w:r/>
            <w:r>
              <w:rPr>
                <w:b w:val="0"/>
                <w:sz w:val="18"/>
              </w:rPr>
              <w:t>Variable-length text</w:t>
              <w:br/>
              <w:t>with no practical limit</w:t>
            </w:r>
          </w:p>
        </w:tc>
        <w:tc>
          <w:tcPr>
            <w:tcW w:type="dxa" w:w="3264"/>
            <w:shd w:val="clear" w:color="auto" w:fill="ECF0F1"/>
            <w:vAlign w:val="center"/>
          </w:tcPr>
          <w:p>
            <w:r/>
            <w:r>
              <w:rPr>
                <w:b w:val="0"/>
                <w:sz w:val="18"/>
              </w:rPr>
              <w:t>Long descriptions, notes</w:t>
            </w:r>
          </w:p>
        </w:tc>
      </w:tr>
      <w:tr>
        <w:tc>
          <w:tcPr>
            <w:tcW w:type="dxa" w:w="3264"/>
            <w:shd w:val="clear" w:color="auto" w:fill="FFFFFF"/>
            <w:vAlign w:val="center"/>
          </w:tcPr>
          <w:p>
            <w:r/>
            <w:r>
              <w:rPr>
                <w:b w:val="0"/>
                <w:sz w:val="18"/>
              </w:rPr>
              <w:t>DATE</w:t>
            </w:r>
          </w:p>
        </w:tc>
        <w:tc>
          <w:tcPr>
            <w:tcW w:type="dxa" w:w="3264"/>
            <w:shd w:val="clear" w:color="auto" w:fill="FFFFFF"/>
            <w:vAlign w:val="center"/>
          </w:tcPr>
          <w:p>
            <w:r/>
            <w:r>
              <w:rPr>
                <w:b w:val="0"/>
                <w:sz w:val="18"/>
              </w:rPr>
              <w:t>Calendar date (year-month-day)</w:t>
            </w:r>
          </w:p>
        </w:tc>
        <w:tc>
          <w:tcPr>
            <w:tcW w:type="dxa" w:w="3264"/>
            <w:shd w:val="clear" w:color="auto" w:fill="FFFFFF"/>
            <w:vAlign w:val="center"/>
          </w:tcPr>
          <w:p>
            <w:r/>
            <w:r>
              <w:rPr>
                <w:b w:val="0"/>
                <w:sz w:val="18"/>
              </w:rPr>
              <w:t>'2024-01-15'</w:t>
            </w:r>
          </w:p>
        </w:tc>
      </w:tr>
      <w:tr>
        <w:tc>
          <w:tcPr>
            <w:tcW w:type="dxa" w:w="3264"/>
            <w:shd w:val="clear" w:color="auto" w:fill="ECF0F1"/>
            <w:vAlign w:val="center"/>
          </w:tcPr>
          <w:p>
            <w:r/>
            <w:r>
              <w:rPr>
                <w:b w:val="0"/>
                <w:sz w:val="18"/>
              </w:rPr>
              <w:t>TIMESTAMP</w:t>
            </w:r>
          </w:p>
        </w:tc>
        <w:tc>
          <w:tcPr>
            <w:tcW w:type="dxa" w:w="3264"/>
            <w:shd w:val="clear" w:color="auto" w:fill="ECF0F1"/>
            <w:vAlign w:val="center"/>
          </w:tcPr>
          <w:p>
            <w:r/>
            <w:r>
              <w:rPr>
                <w:b w:val="0"/>
                <w:sz w:val="18"/>
              </w:rPr>
              <w:t>Date and time</w:t>
            </w:r>
          </w:p>
        </w:tc>
        <w:tc>
          <w:tcPr>
            <w:tcW w:type="dxa" w:w="3264"/>
            <w:shd w:val="clear" w:color="auto" w:fill="ECF0F1"/>
            <w:vAlign w:val="center"/>
          </w:tcPr>
          <w:p>
            <w:r/>
            <w:r>
              <w:rPr>
                <w:b w:val="0"/>
                <w:sz w:val="18"/>
              </w:rPr>
              <w:t>'2024-01-15 14:30:00'</w:t>
            </w:r>
          </w:p>
        </w:tc>
      </w:tr>
      <w:tr>
        <w:tc>
          <w:tcPr>
            <w:tcW w:type="dxa" w:w="3264"/>
            <w:shd w:val="clear" w:color="auto" w:fill="FFFFFF"/>
            <w:vAlign w:val="center"/>
          </w:tcPr>
          <w:p>
            <w:r/>
            <w:r>
              <w:rPr>
                <w:b w:val="0"/>
                <w:sz w:val="18"/>
              </w:rPr>
              <w:t>BOOLEAN</w:t>
            </w:r>
          </w:p>
        </w:tc>
        <w:tc>
          <w:tcPr>
            <w:tcW w:type="dxa" w:w="3264"/>
            <w:shd w:val="clear" w:color="auto" w:fill="FFFFFF"/>
            <w:vAlign w:val="center"/>
          </w:tcPr>
          <w:p>
            <w:r/>
            <w:r>
              <w:rPr>
                <w:b w:val="0"/>
                <w:sz w:val="18"/>
              </w:rPr>
              <w:t>TRUE or FALSE</w:t>
            </w:r>
          </w:p>
        </w:tc>
        <w:tc>
          <w:tcPr>
            <w:tcW w:type="dxa" w:w="3264"/>
            <w:shd w:val="clear" w:color="auto" w:fill="FFFFFF"/>
            <w:vAlign w:val="center"/>
          </w:tcPr>
          <w:p>
            <w:r/>
            <w:r>
              <w:rPr>
                <w:b w:val="0"/>
                <w:sz w:val="18"/>
              </w:rPr>
              <w:t>TRUE, FALSE</w:t>
            </w:r>
          </w:p>
        </w:tc>
      </w:tr>
    </w:tbl>
    <w:p/>
    <w:p>
      <w:pPr>
        <w:pStyle w:val="Heading2"/>
      </w:pPr>
      <w:r>
        <w:rPr>
          <w:color w:val="1A1A2E"/>
        </w:rPr>
        <w:t>7.3 Constraints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C3E50"/>
            <w:vAlign w:val="center"/>
          </w:tcPr>
          <w:p>
            <w:pPr>
              <w:jc w:val="center"/>
            </w:pPr>
            <w:r/>
            <w:r>
              <w:rPr>
                <w:b/>
                <w:color w:val="FFFFFF"/>
                <w:sz w:val="20"/>
              </w:rPr>
              <w:t>Constraint</w:t>
            </w:r>
          </w:p>
        </w:tc>
        <w:tc>
          <w:tcPr>
            <w:tcW w:type="dxa" w:w="3264"/>
            <w:shd w:val="clear" w:color="auto" w:fill="2C3E50"/>
            <w:vAlign w:val="center"/>
          </w:tcPr>
          <w:p>
            <w:pPr>
              <w:jc w:val="center"/>
            </w:pPr>
            <w:r/>
            <w:r>
              <w:rPr>
                <w:b/>
                <w:color w:val="FFFFFF"/>
                <w:sz w:val="20"/>
              </w:rPr>
              <w:t>Purpose</w:t>
            </w:r>
          </w:p>
        </w:tc>
        <w:tc>
          <w:tcPr>
            <w:tcW w:type="dxa" w:w="3264"/>
            <w:shd w:val="clear" w:color="auto" w:fill="2C3E50"/>
            <w:vAlign w:val="center"/>
          </w:tcPr>
          <w:p>
            <w:pPr>
              <w:jc w:val="center"/>
            </w:pPr>
            <w:r/>
            <w:r>
              <w:rPr>
                <w:b/>
                <w:color w:val="FFFFFF"/>
                <w:sz w:val="20"/>
              </w:rPr>
              <w:t>Example</w:t>
            </w:r>
          </w:p>
        </w:tc>
      </w:tr>
      <w:tr>
        <w:tc>
          <w:tcPr>
            <w:tcW w:type="dxa" w:w="3264"/>
            <w:shd w:val="clear" w:color="auto" w:fill="ECF0F1"/>
            <w:vAlign w:val="center"/>
          </w:tcPr>
          <w:p>
            <w:r/>
            <w:r>
              <w:rPr>
                <w:b w:val="0"/>
                <w:sz w:val="18"/>
              </w:rPr>
              <w:t>PRIMARY KEY</w:t>
            </w:r>
          </w:p>
        </w:tc>
        <w:tc>
          <w:tcPr>
            <w:tcW w:type="dxa" w:w="3264"/>
            <w:shd w:val="clear" w:color="auto" w:fill="ECF0F1"/>
            <w:vAlign w:val="center"/>
          </w:tcPr>
          <w:p>
            <w:r/>
            <w:r>
              <w:rPr>
                <w:b w:val="0"/>
                <w:sz w:val="18"/>
              </w:rPr>
              <w:t>Uniquely identifies each row;</w:t>
              <w:br/>
              <w:t>automatically indexed</w:t>
            </w:r>
          </w:p>
        </w:tc>
        <w:tc>
          <w:tcPr>
            <w:tcW w:type="dxa" w:w="3264"/>
            <w:shd w:val="clear" w:color="auto" w:fill="ECF0F1"/>
            <w:vAlign w:val="center"/>
          </w:tcPr>
          <w:p>
            <w:r/>
            <w:r>
              <w:rPr>
                <w:b w:val="0"/>
                <w:sz w:val="18"/>
              </w:rPr>
              <w:t>customer_id SERIAL</w:t>
              <w:br/>
              <w:t>PRIMARY KEY</w:t>
            </w:r>
          </w:p>
        </w:tc>
      </w:tr>
      <w:tr>
        <w:tc>
          <w:tcPr>
            <w:tcW w:type="dxa" w:w="3264"/>
            <w:shd w:val="clear" w:color="auto" w:fill="FFFFFF"/>
            <w:vAlign w:val="center"/>
          </w:tcPr>
          <w:p>
            <w:r/>
            <w:r>
              <w:rPr>
                <w:b w:val="0"/>
                <w:sz w:val="18"/>
              </w:rPr>
              <w:t>NOT NULL</w:t>
            </w:r>
          </w:p>
        </w:tc>
        <w:tc>
          <w:tcPr>
            <w:tcW w:type="dxa" w:w="3264"/>
            <w:shd w:val="clear" w:color="auto" w:fill="FFFFFF"/>
            <w:vAlign w:val="center"/>
          </w:tcPr>
          <w:p>
            <w:r/>
            <w:r>
              <w:rPr>
                <w:b w:val="0"/>
                <w:sz w:val="18"/>
              </w:rPr>
              <w:t>Column cannot contain</w:t>
              <w:br/>
              <w:t>NULL values</w:t>
            </w:r>
          </w:p>
        </w:tc>
        <w:tc>
          <w:tcPr>
            <w:tcW w:type="dxa" w:w="3264"/>
            <w:shd w:val="clear" w:color="auto" w:fill="FFFFFF"/>
            <w:vAlign w:val="center"/>
          </w:tcPr>
          <w:p>
            <w:r/>
            <w:r>
              <w:rPr>
                <w:b w:val="0"/>
                <w:sz w:val="18"/>
              </w:rPr>
              <w:t>customer_name</w:t>
              <w:br/>
              <w:t>VARCHAR(100) NOT NULL</w:t>
            </w:r>
          </w:p>
        </w:tc>
      </w:tr>
      <w:tr>
        <w:tc>
          <w:tcPr>
            <w:tcW w:type="dxa" w:w="3264"/>
            <w:shd w:val="clear" w:color="auto" w:fill="ECF0F1"/>
            <w:vAlign w:val="center"/>
          </w:tcPr>
          <w:p>
            <w:r/>
            <w:r>
              <w:rPr>
                <w:b w:val="0"/>
                <w:sz w:val="18"/>
              </w:rPr>
              <w:t>FOREIGN KEY</w:t>
              <w:br/>
              <w:t>(REFERENCES)</w:t>
            </w:r>
          </w:p>
        </w:tc>
        <w:tc>
          <w:tcPr>
            <w:tcW w:type="dxa" w:w="3264"/>
            <w:shd w:val="clear" w:color="auto" w:fill="ECF0F1"/>
            <w:vAlign w:val="center"/>
          </w:tcPr>
          <w:p>
            <w:r/>
            <w:r>
              <w:rPr>
                <w:b w:val="0"/>
                <w:sz w:val="18"/>
              </w:rPr>
              <w:t>Enforces referential integrity</w:t>
              <w:br/>
              <w:t>— value must exist in</w:t>
              <w:br/>
              <w:t>referenced table</w:t>
            </w:r>
          </w:p>
        </w:tc>
        <w:tc>
          <w:tcPr>
            <w:tcW w:type="dxa" w:w="3264"/>
            <w:shd w:val="clear" w:color="auto" w:fill="ECF0F1"/>
            <w:vAlign w:val="center"/>
          </w:tcPr>
          <w:p>
            <w:r/>
            <w:r>
              <w:rPr>
                <w:b w:val="0"/>
                <w:sz w:val="18"/>
              </w:rPr>
              <w:t>customer_id INTEGER</w:t>
              <w:br/>
              <w:t>REFERENCES</w:t>
              <w:br/>
              <w:t>customers(customer_id)</w:t>
            </w:r>
          </w:p>
        </w:tc>
      </w:tr>
      <w:tr>
        <w:tc>
          <w:tcPr>
            <w:tcW w:type="dxa" w:w="3264"/>
            <w:shd w:val="clear" w:color="auto" w:fill="FFFFFF"/>
            <w:vAlign w:val="center"/>
          </w:tcPr>
          <w:p>
            <w:r/>
            <w:r>
              <w:rPr>
                <w:b w:val="0"/>
                <w:sz w:val="18"/>
              </w:rPr>
              <w:t>DEFAULT</w:t>
            </w:r>
          </w:p>
        </w:tc>
        <w:tc>
          <w:tcPr>
            <w:tcW w:type="dxa" w:w="3264"/>
            <w:shd w:val="clear" w:color="auto" w:fill="FFFFFF"/>
            <w:vAlign w:val="center"/>
          </w:tcPr>
          <w:p>
            <w:r/>
            <w:r>
              <w:rPr>
                <w:b w:val="0"/>
                <w:sz w:val="18"/>
              </w:rPr>
              <w:t>Provides a fallback value</w:t>
              <w:br/>
              <w:t>when none is supplied</w:t>
            </w:r>
          </w:p>
        </w:tc>
        <w:tc>
          <w:tcPr>
            <w:tcW w:type="dxa" w:w="3264"/>
            <w:shd w:val="clear" w:color="auto" w:fill="FFFFFF"/>
            <w:vAlign w:val="center"/>
          </w:tcPr>
          <w:p>
            <w:r/>
            <w:r>
              <w:rPr>
                <w:b w:val="0"/>
                <w:sz w:val="18"/>
              </w:rPr>
              <w:t>status VARCHAR(20)</w:t>
              <w:br/>
              <w:t>DEFAULT 'Pending'</w:t>
            </w:r>
          </w:p>
        </w:tc>
      </w:tr>
      <w:tr>
        <w:tc>
          <w:tcPr>
            <w:tcW w:type="dxa" w:w="3264"/>
            <w:shd w:val="clear" w:color="auto" w:fill="ECF0F1"/>
            <w:vAlign w:val="center"/>
          </w:tcPr>
          <w:p>
            <w:r/>
            <w:r>
              <w:rPr>
                <w:b w:val="0"/>
                <w:sz w:val="18"/>
              </w:rPr>
              <w:t>UNIQUE</w:t>
            </w:r>
          </w:p>
        </w:tc>
        <w:tc>
          <w:tcPr>
            <w:tcW w:type="dxa" w:w="3264"/>
            <w:shd w:val="clear" w:color="auto" w:fill="ECF0F1"/>
            <w:vAlign w:val="center"/>
          </w:tcPr>
          <w:p>
            <w:r/>
            <w:r>
              <w:rPr>
                <w:b w:val="0"/>
                <w:sz w:val="18"/>
              </w:rPr>
              <w:t>No duplicate values allowed</w:t>
              <w:br/>
              <w:t>in this column</w:t>
            </w:r>
          </w:p>
        </w:tc>
        <w:tc>
          <w:tcPr>
            <w:tcW w:type="dxa" w:w="3264"/>
            <w:shd w:val="clear" w:color="auto" w:fill="ECF0F1"/>
            <w:vAlign w:val="center"/>
          </w:tcPr>
          <w:p>
            <w:r/>
            <w:r>
              <w:rPr>
                <w:b w:val="0"/>
                <w:sz w:val="18"/>
              </w:rPr>
              <w:t>email VARCHAR(255)</w:t>
              <w:br/>
              <w:t>UNIQUE</w:t>
            </w:r>
          </w:p>
        </w:tc>
      </w:tr>
    </w:tbl>
    <w:p/>
    <w:p>
      <w:r>
        <w:br w:type="page"/>
      </w:r>
    </w:p>
    <w:p>
      <w:pPr>
        <w:pStyle w:val="Heading1"/>
      </w:pPr>
      <w:r>
        <w:rPr>
          <w:color w:val="1A1A2E"/>
        </w:rPr>
        <w:t>8. Key Terms Glossary</w:t>
      </w:r>
    </w:p>
    <w:p>
      <w:pPr>
        <w:spacing w:after="80"/>
      </w:pPr>
      <w:r>
        <w:rPr>
          <w:b/>
          <w:color w:val="2C3E50"/>
          <w:sz w:val="20"/>
        </w:rPr>
        <w:t xml:space="preserve">ACID: </w:t>
      </w:r>
      <w:r>
        <w:rPr>
          <w:sz w:val="20"/>
        </w:rPr>
        <w:t>Atomicity, Consistency, Isolation, Durability — the four properties that guarantee reliable processing of database transactions. Relational databases provide ACID guarantees; most NoSQL databases trade some ACID properties for scalability.</w:t>
      </w:r>
    </w:p>
    <w:p>
      <w:pPr>
        <w:spacing w:after="80"/>
      </w:pPr>
      <w:r>
        <w:rPr>
          <w:b/>
          <w:color w:val="2C3E50"/>
          <w:sz w:val="20"/>
        </w:rPr>
        <w:t xml:space="preserve">B-tree: </w:t>
      </w:r>
      <w:r>
        <w:rPr>
          <w:sz w:val="20"/>
        </w:rPr>
        <w:t>A balanced tree data structure used internally by most database indexes. It allows the database to locate any value in logarithmic time rather than scanning every row.</w:t>
      </w:r>
    </w:p>
    <w:p>
      <w:pPr>
        <w:spacing w:after="80"/>
      </w:pPr>
      <w:r>
        <w:rPr>
          <w:b/>
          <w:color w:val="2C3E50"/>
          <w:sz w:val="20"/>
        </w:rPr>
        <w:t xml:space="preserve">Cardinality: </w:t>
      </w:r>
      <w:r>
        <w:rPr>
          <w:sz w:val="20"/>
        </w:rPr>
        <w:t>The number of unique values in a column. High-cardinality columns (like customer_id) benefit most from indexing.</w:t>
      </w:r>
    </w:p>
    <w:p>
      <w:pPr>
        <w:spacing w:after="80"/>
      </w:pPr>
      <w:r>
        <w:rPr>
          <w:b/>
          <w:color w:val="2C3E50"/>
          <w:sz w:val="20"/>
        </w:rPr>
        <w:t xml:space="preserve">CASE Expression: </w:t>
      </w:r>
      <w:r>
        <w:rPr>
          <w:sz w:val="20"/>
        </w:rPr>
        <w:t>SQL’s conditional logic construct (IF-THEN-ELSE). Evaluates conditions top to bottom and returns the value for the first TRUE condition.</w:t>
      </w:r>
    </w:p>
    <w:p>
      <w:pPr>
        <w:spacing w:after="80"/>
      </w:pPr>
      <w:r>
        <w:rPr>
          <w:b/>
          <w:color w:val="2C3E50"/>
          <w:sz w:val="20"/>
        </w:rPr>
        <w:t xml:space="preserve">COALESCE: </w:t>
      </w:r>
      <w:r>
        <w:rPr>
          <w:sz w:val="20"/>
        </w:rPr>
        <w:t>A function that returns the first non-NULL value from a list of arguments. Used for data cleansing and replacing missing values.</w:t>
      </w:r>
    </w:p>
    <w:p>
      <w:pPr>
        <w:spacing w:after="80"/>
      </w:pPr>
      <w:r>
        <w:rPr>
          <w:b/>
          <w:color w:val="2C3E50"/>
          <w:sz w:val="20"/>
        </w:rPr>
        <w:t xml:space="preserve">Composite Index: </w:t>
      </w:r>
      <w:r>
        <w:rPr>
          <w:sz w:val="20"/>
        </w:rPr>
        <w:t>An index on two or more columns, allowing the database to satisfy multi-column WHERE conditions in a single index lookup.</w:t>
      </w:r>
    </w:p>
    <w:p>
      <w:pPr>
        <w:spacing w:after="80"/>
      </w:pPr>
      <w:r>
        <w:rPr>
          <w:b/>
          <w:color w:val="2C3E50"/>
          <w:sz w:val="20"/>
        </w:rPr>
        <w:t xml:space="preserve">Computational Re-use: </w:t>
      </w:r>
      <w:r>
        <w:rPr>
          <w:sz w:val="20"/>
        </w:rPr>
        <w:t>The principle of computing an expensive operation once, storing the result, and referencing it multiple times — avoiding redundant re-computation.</w:t>
      </w:r>
    </w:p>
    <w:p>
      <w:pPr>
        <w:spacing w:after="80"/>
      </w:pPr>
      <w:r>
        <w:rPr>
          <w:b/>
          <w:color w:val="2C3E50"/>
          <w:sz w:val="20"/>
        </w:rPr>
        <w:t xml:space="preserve">Conditional Aggregation: </w:t>
      </w:r>
      <w:r>
        <w:rPr>
          <w:sz w:val="20"/>
        </w:rPr>
        <w:t>Using a CASE expression inside an aggregate function (e.g., SUM(CASE WHEN ... THEN ... ELSE 0 END)) to compute multiple category-specific aggregates in a single query.</w:t>
      </w:r>
    </w:p>
    <w:p>
      <w:pPr>
        <w:spacing w:after="80"/>
      </w:pPr>
      <w:r>
        <w:rPr>
          <w:b/>
          <w:color w:val="2C3E50"/>
          <w:sz w:val="20"/>
        </w:rPr>
        <w:t xml:space="preserve">Correlated Subquery: </w:t>
      </w:r>
      <w:r>
        <w:rPr>
          <w:sz w:val="20"/>
        </w:rPr>
        <w:t>A subquery that references a column from the outer query and must re-execute for every row of the outer query. Often a performance bottleneck.</w:t>
      </w:r>
    </w:p>
    <w:p>
      <w:pPr>
        <w:spacing w:after="80"/>
      </w:pPr>
      <w:r>
        <w:rPr>
          <w:b/>
          <w:color w:val="2C3E50"/>
          <w:sz w:val="20"/>
        </w:rPr>
        <w:t xml:space="preserve">COUNT(DISTINCT): </w:t>
      </w:r>
      <w:r>
        <w:rPr>
          <w:sz w:val="20"/>
        </w:rPr>
        <w:t>An aggregate function that counts only unique, non-NULL values, eliminating duplicates before counting.</w:t>
      </w:r>
    </w:p>
    <w:p>
      <w:pPr>
        <w:spacing w:after="80"/>
      </w:pPr>
      <w:r>
        <w:rPr>
          <w:b/>
          <w:color w:val="2C3E50"/>
          <w:sz w:val="20"/>
        </w:rPr>
        <w:t xml:space="preserve">CTE: </w:t>
      </w:r>
      <w:r>
        <w:rPr>
          <w:sz w:val="20"/>
        </w:rPr>
        <w:t>Common Table Expression — a named temporary result set defined with WITH ... AS that exists only for the duration of a single query.</w:t>
      </w:r>
    </w:p>
    <w:p>
      <w:pPr>
        <w:spacing w:after="80"/>
      </w:pPr>
      <w:r>
        <w:rPr>
          <w:b/>
          <w:color w:val="2C3E50"/>
          <w:sz w:val="20"/>
        </w:rPr>
        <w:t xml:space="preserve">DATE_TRUNC: </w:t>
      </w:r>
      <w:r>
        <w:rPr>
          <w:sz w:val="20"/>
        </w:rPr>
        <w:t>A function that rounds a date or timestamp down to the start of a specified time unit (hour, day, month, etc.).</w:t>
      </w:r>
    </w:p>
    <w:p>
      <w:pPr>
        <w:spacing w:after="80"/>
      </w:pPr>
      <w:r>
        <w:rPr>
          <w:b/>
          <w:color w:val="2C3E50"/>
          <w:sz w:val="20"/>
        </w:rPr>
        <w:t xml:space="preserve">Document Store: </w:t>
      </w:r>
      <w:r>
        <w:rPr>
          <w:sz w:val="20"/>
        </w:rPr>
        <w:t>A NoSQL database category that stores data as flexible JSON/BSON documents. Understands the internal structure and can query within documents. Examples: MongoDB, Couchbase.</w:t>
      </w:r>
    </w:p>
    <w:p>
      <w:pPr>
        <w:spacing w:after="80"/>
      </w:pPr>
      <w:r>
        <w:rPr>
          <w:b/>
          <w:color w:val="2C3E50"/>
          <w:sz w:val="20"/>
        </w:rPr>
        <w:t xml:space="preserve">ELT: </w:t>
      </w:r>
      <w:r>
        <w:rPr>
          <w:sz w:val="20"/>
        </w:rPr>
        <w:t>Extract, Load, Transform — a modern data pipeline pattern where raw data is loaded into the warehouse first, then transformed using SQL inside the warehouse.</w:t>
      </w:r>
    </w:p>
    <w:p>
      <w:pPr>
        <w:spacing w:after="80"/>
      </w:pPr>
      <w:r>
        <w:rPr>
          <w:b/>
          <w:color w:val="2C3E50"/>
          <w:sz w:val="20"/>
        </w:rPr>
        <w:t xml:space="preserve">ETL: </w:t>
      </w:r>
      <w:r>
        <w:rPr>
          <w:sz w:val="20"/>
        </w:rPr>
        <w:t>Extract, Transform, Load — a traditional data pipeline pattern where data is transformed before loading into the warehouse.</w:t>
      </w:r>
    </w:p>
    <w:p>
      <w:pPr>
        <w:spacing w:after="80"/>
      </w:pPr>
      <w:r>
        <w:rPr>
          <w:b/>
          <w:color w:val="2C3E50"/>
          <w:sz w:val="20"/>
        </w:rPr>
        <w:t xml:space="preserve">Eventual Consistency: </w:t>
      </w:r>
      <w:r>
        <w:rPr>
          <w:sz w:val="20"/>
        </w:rPr>
        <w:t>A consistency model where the database guarantees that all replicas will eventually return the same data, but not immediately.</w:t>
      </w:r>
    </w:p>
    <w:p>
      <w:pPr>
        <w:spacing w:after="80"/>
      </w:pPr>
      <w:r>
        <w:rPr>
          <w:b/>
          <w:color w:val="2C3E50"/>
          <w:sz w:val="20"/>
        </w:rPr>
        <w:t xml:space="preserve">EXPLAIN / EXPLAIN ANALYZE: </w:t>
      </w:r>
      <w:r>
        <w:rPr>
          <w:sz w:val="20"/>
        </w:rPr>
        <w:t>SQL commands that display the Query Execution Plan. EXPLAIN shows the estimated plan; EXPLAIN ANALYZE runs the query and shows actual execution statistics.</w:t>
      </w:r>
    </w:p>
    <w:p>
      <w:pPr>
        <w:spacing w:after="80"/>
      </w:pPr>
      <w:r>
        <w:rPr>
          <w:b/>
          <w:color w:val="2C3E50"/>
          <w:sz w:val="20"/>
        </w:rPr>
        <w:t xml:space="preserve">EXTRACT: </w:t>
      </w:r>
      <w:r>
        <w:rPr>
          <w:sz w:val="20"/>
        </w:rPr>
        <w:t>A function that pulls a specific component (year, month, day, day-of-week, etc.) from a date or timestamp value.</w:t>
      </w:r>
    </w:p>
    <w:p>
      <w:pPr>
        <w:spacing w:after="80"/>
      </w:pPr>
      <w:r>
        <w:rPr>
          <w:b/>
          <w:color w:val="2C3E50"/>
          <w:sz w:val="20"/>
        </w:rPr>
        <w:t xml:space="preserve">Full Table Scan (Seq Scan): </w:t>
      </w:r>
      <w:r>
        <w:rPr>
          <w:sz w:val="20"/>
        </w:rPr>
        <w:t>A database operation where every row in the table is read sequentially. The default behaviour when no index exists on the filtered column. Slow on large tables.</w:t>
      </w:r>
    </w:p>
    <w:p>
      <w:pPr>
        <w:spacing w:after="80"/>
      </w:pPr>
      <w:r>
        <w:rPr>
          <w:b/>
          <w:color w:val="2C3E50"/>
          <w:sz w:val="20"/>
        </w:rPr>
        <w:t xml:space="preserve">Horizontal Scaling: </w:t>
      </w:r>
      <w:r>
        <w:rPr>
          <w:sz w:val="20"/>
        </w:rPr>
        <w:t>Adding more servers to handle increased load, as opposed to vertical scaling (upgrading a single server). NoSQL databases are typically designed for horizontal scaling.</w:t>
      </w:r>
    </w:p>
    <w:p>
      <w:pPr>
        <w:spacing w:after="80"/>
      </w:pPr>
      <w:r>
        <w:rPr>
          <w:b/>
          <w:color w:val="2C3E50"/>
          <w:sz w:val="20"/>
        </w:rPr>
        <w:t xml:space="preserve">Index Scan: </w:t>
      </w:r>
      <w:r>
        <w:rPr>
          <w:sz w:val="20"/>
        </w:rPr>
        <w:t>A database operation that uses an index to jump directly to matching rows without reading the entire table. Much faster than a Full Table Scan.</w:t>
      </w:r>
    </w:p>
    <w:p>
      <w:pPr>
        <w:spacing w:after="80"/>
      </w:pPr>
      <w:r>
        <w:rPr>
          <w:b/>
          <w:color w:val="2C3E50"/>
          <w:sz w:val="20"/>
        </w:rPr>
        <w:t xml:space="preserve">Key-Value Store: </w:t>
      </w:r>
      <w:r>
        <w:rPr>
          <w:sz w:val="20"/>
        </w:rPr>
        <w:t>The simplest NoSQL category. Stores data as key-value pairs where the value is opaque (the database cannot query within it). Examples: Redis, Memcached.</w:t>
      </w:r>
    </w:p>
    <w:p>
      <w:pPr>
        <w:spacing w:after="80"/>
      </w:pPr>
      <w:r>
        <w:rPr>
          <w:b/>
          <w:color w:val="2C3E50"/>
          <w:sz w:val="20"/>
        </w:rPr>
        <w:t xml:space="preserve">LIMIT: </w:t>
      </w:r>
      <w:r>
        <w:rPr>
          <w:sz w:val="20"/>
        </w:rPr>
        <w:t>A clause that caps the number of rows returned to the client. An analyst workflow tool, not a query performance optimiser.</w:t>
      </w:r>
    </w:p>
    <w:p>
      <w:pPr>
        <w:spacing w:after="80"/>
      </w:pPr>
      <w:r>
        <w:rPr>
          <w:b/>
          <w:color w:val="2C3E50"/>
          <w:sz w:val="20"/>
        </w:rPr>
        <w:t xml:space="preserve">NULL: </w:t>
      </w:r>
      <w:r>
        <w:rPr>
          <w:sz w:val="20"/>
        </w:rPr>
        <w:t>A special marker indicating the absence of a value. NULL is not zero, not an empty string — it means ‘unknown’ or ‘not applicable’. Arithmetic with NULL produces NULL.</w:t>
      </w:r>
    </w:p>
    <w:p>
      <w:pPr>
        <w:spacing w:after="80"/>
      </w:pPr>
      <w:r>
        <w:rPr>
          <w:b/>
          <w:color w:val="2C3E50"/>
          <w:sz w:val="20"/>
        </w:rPr>
        <w:t xml:space="preserve">Parametrization: </w:t>
      </w:r>
      <w:r>
        <w:rPr>
          <w:sz w:val="20"/>
        </w:rPr>
        <w:t>Using placeholder variables in queries instead of hardcoded values. Improves security (prevents SQL injection) and performance (allows execution plan caching).</w:t>
      </w:r>
    </w:p>
    <w:p>
      <w:pPr>
        <w:spacing w:after="80"/>
      </w:pPr>
      <w:r>
        <w:rPr>
          <w:b/>
          <w:color w:val="2C3E50"/>
          <w:sz w:val="20"/>
        </w:rPr>
        <w:t xml:space="preserve">Query Execution Plan: </w:t>
      </w:r>
      <w:r>
        <w:rPr>
          <w:sz w:val="20"/>
        </w:rPr>
        <w:t>A detailed report showing how the database engine executes a query — the access methods, join strategies, row counts, and costs at each step.</w:t>
      </w:r>
    </w:p>
    <w:p>
      <w:pPr>
        <w:spacing w:after="80"/>
      </w:pPr>
      <w:r>
        <w:rPr>
          <w:b/>
          <w:color w:val="2C3E50"/>
          <w:sz w:val="20"/>
        </w:rPr>
        <w:t xml:space="preserve">Referential Integrity: </w:t>
      </w:r>
      <w:r>
        <w:rPr>
          <w:sz w:val="20"/>
        </w:rPr>
        <w:t>The guarantee that a foreign key value always points to an existing record in the referenced table. Enforced by relational databases; not enforced by most NoSQL databases.</w:t>
      </w:r>
    </w:p>
    <w:p>
      <w:pPr>
        <w:spacing w:after="80"/>
      </w:pPr>
      <w:r>
        <w:rPr>
          <w:b/>
          <w:color w:val="2C3E50"/>
          <w:sz w:val="20"/>
        </w:rPr>
        <w:t xml:space="preserve">Schema-on-Read: </w:t>
      </w:r>
      <w:r>
        <w:rPr>
          <w:sz w:val="20"/>
        </w:rPr>
        <w:t>A pattern where structure is imposed on data at query time rather than at write time. Typical of NoSQL databases.</w:t>
      </w:r>
    </w:p>
    <w:p>
      <w:pPr>
        <w:spacing w:after="80"/>
      </w:pPr>
      <w:r>
        <w:rPr>
          <w:b/>
          <w:color w:val="2C3E50"/>
          <w:sz w:val="20"/>
        </w:rPr>
        <w:t xml:space="preserve">Schema-on-Write: </w:t>
      </w:r>
      <w:r>
        <w:rPr>
          <w:sz w:val="20"/>
        </w:rPr>
        <w:t>A pattern where structure is enforced at write time (INSERT). Typical of relational databases. Data must conform to the schema before it can be stored.</w:t>
      </w:r>
    </w:p>
    <w:p>
      <w:pPr>
        <w:spacing w:after="80"/>
      </w:pPr>
      <w:r>
        <w:rPr>
          <w:b/>
          <w:color w:val="2C3E50"/>
          <w:sz w:val="20"/>
        </w:rPr>
        <w:t xml:space="preserve">SQL Injection: </w:t>
      </w:r>
      <w:r>
        <w:rPr>
          <w:sz w:val="20"/>
        </w:rPr>
        <w:t>A security vulnerability where malicious SQL code is inserted into a query through unsanitised user input. Prevented by parametrised queries.</w:t>
      </w:r>
    </w:p>
    <w:p>
      <w:pPr>
        <w:spacing w:after="80"/>
      </w:pPr>
      <w:r>
        <w:rPr>
          <w:b/>
          <w:color w:val="2C3E50"/>
          <w:sz w:val="20"/>
        </w:rPr>
        <w:t xml:space="preserve">Temporary Table: </w:t>
      </w:r>
      <w:r>
        <w:rPr>
          <w:sz w:val="20"/>
        </w:rPr>
        <w:t>A physical table that exists for the duration of a database session. Used to store intermediate results for cross-query re-use within the session.</w:t>
      </w:r>
    </w:p>
    <w:p/>
    <w:p/>
    <w:p>
      <w:pPr>
        <w:spacing w:after="120"/>
        <w:jc w:val="center"/>
      </w:pPr>
      <w:r>
        <w:rPr>
          <w:color w:val="2C3E50"/>
          <w:sz w:val="18"/>
        </w:rPr>
        <w:t>Unit 10B-2 — Advanced SQL &amp; Query Optimization — Learner Edition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