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85A2DB" w14:textId="3EB9F816" w:rsidR="007751FB" w:rsidRPr="002E590D" w:rsidRDefault="004C6A5A" w:rsidP="007751FB">
      <w:pPr>
        <w:rPr>
          <w:b/>
          <w:i/>
        </w:rPr>
      </w:pPr>
      <w:r w:rsidRPr="000458E0">
        <w:rPr>
          <w:b/>
        </w:rPr>
        <w:t>Supplementary material</w:t>
      </w:r>
      <w:r w:rsidR="007751FB">
        <w:rPr>
          <w:b/>
        </w:rPr>
        <w:t xml:space="preserve"> for “</w:t>
      </w:r>
      <w:r w:rsidR="007751FB" w:rsidRPr="002E590D">
        <w:rPr>
          <w:b/>
          <w:i/>
        </w:rPr>
        <w:t>Mountain ecosystem services affected by land use changes and hydrological control wo</w:t>
      </w:r>
      <w:r w:rsidR="007751FB">
        <w:rPr>
          <w:b/>
          <w:i/>
        </w:rPr>
        <w:t>rks in Mediterranean catchments”</w:t>
      </w:r>
    </w:p>
    <w:p w14:paraId="3BEAEB25" w14:textId="1BFE82B1" w:rsidR="002D1004" w:rsidRPr="000458E0" w:rsidRDefault="002D1004">
      <w:pPr>
        <w:rPr>
          <w:b/>
        </w:rPr>
      </w:pPr>
    </w:p>
    <w:p w14:paraId="3E4BB1D9" w14:textId="44EDB49B" w:rsidR="004C6A5A" w:rsidRPr="000458E0" w:rsidRDefault="004C6A5A">
      <w:pPr>
        <w:rPr>
          <w:b/>
        </w:rPr>
      </w:pPr>
      <w:r w:rsidRPr="000458E0">
        <w:rPr>
          <w:b/>
        </w:rPr>
        <w:t>S1</w:t>
      </w:r>
      <w:r w:rsidR="000458E0" w:rsidRPr="000458E0">
        <w:rPr>
          <w:b/>
        </w:rPr>
        <w:t>. Supplementary information for the study area</w:t>
      </w:r>
    </w:p>
    <w:p w14:paraId="78F2AFA4" w14:textId="3CC32D04" w:rsidR="004C6A5A" w:rsidRPr="00DD12E6" w:rsidRDefault="00EB0A50" w:rsidP="004C6A5A">
      <w:pPr>
        <w:pStyle w:val="Prrafodelista"/>
        <w:ind w:left="0"/>
        <w:jc w:val="both"/>
        <w:rPr>
          <w:lang w:val="en-GB"/>
        </w:rPr>
      </w:pPr>
      <w:r>
        <w:rPr>
          <w:lang w:val="en-GB"/>
        </w:rPr>
        <w:t xml:space="preserve">The study catchment has </w:t>
      </w:r>
      <w:r w:rsidRPr="00EB0A50">
        <w:rPr>
          <w:lang w:val="en-GB"/>
        </w:rPr>
        <w:t xml:space="preserve">elevations ranging from 800 to 2080 </w:t>
      </w:r>
      <w:proofErr w:type="gramStart"/>
      <w:r w:rsidRPr="00EB0A50">
        <w:rPr>
          <w:lang w:val="en-GB"/>
        </w:rPr>
        <w:t>m,</w:t>
      </w:r>
      <w:proofErr w:type="gramEnd"/>
      <w:r w:rsidRPr="00EB0A50">
        <w:rPr>
          <w:lang w:val="en-GB"/>
        </w:rPr>
        <w:t xml:space="preserve"> it belongs to the Sub-</w:t>
      </w:r>
      <w:proofErr w:type="spellStart"/>
      <w:r w:rsidRPr="00EB0A50">
        <w:rPr>
          <w:lang w:val="en-GB"/>
        </w:rPr>
        <w:t>betic</w:t>
      </w:r>
      <w:proofErr w:type="spellEnd"/>
      <w:r w:rsidRPr="00EB0A50">
        <w:rPr>
          <w:lang w:val="en-GB"/>
        </w:rPr>
        <w:t xml:space="preserve"> mountainous area of the alpine </w:t>
      </w:r>
      <w:proofErr w:type="spellStart"/>
      <w:r w:rsidRPr="00EB0A50">
        <w:rPr>
          <w:lang w:val="en-GB"/>
        </w:rPr>
        <w:t>Betic</w:t>
      </w:r>
      <w:proofErr w:type="spellEnd"/>
      <w:r w:rsidRPr="00EB0A50">
        <w:rPr>
          <w:lang w:val="en-GB"/>
        </w:rPr>
        <w:t xml:space="preserve"> Mountains in SE Spain. The Upper </w:t>
      </w:r>
      <w:proofErr w:type="spellStart"/>
      <w:r w:rsidRPr="00EB0A50">
        <w:rPr>
          <w:lang w:val="en-GB"/>
        </w:rPr>
        <w:t>Taibilla</w:t>
      </w:r>
      <w:proofErr w:type="spellEnd"/>
      <w:r w:rsidRPr="00EB0A50">
        <w:rPr>
          <w:lang w:val="en-GB"/>
        </w:rPr>
        <w:t xml:space="preserve"> catchment (Figure 1</w:t>
      </w:r>
      <w:r w:rsidR="00091903">
        <w:rPr>
          <w:lang w:val="en-GB"/>
        </w:rPr>
        <w:t xml:space="preserve"> of the paper</w:t>
      </w:r>
      <w:r w:rsidRPr="00EB0A50">
        <w:rPr>
          <w:lang w:val="en-GB"/>
        </w:rPr>
        <w:t>), (320</w:t>
      </w:r>
      <w:r w:rsidR="00230549">
        <w:rPr>
          <w:lang w:val="en-GB"/>
        </w:rPr>
        <w:t xml:space="preserve"> </w:t>
      </w:r>
      <w:r w:rsidRPr="00EB0A50">
        <w:rPr>
          <w:lang w:val="en-GB"/>
        </w:rPr>
        <w:t>km</w:t>
      </w:r>
      <w:r w:rsidRPr="000D45BB">
        <w:rPr>
          <w:vertAlign w:val="superscript"/>
          <w:lang w:val="en-GB"/>
        </w:rPr>
        <w:t>2</w:t>
      </w:r>
      <w:r w:rsidR="00230549" w:rsidRPr="00230549">
        <w:rPr>
          <w:lang w:val="en-GB"/>
        </w:rPr>
        <w:t xml:space="preserve">, </w:t>
      </w:r>
      <w:r w:rsidR="00230549" w:rsidRPr="000D45BB">
        <w:rPr>
          <w:lang w:val="en-GB"/>
        </w:rPr>
        <w:t>ETRS89 - UTM 30 565029</w:t>
      </w:r>
      <w:r w:rsidR="00230549">
        <w:rPr>
          <w:lang w:val="en-GB"/>
        </w:rPr>
        <w:t>,</w:t>
      </w:r>
      <w:r w:rsidR="00230549" w:rsidRPr="000D45BB">
        <w:rPr>
          <w:lang w:val="en-GB"/>
        </w:rPr>
        <w:t xml:space="preserve"> </w:t>
      </w:r>
      <w:proofErr w:type="gramStart"/>
      <w:r w:rsidR="00230549" w:rsidRPr="000D45BB">
        <w:rPr>
          <w:lang w:val="en-GB"/>
        </w:rPr>
        <w:t xml:space="preserve">4226930 </w:t>
      </w:r>
      <w:r w:rsidRPr="00EB0A50">
        <w:rPr>
          <w:lang w:val="en-GB"/>
        </w:rPr>
        <w:t>)</w:t>
      </w:r>
      <w:proofErr w:type="gramEnd"/>
      <w:r w:rsidRPr="00EB0A50">
        <w:rPr>
          <w:lang w:val="en-GB"/>
        </w:rPr>
        <w:t xml:space="preserve"> drains to the </w:t>
      </w:r>
      <w:proofErr w:type="spellStart"/>
      <w:r w:rsidRPr="00EB0A50">
        <w:rPr>
          <w:lang w:val="en-GB"/>
        </w:rPr>
        <w:t>Taibilla</w:t>
      </w:r>
      <w:proofErr w:type="spellEnd"/>
      <w:r w:rsidRPr="00EB0A50">
        <w:rPr>
          <w:lang w:val="en-GB"/>
        </w:rPr>
        <w:t xml:space="preserve"> reservoir, which provides water for domestic use and irrigation to a population of 2 million </w:t>
      </w:r>
      <w:r w:rsidRPr="00AE78FD">
        <w:rPr>
          <w:lang w:val="en-GB"/>
        </w:rPr>
        <w:t xml:space="preserve">inhabitants </w:t>
      </w:r>
      <w:r w:rsidR="00933EE0" w:rsidRPr="00AE78FD">
        <w:rPr>
          <w:lang w:val="en-GB"/>
        </w:rPr>
        <w:t>of</w:t>
      </w:r>
      <w:r w:rsidRPr="00EB0A50">
        <w:rPr>
          <w:lang w:val="en-GB"/>
        </w:rPr>
        <w:t xml:space="preserve"> the Region of Murcia and the South of Alicante province</w:t>
      </w:r>
      <w:r w:rsidR="00230549">
        <w:rPr>
          <w:lang w:val="en-GB"/>
        </w:rPr>
        <w:t xml:space="preserve">. </w:t>
      </w:r>
      <w:r w:rsidR="004C6A5A" w:rsidRPr="00DD12E6">
        <w:rPr>
          <w:lang w:val="en-GB"/>
        </w:rPr>
        <w:t xml:space="preserve">This catchment has a lithology consisting mainly of limestone at higher elevations and marls in valleys, all of Cretaceous, Oligocene, and Miocene origin (IGME, 1980). The dominant soil types are </w:t>
      </w:r>
      <w:proofErr w:type="spellStart"/>
      <w:r w:rsidR="004C6A5A" w:rsidRPr="00DD12E6">
        <w:rPr>
          <w:lang w:val="en-GB"/>
        </w:rPr>
        <w:t>Calcaric</w:t>
      </w:r>
      <w:proofErr w:type="spellEnd"/>
      <w:r w:rsidR="004C6A5A" w:rsidRPr="00DD12E6">
        <w:rPr>
          <w:lang w:val="en-GB"/>
        </w:rPr>
        <w:t xml:space="preserve"> </w:t>
      </w:r>
      <w:proofErr w:type="spellStart"/>
      <w:r w:rsidR="004C6A5A" w:rsidRPr="00DD12E6">
        <w:rPr>
          <w:lang w:val="en-GB"/>
        </w:rPr>
        <w:t>Cambisols</w:t>
      </w:r>
      <w:proofErr w:type="spellEnd"/>
      <w:r w:rsidR="004C6A5A" w:rsidRPr="00DD12E6">
        <w:rPr>
          <w:lang w:val="en-GB"/>
        </w:rPr>
        <w:t xml:space="preserve"> and </w:t>
      </w:r>
      <w:proofErr w:type="spellStart"/>
      <w:r w:rsidR="004C6A5A" w:rsidRPr="00DD12E6">
        <w:rPr>
          <w:lang w:val="en-GB"/>
        </w:rPr>
        <w:t>Calcaric</w:t>
      </w:r>
      <w:proofErr w:type="spellEnd"/>
      <w:r w:rsidR="004C6A5A" w:rsidRPr="00DD12E6">
        <w:rPr>
          <w:lang w:val="en-GB"/>
        </w:rPr>
        <w:t xml:space="preserve"> </w:t>
      </w:r>
      <w:proofErr w:type="spellStart"/>
      <w:r w:rsidR="004C6A5A" w:rsidRPr="00DD12E6">
        <w:rPr>
          <w:lang w:val="en-GB"/>
        </w:rPr>
        <w:t>Regosols</w:t>
      </w:r>
      <w:proofErr w:type="spellEnd"/>
      <w:r w:rsidR="004C6A5A" w:rsidRPr="00DD12E6">
        <w:rPr>
          <w:lang w:val="en-GB"/>
        </w:rPr>
        <w:t xml:space="preserve"> (</w:t>
      </w:r>
      <w:r w:rsidR="004C6A5A" w:rsidRPr="00DD12E6">
        <w:rPr>
          <w:lang w:val="en-GB"/>
        </w:rPr>
        <w:fldChar w:fldCharType="begin" w:fldLock="1"/>
      </w:r>
      <w:r w:rsidR="004C6A5A" w:rsidRPr="00DD12E6">
        <w:rPr>
          <w:lang w:val="en-GB"/>
        </w:rPr>
        <w:instrText>ADDIN CSL_CITATION { "citationItems" : [ { "id" : "ITEM-1", "itemData" : { "ISBN" : "978-92-5-108369-7", "abstract" : "We study a family of \"classical\"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 "author" : [ { "dropping-particle" : "", "family" : "FAO", "given" : "", "non-dropping-particle" : "", "parse-names" : false, "suffix" : "" } ], "container-title" : "World Soil Resources Reports No. 106", "id" : "ITEM-1", "issued" : { "date-parts" : [ [ "2014" ] ] }, "number-of-pages" : "193", "title" : "World Reference Base for Soil Resources 2014, update 2015", "type" : "book" }, "uris" : [ "http://www.mendeley.com/documents/?uuid=06cfad9d-797f-4263-9c7c-33db51d7ef50" ] } ], "mendeley" : { "formattedCitation" : "(FAO, 2014)", "plainTextFormattedCitation" : "(FAO, 2014)", "previouslyFormattedCitation" : "(FAO, 2014)" }, "properties" : {  }, "schema" : "https://github.com/citation-style-language/schema/raw/master/csl-citation.json" }</w:instrText>
      </w:r>
      <w:r w:rsidR="004C6A5A" w:rsidRPr="00DD12E6">
        <w:rPr>
          <w:lang w:val="en-GB"/>
        </w:rPr>
        <w:fldChar w:fldCharType="separate"/>
      </w:r>
      <w:r w:rsidR="004C6A5A" w:rsidRPr="00DD12E6">
        <w:rPr>
          <w:noProof/>
          <w:lang w:val="en-GB"/>
        </w:rPr>
        <w:t>IUSS Working Group WRB, 2015</w:t>
      </w:r>
      <w:r w:rsidR="004C6A5A" w:rsidRPr="00DD12E6">
        <w:rPr>
          <w:lang w:val="en-GB"/>
        </w:rPr>
        <w:fldChar w:fldCharType="end"/>
      </w:r>
      <w:r w:rsidR="004C6A5A" w:rsidRPr="00DD12E6">
        <w:rPr>
          <w:lang w:val="en-GB"/>
        </w:rPr>
        <w:t>). With a mean annual rainfall and</w:t>
      </w:r>
      <w:r w:rsidR="004C6A5A" w:rsidRPr="002E590D">
        <w:rPr>
          <w:rFonts w:ascii="Arial" w:hAnsi="Arial" w:cs="Arial"/>
          <w:lang w:val="en-GB"/>
        </w:rPr>
        <w:t xml:space="preserve"> </w:t>
      </w:r>
      <w:r w:rsidR="004C6A5A" w:rsidRPr="00DD12E6">
        <w:rPr>
          <w:lang w:val="en-GB"/>
        </w:rPr>
        <w:t xml:space="preserve">temperature of 530 mm and 13°C, respectively, the climate is between sub-humid and semiarid. The present land use </w:t>
      </w:r>
      <w:proofErr w:type="gramStart"/>
      <w:r w:rsidR="004C6A5A" w:rsidRPr="00DD12E6">
        <w:rPr>
          <w:lang w:val="en-GB"/>
        </w:rPr>
        <w:t>is dominated</w:t>
      </w:r>
      <w:proofErr w:type="gramEnd"/>
      <w:r w:rsidR="004C6A5A" w:rsidRPr="00DD12E6">
        <w:rPr>
          <w:lang w:val="en-GB"/>
        </w:rPr>
        <w:t xml:space="preserve"> by </w:t>
      </w:r>
      <w:proofErr w:type="spellStart"/>
      <w:r w:rsidR="004C6A5A" w:rsidRPr="00DD12E6">
        <w:rPr>
          <w:lang w:val="en-GB"/>
        </w:rPr>
        <w:t>rainfed</w:t>
      </w:r>
      <w:proofErr w:type="spellEnd"/>
      <w:r w:rsidR="004C6A5A" w:rsidRPr="00DD12E6">
        <w:rPr>
          <w:lang w:val="en-GB"/>
        </w:rPr>
        <w:t xml:space="preserve"> agriculture of cereals (barley) and tree crops like walnut (</w:t>
      </w:r>
      <w:proofErr w:type="spellStart"/>
      <w:r w:rsidR="004C6A5A" w:rsidRPr="00DD12E6">
        <w:rPr>
          <w:i/>
          <w:lang w:val="en-GB"/>
        </w:rPr>
        <w:t>Juglans</w:t>
      </w:r>
      <w:proofErr w:type="spellEnd"/>
      <w:r w:rsidR="004C6A5A" w:rsidRPr="00DD12E6">
        <w:rPr>
          <w:i/>
          <w:lang w:val="en-GB"/>
        </w:rPr>
        <w:t xml:space="preserve"> </w:t>
      </w:r>
      <w:proofErr w:type="spellStart"/>
      <w:r w:rsidR="004C6A5A" w:rsidRPr="00DD12E6">
        <w:rPr>
          <w:i/>
          <w:lang w:val="en-GB"/>
        </w:rPr>
        <w:t>regia</w:t>
      </w:r>
      <w:proofErr w:type="spellEnd"/>
      <w:r w:rsidR="004C6A5A" w:rsidRPr="00DD12E6">
        <w:rPr>
          <w:lang w:val="en-GB"/>
        </w:rPr>
        <w:t xml:space="preserve">), vineyards, some low intensity grazing areas, </w:t>
      </w:r>
      <w:proofErr w:type="spellStart"/>
      <w:r w:rsidR="004C6A5A" w:rsidRPr="00DD12E6">
        <w:rPr>
          <w:lang w:val="en-GB"/>
        </w:rPr>
        <w:t>shrublands</w:t>
      </w:r>
      <w:proofErr w:type="spellEnd"/>
      <w:r w:rsidR="004C6A5A" w:rsidRPr="00DD12E6">
        <w:rPr>
          <w:lang w:val="en-GB"/>
        </w:rPr>
        <w:t>, and forest (Figure 2</w:t>
      </w:r>
      <w:r w:rsidR="00091903">
        <w:rPr>
          <w:lang w:val="en-GB"/>
        </w:rPr>
        <w:t xml:space="preserve"> of the paper</w:t>
      </w:r>
      <w:r w:rsidR="004C6A5A" w:rsidRPr="00DD12E6">
        <w:rPr>
          <w:lang w:val="en-GB"/>
        </w:rPr>
        <w:t>). The forest areas are dominated by pine species (</w:t>
      </w:r>
      <w:proofErr w:type="spellStart"/>
      <w:r w:rsidR="004C6A5A" w:rsidRPr="00DD12E6">
        <w:rPr>
          <w:i/>
          <w:lang w:val="en-GB"/>
        </w:rPr>
        <w:t>Pinus</w:t>
      </w:r>
      <w:proofErr w:type="spellEnd"/>
      <w:r w:rsidR="004C6A5A" w:rsidRPr="00DD12E6">
        <w:rPr>
          <w:i/>
          <w:lang w:val="en-GB"/>
        </w:rPr>
        <w:t xml:space="preserve"> </w:t>
      </w:r>
      <w:proofErr w:type="spellStart"/>
      <w:r w:rsidR="004C6A5A" w:rsidRPr="00DD12E6">
        <w:rPr>
          <w:i/>
          <w:lang w:val="en-GB"/>
        </w:rPr>
        <w:t>nigra</w:t>
      </w:r>
      <w:proofErr w:type="spellEnd"/>
      <w:r w:rsidR="004C6A5A" w:rsidRPr="00DD12E6">
        <w:rPr>
          <w:i/>
          <w:lang w:val="en-GB"/>
        </w:rPr>
        <w:t xml:space="preserve"> </w:t>
      </w:r>
      <w:proofErr w:type="spellStart"/>
      <w:r w:rsidR="004C6A5A" w:rsidRPr="00DD12E6">
        <w:rPr>
          <w:i/>
          <w:lang w:val="en-GB"/>
        </w:rPr>
        <w:t>salzmanii</w:t>
      </w:r>
      <w:proofErr w:type="spellEnd"/>
      <w:r w:rsidR="004C6A5A" w:rsidRPr="00DD12E6">
        <w:rPr>
          <w:i/>
          <w:lang w:val="en-GB"/>
        </w:rPr>
        <w:t xml:space="preserve">, </w:t>
      </w:r>
      <w:proofErr w:type="spellStart"/>
      <w:r w:rsidR="004C6A5A" w:rsidRPr="00DD12E6">
        <w:rPr>
          <w:i/>
          <w:lang w:val="en-GB"/>
        </w:rPr>
        <w:t>Pinus</w:t>
      </w:r>
      <w:proofErr w:type="spellEnd"/>
      <w:r w:rsidR="004C6A5A" w:rsidRPr="00DD12E6">
        <w:rPr>
          <w:i/>
          <w:lang w:val="en-GB"/>
        </w:rPr>
        <w:t xml:space="preserve"> </w:t>
      </w:r>
      <w:proofErr w:type="spellStart"/>
      <w:r w:rsidR="004C6A5A" w:rsidRPr="00DD12E6">
        <w:rPr>
          <w:i/>
          <w:lang w:val="en-GB"/>
        </w:rPr>
        <w:t>pinaster</w:t>
      </w:r>
      <w:proofErr w:type="spellEnd"/>
      <w:r w:rsidR="004C6A5A" w:rsidRPr="00DD12E6">
        <w:rPr>
          <w:lang w:val="en-GB"/>
        </w:rPr>
        <w:t>,</w:t>
      </w:r>
      <w:r w:rsidR="004C6A5A" w:rsidRPr="00DD12E6">
        <w:rPr>
          <w:i/>
          <w:lang w:val="en-GB"/>
        </w:rPr>
        <w:t xml:space="preserve"> </w:t>
      </w:r>
      <w:r w:rsidR="004C6A5A" w:rsidRPr="00DD12E6">
        <w:rPr>
          <w:lang w:val="en-GB"/>
        </w:rPr>
        <w:t>and</w:t>
      </w:r>
      <w:r w:rsidR="004C6A5A" w:rsidRPr="00DD12E6">
        <w:rPr>
          <w:i/>
          <w:lang w:val="en-GB"/>
        </w:rPr>
        <w:t xml:space="preserve"> </w:t>
      </w:r>
      <w:proofErr w:type="spellStart"/>
      <w:r w:rsidR="004C6A5A" w:rsidRPr="00DD12E6">
        <w:rPr>
          <w:i/>
          <w:lang w:val="en-GB"/>
        </w:rPr>
        <w:t>Pinus</w:t>
      </w:r>
      <w:proofErr w:type="spellEnd"/>
      <w:r w:rsidR="004C6A5A" w:rsidRPr="00DD12E6">
        <w:rPr>
          <w:i/>
          <w:lang w:val="en-GB"/>
        </w:rPr>
        <w:t xml:space="preserve"> </w:t>
      </w:r>
      <w:proofErr w:type="spellStart"/>
      <w:r w:rsidR="004C6A5A" w:rsidRPr="00DD12E6">
        <w:rPr>
          <w:i/>
          <w:lang w:val="en-GB"/>
        </w:rPr>
        <w:t>halepensis</w:t>
      </w:r>
      <w:proofErr w:type="spellEnd"/>
      <w:r w:rsidR="004C6A5A" w:rsidRPr="00DD12E6">
        <w:rPr>
          <w:lang w:val="en-GB"/>
        </w:rPr>
        <w:t xml:space="preserve">), while the </w:t>
      </w:r>
      <w:proofErr w:type="spellStart"/>
      <w:r w:rsidR="004C6A5A" w:rsidRPr="00DD12E6">
        <w:rPr>
          <w:lang w:val="en-GB"/>
        </w:rPr>
        <w:t>shrublands</w:t>
      </w:r>
      <w:proofErr w:type="spellEnd"/>
      <w:r w:rsidR="004C6A5A" w:rsidRPr="00DD12E6">
        <w:rPr>
          <w:lang w:val="en-GB"/>
        </w:rPr>
        <w:t xml:space="preserve"> consist of a mixture of </w:t>
      </w:r>
      <w:proofErr w:type="spellStart"/>
      <w:r w:rsidR="004C6A5A" w:rsidRPr="00DD12E6">
        <w:rPr>
          <w:i/>
          <w:lang w:val="en-GB"/>
        </w:rPr>
        <w:t>Erinacea</w:t>
      </w:r>
      <w:proofErr w:type="spellEnd"/>
      <w:r w:rsidR="004C6A5A" w:rsidRPr="00DD12E6">
        <w:rPr>
          <w:i/>
          <w:lang w:val="en-GB"/>
        </w:rPr>
        <w:t xml:space="preserve"> </w:t>
      </w:r>
      <w:proofErr w:type="spellStart"/>
      <w:r w:rsidR="004C6A5A" w:rsidRPr="00DD12E6">
        <w:rPr>
          <w:i/>
          <w:lang w:val="en-GB"/>
        </w:rPr>
        <w:t>anthyllis</w:t>
      </w:r>
      <w:proofErr w:type="spellEnd"/>
      <w:r w:rsidR="004C6A5A" w:rsidRPr="00DD12E6">
        <w:rPr>
          <w:i/>
          <w:lang w:val="en-GB"/>
        </w:rPr>
        <w:t xml:space="preserve">, </w:t>
      </w:r>
      <w:proofErr w:type="spellStart"/>
      <w:r w:rsidR="004C6A5A" w:rsidRPr="00DD12E6">
        <w:rPr>
          <w:i/>
          <w:lang w:val="en-GB"/>
        </w:rPr>
        <w:t>Cytisus</w:t>
      </w:r>
      <w:proofErr w:type="spellEnd"/>
      <w:r w:rsidR="004C6A5A" w:rsidRPr="00DD12E6">
        <w:rPr>
          <w:i/>
          <w:lang w:val="en-GB"/>
        </w:rPr>
        <w:t xml:space="preserve"> </w:t>
      </w:r>
      <w:proofErr w:type="spellStart"/>
      <w:r w:rsidR="004C6A5A" w:rsidRPr="00DD12E6">
        <w:rPr>
          <w:i/>
          <w:lang w:val="en-GB"/>
        </w:rPr>
        <w:t>reverchonii</w:t>
      </w:r>
      <w:proofErr w:type="spellEnd"/>
      <w:r w:rsidR="004C6A5A" w:rsidRPr="00DD12E6">
        <w:rPr>
          <w:i/>
          <w:lang w:val="en-GB"/>
        </w:rPr>
        <w:t xml:space="preserve">, </w:t>
      </w:r>
      <w:proofErr w:type="spellStart"/>
      <w:r w:rsidR="004C6A5A" w:rsidRPr="00DD12E6">
        <w:rPr>
          <w:i/>
          <w:lang w:val="en-GB"/>
        </w:rPr>
        <w:t>Rosmarinus</w:t>
      </w:r>
      <w:proofErr w:type="spellEnd"/>
      <w:r w:rsidR="004C6A5A" w:rsidRPr="00DD12E6">
        <w:rPr>
          <w:i/>
          <w:lang w:val="en-GB"/>
        </w:rPr>
        <w:t xml:space="preserve"> </w:t>
      </w:r>
      <w:proofErr w:type="spellStart"/>
      <w:r w:rsidR="004C6A5A" w:rsidRPr="00DD12E6">
        <w:rPr>
          <w:i/>
          <w:lang w:val="en-GB"/>
        </w:rPr>
        <w:t>officinalis</w:t>
      </w:r>
      <w:proofErr w:type="spellEnd"/>
      <w:r w:rsidR="004C6A5A" w:rsidRPr="00DD12E6">
        <w:rPr>
          <w:lang w:val="en-GB"/>
        </w:rPr>
        <w:t xml:space="preserve">, </w:t>
      </w:r>
      <w:r w:rsidR="004C6A5A" w:rsidRPr="00DD12E6">
        <w:rPr>
          <w:i/>
          <w:lang w:val="en-GB"/>
        </w:rPr>
        <w:t>Thymus vulgaris</w:t>
      </w:r>
      <w:r w:rsidR="004C6A5A" w:rsidRPr="00DD12E6">
        <w:rPr>
          <w:lang w:val="en-GB"/>
        </w:rPr>
        <w:t xml:space="preserve">, and </w:t>
      </w:r>
      <w:proofErr w:type="spellStart"/>
      <w:r w:rsidR="004C6A5A" w:rsidRPr="00DD12E6">
        <w:rPr>
          <w:i/>
          <w:lang w:val="en-GB"/>
        </w:rPr>
        <w:t>Genista</w:t>
      </w:r>
      <w:proofErr w:type="spellEnd"/>
      <w:r w:rsidR="004C6A5A" w:rsidRPr="00DD12E6">
        <w:rPr>
          <w:i/>
          <w:lang w:val="en-GB"/>
        </w:rPr>
        <w:t xml:space="preserve"> </w:t>
      </w:r>
      <w:proofErr w:type="spellStart"/>
      <w:proofErr w:type="gramStart"/>
      <w:r w:rsidR="004C6A5A" w:rsidRPr="00DD12E6">
        <w:rPr>
          <w:i/>
          <w:lang w:val="en-GB"/>
        </w:rPr>
        <w:t>scorpius</w:t>
      </w:r>
      <w:proofErr w:type="spellEnd"/>
      <w:proofErr w:type="gramEnd"/>
      <w:r w:rsidR="004C6A5A" w:rsidRPr="00DD12E6">
        <w:rPr>
          <w:lang w:val="en-GB"/>
        </w:rPr>
        <w:t xml:space="preserve">. </w:t>
      </w:r>
    </w:p>
    <w:p w14:paraId="1149104E" w14:textId="77777777" w:rsidR="004C6A5A" w:rsidRPr="00DD12E6" w:rsidRDefault="004C6A5A" w:rsidP="004C6A5A">
      <w:pPr>
        <w:pStyle w:val="Prrafodelista"/>
        <w:ind w:left="0"/>
        <w:jc w:val="both"/>
        <w:rPr>
          <w:lang w:val="en-GB"/>
        </w:rPr>
      </w:pPr>
    </w:p>
    <w:p w14:paraId="3B033F34" w14:textId="1CF7D173" w:rsidR="004C6A5A" w:rsidRPr="00DD12E6" w:rsidRDefault="004C6A5A" w:rsidP="004C6A5A">
      <w:pPr>
        <w:pStyle w:val="Prrafodelista"/>
        <w:ind w:left="0"/>
        <w:jc w:val="both"/>
        <w:rPr>
          <w:lang w:val="en-GB"/>
        </w:rPr>
      </w:pPr>
      <w:r w:rsidRPr="00DD12E6">
        <w:rPr>
          <w:lang w:val="en-GB"/>
        </w:rPr>
        <w:t xml:space="preserve">Since the </w:t>
      </w:r>
      <w:proofErr w:type="gramStart"/>
      <w:r w:rsidRPr="00DD12E6">
        <w:rPr>
          <w:lang w:val="en-GB"/>
        </w:rPr>
        <w:t>1950s</w:t>
      </w:r>
      <w:proofErr w:type="gramEnd"/>
      <w:r w:rsidRPr="00DD12E6">
        <w:rPr>
          <w:lang w:val="en-GB"/>
        </w:rPr>
        <w:t xml:space="preserve"> the population of this area has experienced a drastic decrease due to rural exodus to the cities and coastal areas, a common occurrence in many mountain areas in Spain. </w:t>
      </w:r>
      <w:proofErr w:type="gramStart"/>
      <w:r w:rsidRPr="00DD12E6">
        <w:rPr>
          <w:lang w:val="en-GB"/>
        </w:rPr>
        <w:t>As a consequence</w:t>
      </w:r>
      <w:proofErr w:type="gramEnd"/>
      <w:r w:rsidRPr="00DD12E6">
        <w:rPr>
          <w:lang w:val="en-GB"/>
        </w:rPr>
        <w:t xml:space="preserve">, high agricultural abandonment took place in the catchment, as in many North Mediterranean mountain areas (García-Ruiz et al., 2011). In the 1970s, </w:t>
      </w:r>
      <w:proofErr w:type="gramStart"/>
      <w:r w:rsidRPr="00DD12E6">
        <w:rPr>
          <w:lang w:val="en-GB"/>
        </w:rPr>
        <w:t>hydrological control works and reforestation were undertaken by the Spanish Government for erosion control and flood regulation purposes</w:t>
      </w:r>
      <w:proofErr w:type="gramEnd"/>
      <w:r w:rsidRPr="00DD12E6">
        <w:rPr>
          <w:lang w:val="en-GB"/>
        </w:rPr>
        <w:t xml:space="preserve">. These typical restoration actions were very common all over Europe (Piton et al., 2016). More than 120 check-dams </w:t>
      </w:r>
      <w:proofErr w:type="gramStart"/>
      <w:r w:rsidRPr="00DD12E6">
        <w:rPr>
          <w:lang w:val="en-GB"/>
        </w:rPr>
        <w:t>were built</w:t>
      </w:r>
      <w:proofErr w:type="gramEnd"/>
      <w:r w:rsidRPr="00DD12E6">
        <w:rPr>
          <w:lang w:val="en-GB"/>
        </w:rPr>
        <w:t xml:space="preserve"> within the Upper </w:t>
      </w:r>
      <w:proofErr w:type="spellStart"/>
      <w:r w:rsidRPr="00DD12E6">
        <w:rPr>
          <w:lang w:val="en-GB"/>
        </w:rPr>
        <w:t>Taibilla</w:t>
      </w:r>
      <w:proofErr w:type="spellEnd"/>
      <w:r w:rsidRPr="00DD12E6">
        <w:rPr>
          <w:lang w:val="en-GB"/>
        </w:rPr>
        <w:t xml:space="preserve"> catchment from 1973 onwards; the majority (87%) were gabion dams, the others were concrete closed structures. To achieve the most effective management, the construction of the check-dams </w:t>
      </w:r>
      <w:proofErr w:type="gramStart"/>
      <w:r w:rsidRPr="00DD12E6">
        <w:rPr>
          <w:lang w:val="en-GB"/>
        </w:rPr>
        <w:t>was performed</w:t>
      </w:r>
      <w:proofErr w:type="gramEnd"/>
      <w:r w:rsidRPr="00DD12E6">
        <w:rPr>
          <w:lang w:val="en-GB"/>
        </w:rPr>
        <w:t xml:space="preserve"> simultaneously with the reforestation of their drainage areas. Both check-dams and reforestation</w:t>
      </w:r>
      <w:r>
        <w:rPr>
          <w:lang w:val="en-GB"/>
        </w:rPr>
        <w:t>s</w:t>
      </w:r>
      <w:r w:rsidRPr="00DD12E6">
        <w:rPr>
          <w:lang w:val="en-GB"/>
        </w:rPr>
        <w:t xml:space="preserve"> were part of integrated Forest and Hydrological Projects promoted by the Spanish Forest Administration (Figure 2</w:t>
      </w:r>
      <w:r w:rsidR="000458E0">
        <w:rPr>
          <w:lang w:val="en-GB"/>
        </w:rPr>
        <w:t xml:space="preserve"> of the paper</w:t>
      </w:r>
      <w:r w:rsidRPr="00DD12E6">
        <w:rPr>
          <w:lang w:val="en-GB"/>
        </w:rPr>
        <w:t>).</w:t>
      </w:r>
    </w:p>
    <w:p w14:paraId="069C7095" w14:textId="77777777" w:rsidR="004C6A5A" w:rsidRPr="00DD12E6" w:rsidRDefault="004C6A5A" w:rsidP="004C6A5A">
      <w:pPr>
        <w:pStyle w:val="Prrafodelista"/>
        <w:ind w:left="0"/>
        <w:jc w:val="both"/>
        <w:rPr>
          <w:lang w:val="en-GB"/>
        </w:rPr>
      </w:pPr>
      <w:r>
        <w:rPr>
          <w:lang w:val="en-GB"/>
        </w:rPr>
        <w:t xml:space="preserve">Sixty </w:t>
      </w:r>
      <w:r w:rsidRPr="00DD12E6">
        <w:rPr>
          <w:lang w:val="en-GB"/>
        </w:rPr>
        <w:t xml:space="preserve">years </w:t>
      </w:r>
      <w:r>
        <w:rPr>
          <w:lang w:val="en-GB"/>
        </w:rPr>
        <w:t xml:space="preserve">after the start of reforestations, </w:t>
      </w:r>
      <w:r w:rsidRPr="00DD12E6">
        <w:rPr>
          <w:lang w:val="en-GB"/>
        </w:rPr>
        <w:t>the total forest cover had increased by 85%; in contrast, agricultural land decreased by 63% from 1956 to 2012 (Pérez-Cutillas et al., 2018). Thus, the area experienced a greening-up, comparable to other high and medium-altitude mountain catchments (García-Ruiz et al., 2011).</w:t>
      </w:r>
    </w:p>
    <w:p w14:paraId="3A97AA91" w14:textId="6CDC5141" w:rsidR="004C6A5A" w:rsidRPr="000D6680" w:rsidRDefault="004C6A5A" w:rsidP="004C6A5A">
      <w:pPr>
        <w:jc w:val="both"/>
      </w:pPr>
      <w:r w:rsidRPr="000D6680">
        <w:t xml:space="preserve">Land use changes and the construction of check-dams have had </w:t>
      </w:r>
      <w:r w:rsidR="00E264D1">
        <w:t>large</w:t>
      </w:r>
      <w:r w:rsidRPr="000D6680">
        <w:t xml:space="preserve"> impacts on the catchment's sedimentary dynamics (Boix-Fayos et al., 2008; </w:t>
      </w:r>
      <w:proofErr w:type="spellStart"/>
      <w:r w:rsidRPr="000D6680">
        <w:t>Quiñonero</w:t>
      </w:r>
      <w:proofErr w:type="spellEnd"/>
      <w:r w:rsidRPr="000D6680">
        <w:t xml:space="preserve">-Rubio et al., 2013; </w:t>
      </w:r>
      <w:proofErr w:type="spellStart"/>
      <w:r w:rsidRPr="000D6680">
        <w:t>Quiñonero</w:t>
      </w:r>
      <w:proofErr w:type="spellEnd"/>
      <w:r w:rsidRPr="000D6680">
        <w:t xml:space="preserve">-Rubio et al., 2014), causing important morphological changes. These changes were mainly incision of the </w:t>
      </w:r>
      <w:proofErr w:type="gramStart"/>
      <w:r w:rsidRPr="000D6680">
        <w:t>river bed</w:t>
      </w:r>
      <w:proofErr w:type="gramEnd"/>
      <w:r w:rsidRPr="000D6680">
        <w:t xml:space="preserve"> and vegetation encroachment and stabilization of sedimentary deposits</w:t>
      </w:r>
      <w:r>
        <w:t>. S</w:t>
      </w:r>
      <w:r w:rsidRPr="000D6680">
        <w:t xml:space="preserve">ediments </w:t>
      </w:r>
      <w:proofErr w:type="gramStart"/>
      <w:r w:rsidRPr="000D6680">
        <w:t>were also retained</w:t>
      </w:r>
      <w:proofErr w:type="gramEnd"/>
      <w:r w:rsidRPr="000D6680">
        <w:t xml:space="preserve"> by check-dams caus</w:t>
      </w:r>
      <w:r>
        <w:t>ing</w:t>
      </w:r>
      <w:r w:rsidRPr="000D6680">
        <w:t xml:space="preserve"> a sediment deficit that induced channel and riverbed erosion (Boix-Fayos et al., 2007). Land use changes </w:t>
      </w:r>
      <w:proofErr w:type="gramStart"/>
      <w:r w:rsidRPr="000D6680">
        <w:t>were estimated</w:t>
      </w:r>
      <w:proofErr w:type="gramEnd"/>
      <w:r w:rsidRPr="000D6680">
        <w:t xml:space="preserve"> to be responsible for about 50% of the reduction in catchment sediment yield (Boix-Fayos et al., 2008). Besides the morphological impact, the soil and sediment carbon stocks </w:t>
      </w:r>
      <w:proofErr w:type="gramStart"/>
      <w:r w:rsidRPr="000D6680">
        <w:t>were also affected</w:t>
      </w:r>
      <w:proofErr w:type="gramEnd"/>
      <w:r w:rsidRPr="000D6680">
        <w:t xml:space="preserve"> by the reforestation activities and land use changes (Boix-Fayos et al., 2009; 2015; Nadeu et al., </w:t>
      </w:r>
      <w:r w:rsidRPr="000D6680">
        <w:lastRenderedPageBreak/>
        <w:t xml:space="preserve">2015). The organic carbon reservoir of the soils and sediments increased by   ̴24 </w:t>
      </w:r>
      <w:proofErr w:type="gramStart"/>
      <w:r w:rsidRPr="000D6680">
        <w:t>%</w:t>
      </w:r>
      <w:proofErr w:type="gramEnd"/>
      <w:r w:rsidRPr="000D6680">
        <w:t xml:space="preserve">, due to the revegetation and morphological changes of the river bed (Halifa-Marin et al., </w:t>
      </w:r>
      <w:r>
        <w:t>2019</w:t>
      </w:r>
      <w:r w:rsidRPr="000D6680">
        <w:t>).</w:t>
      </w:r>
    </w:p>
    <w:p w14:paraId="67775D7B" w14:textId="5B26184F" w:rsidR="004C6A5A" w:rsidRPr="000D6680" w:rsidRDefault="004C6A5A" w:rsidP="004C6A5A">
      <w:pPr>
        <w:jc w:val="both"/>
      </w:pPr>
      <w:r>
        <w:t>A detailed g</w:t>
      </w:r>
      <w:r w:rsidRPr="000D6680">
        <w:t>eomorphologic</w:t>
      </w:r>
      <w:r>
        <w:t xml:space="preserve"> study of the </w:t>
      </w:r>
      <w:proofErr w:type="spellStart"/>
      <w:r w:rsidRPr="000D6680">
        <w:t>Rogativa</w:t>
      </w:r>
      <w:proofErr w:type="spellEnd"/>
      <w:r w:rsidRPr="000D6680">
        <w:t xml:space="preserve"> </w:t>
      </w:r>
      <w:proofErr w:type="spellStart"/>
      <w:r>
        <w:t>subcatchment</w:t>
      </w:r>
      <w:proofErr w:type="spellEnd"/>
      <w:r>
        <w:t xml:space="preserve"> </w:t>
      </w:r>
      <w:r w:rsidR="00E264D1">
        <w:t>showed</w:t>
      </w:r>
      <w:r>
        <w:t xml:space="preserve"> that the main channel evolved</w:t>
      </w:r>
      <w:r w:rsidRPr="000D6680">
        <w:t xml:space="preserve"> from an aggradation period, with large sediment volumes coming from a well-connected agricultural catchment (1950s-1980s), to an incision and degradation phase after afforestation, land abandonment, and hydrological-control works (Boix-Fayos et al., 2007). Currently, the </w:t>
      </w:r>
      <w:proofErr w:type="spellStart"/>
      <w:r w:rsidRPr="000D6680">
        <w:t>Rogativa</w:t>
      </w:r>
      <w:proofErr w:type="spellEnd"/>
      <w:r w:rsidRPr="000D6680">
        <w:t xml:space="preserve"> catchment is passing through a transition phase again, with an armoured main channel and sediments </w:t>
      </w:r>
      <w:proofErr w:type="gramStart"/>
      <w:r w:rsidRPr="000D6680">
        <w:t>being incorporated</w:t>
      </w:r>
      <w:proofErr w:type="gramEnd"/>
      <w:r w:rsidRPr="000D6680">
        <w:t xml:space="preserve"> into the channel through gullies and bank erosion (Boix-Fayos et al., 2007; Nadeu et al., 2011).</w:t>
      </w:r>
    </w:p>
    <w:p w14:paraId="694A2B98" w14:textId="4332AEDB" w:rsidR="004C6A5A" w:rsidRDefault="004C6A5A" w:rsidP="003B5F3F">
      <w:pPr>
        <w:pStyle w:val="Textocomentario"/>
        <w:spacing w:line="259" w:lineRule="auto"/>
        <w:jc w:val="both"/>
        <w:rPr>
          <w:sz w:val="22"/>
          <w:szCs w:val="22"/>
          <w:lang w:val="en-GB"/>
        </w:rPr>
      </w:pPr>
      <w:r w:rsidRPr="000D6680">
        <w:rPr>
          <w:sz w:val="22"/>
          <w:szCs w:val="22"/>
          <w:lang w:val="en-GB"/>
        </w:rPr>
        <w:t>Land use changes and construction of check-dams have also affected the hydrological properties of the catchment. A reduction in the discharge of 43% and an increase in the evapotranspiration of 57% in the catchment were estimated for a period of 60 years (Pérez-Cutillas et al., 2018), with a non-significant variation in the annual average precipitation from 1956 to 2012.</w:t>
      </w:r>
      <w:r>
        <w:rPr>
          <w:sz w:val="22"/>
          <w:szCs w:val="22"/>
          <w:lang w:val="en-GB"/>
        </w:rPr>
        <w:t xml:space="preserve"> For future climate conditions, </w:t>
      </w:r>
      <w:r w:rsidRPr="000D6680">
        <w:rPr>
          <w:sz w:val="22"/>
          <w:szCs w:val="22"/>
          <w:lang w:val="en-GB"/>
        </w:rPr>
        <w:t>Eekhout et al. (2018</w:t>
      </w:r>
      <w:r w:rsidR="00E264D1">
        <w:rPr>
          <w:sz w:val="22"/>
          <w:szCs w:val="22"/>
          <w:lang w:val="en-GB"/>
        </w:rPr>
        <w:t>; 2019</w:t>
      </w:r>
      <w:r w:rsidRPr="000D6680">
        <w:rPr>
          <w:sz w:val="22"/>
          <w:szCs w:val="22"/>
          <w:lang w:val="en-GB"/>
        </w:rPr>
        <w:t xml:space="preserve">) found that in the Upper </w:t>
      </w:r>
      <w:proofErr w:type="spellStart"/>
      <w:r w:rsidRPr="000D6680">
        <w:rPr>
          <w:sz w:val="22"/>
          <w:szCs w:val="22"/>
          <w:lang w:val="en-GB"/>
        </w:rPr>
        <w:t>Taibilla</w:t>
      </w:r>
      <w:proofErr w:type="spellEnd"/>
      <w:r w:rsidRPr="000D6680">
        <w:rPr>
          <w:sz w:val="22"/>
          <w:szCs w:val="22"/>
          <w:lang w:val="en-GB"/>
        </w:rPr>
        <w:t xml:space="preserve"> precipitation will decrease with 4-25%, </w:t>
      </w:r>
      <w:r>
        <w:rPr>
          <w:sz w:val="22"/>
          <w:szCs w:val="22"/>
          <w:lang w:val="en-GB"/>
        </w:rPr>
        <w:t>whereas</w:t>
      </w:r>
      <w:r w:rsidRPr="000D6680">
        <w:rPr>
          <w:sz w:val="22"/>
          <w:szCs w:val="22"/>
          <w:lang w:val="en-GB"/>
        </w:rPr>
        <w:t xml:space="preserve"> runoff </w:t>
      </w:r>
      <w:r>
        <w:rPr>
          <w:sz w:val="22"/>
          <w:szCs w:val="22"/>
          <w:lang w:val="en-GB"/>
        </w:rPr>
        <w:t xml:space="preserve">will </w:t>
      </w:r>
      <w:r w:rsidRPr="000D6680">
        <w:rPr>
          <w:sz w:val="22"/>
          <w:szCs w:val="22"/>
          <w:lang w:val="en-GB"/>
        </w:rPr>
        <w:t>increas</w:t>
      </w:r>
      <w:r>
        <w:rPr>
          <w:sz w:val="22"/>
          <w:szCs w:val="22"/>
          <w:lang w:val="en-GB"/>
        </w:rPr>
        <w:t>e</w:t>
      </w:r>
      <w:r w:rsidRPr="000D6680">
        <w:rPr>
          <w:sz w:val="22"/>
          <w:szCs w:val="22"/>
          <w:lang w:val="en-GB"/>
        </w:rPr>
        <w:t xml:space="preserve"> (29-74%) due to an increase of extreme precipitation</w:t>
      </w:r>
      <w:r>
        <w:rPr>
          <w:sz w:val="22"/>
          <w:szCs w:val="22"/>
          <w:lang w:val="en-GB"/>
        </w:rPr>
        <w:t xml:space="preserve"> under projected future climate change</w:t>
      </w:r>
      <w:r w:rsidRPr="000D6680">
        <w:rPr>
          <w:sz w:val="22"/>
          <w:szCs w:val="22"/>
          <w:lang w:val="en-GB"/>
        </w:rPr>
        <w:t xml:space="preserve">. </w:t>
      </w:r>
      <w:r>
        <w:rPr>
          <w:sz w:val="22"/>
          <w:szCs w:val="22"/>
          <w:lang w:val="en-GB"/>
        </w:rPr>
        <w:t>In these climate change scenarios, i</w:t>
      </w:r>
      <w:r w:rsidRPr="000D6680">
        <w:rPr>
          <w:sz w:val="22"/>
          <w:szCs w:val="22"/>
          <w:lang w:val="en-GB"/>
        </w:rPr>
        <w:t xml:space="preserve">nfiltration and </w:t>
      </w:r>
      <w:r>
        <w:rPr>
          <w:sz w:val="22"/>
          <w:szCs w:val="22"/>
          <w:lang w:val="en-GB"/>
        </w:rPr>
        <w:t xml:space="preserve">soil </w:t>
      </w:r>
      <w:r w:rsidRPr="000D6680">
        <w:rPr>
          <w:sz w:val="22"/>
          <w:szCs w:val="22"/>
          <w:lang w:val="en-GB"/>
        </w:rPr>
        <w:t xml:space="preserve">water content </w:t>
      </w:r>
      <w:proofErr w:type="gramStart"/>
      <w:r>
        <w:rPr>
          <w:sz w:val="22"/>
          <w:szCs w:val="22"/>
          <w:lang w:val="en-GB"/>
        </w:rPr>
        <w:t>are expected</w:t>
      </w:r>
      <w:proofErr w:type="gramEnd"/>
      <w:r>
        <w:rPr>
          <w:sz w:val="22"/>
          <w:szCs w:val="22"/>
          <w:lang w:val="en-GB"/>
        </w:rPr>
        <w:t xml:space="preserve"> to </w:t>
      </w:r>
      <w:r w:rsidRPr="000D6680">
        <w:rPr>
          <w:sz w:val="22"/>
          <w:szCs w:val="22"/>
          <w:lang w:val="en-GB"/>
        </w:rPr>
        <w:t>decrease</w:t>
      </w:r>
      <w:r>
        <w:rPr>
          <w:sz w:val="22"/>
          <w:szCs w:val="22"/>
          <w:lang w:val="en-GB"/>
        </w:rPr>
        <w:t>,</w:t>
      </w:r>
      <w:r w:rsidRPr="000D6680">
        <w:rPr>
          <w:sz w:val="22"/>
          <w:szCs w:val="22"/>
          <w:lang w:val="en-GB"/>
        </w:rPr>
        <w:t xml:space="preserve"> leading to increase</w:t>
      </w:r>
      <w:r>
        <w:rPr>
          <w:sz w:val="22"/>
          <w:szCs w:val="22"/>
          <w:lang w:val="en-GB"/>
        </w:rPr>
        <w:t>d</w:t>
      </w:r>
      <w:r w:rsidRPr="000D6680">
        <w:rPr>
          <w:sz w:val="22"/>
          <w:szCs w:val="22"/>
          <w:lang w:val="en-GB"/>
        </w:rPr>
        <w:t xml:space="preserve"> plant water stress</w:t>
      </w:r>
      <w:r>
        <w:rPr>
          <w:sz w:val="22"/>
          <w:szCs w:val="22"/>
          <w:lang w:val="en-GB"/>
        </w:rPr>
        <w:t xml:space="preserve">. Under moderate </w:t>
      </w:r>
      <w:r w:rsidRPr="000D6680">
        <w:rPr>
          <w:sz w:val="22"/>
          <w:szCs w:val="22"/>
          <w:lang w:val="en-GB"/>
        </w:rPr>
        <w:t>climate change scenarios</w:t>
      </w:r>
      <w:r>
        <w:rPr>
          <w:sz w:val="22"/>
          <w:szCs w:val="22"/>
          <w:lang w:val="en-GB"/>
        </w:rPr>
        <w:t>, s</w:t>
      </w:r>
      <w:r w:rsidRPr="000D6680">
        <w:rPr>
          <w:sz w:val="22"/>
          <w:szCs w:val="22"/>
          <w:lang w:val="en-GB"/>
        </w:rPr>
        <w:t xml:space="preserve">oil erosion </w:t>
      </w:r>
      <w:r>
        <w:rPr>
          <w:sz w:val="22"/>
          <w:szCs w:val="22"/>
          <w:lang w:val="en-GB"/>
        </w:rPr>
        <w:t xml:space="preserve">and sediment yield to the </w:t>
      </w:r>
      <w:proofErr w:type="spellStart"/>
      <w:r>
        <w:rPr>
          <w:sz w:val="22"/>
          <w:szCs w:val="22"/>
          <w:lang w:val="en-GB"/>
        </w:rPr>
        <w:t>Taibilla</w:t>
      </w:r>
      <w:proofErr w:type="spellEnd"/>
      <w:r>
        <w:rPr>
          <w:sz w:val="22"/>
          <w:szCs w:val="22"/>
          <w:lang w:val="en-GB"/>
        </w:rPr>
        <w:t xml:space="preserve"> reservoir </w:t>
      </w:r>
      <w:proofErr w:type="gramStart"/>
      <w:r>
        <w:rPr>
          <w:sz w:val="22"/>
          <w:szCs w:val="22"/>
          <w:lang w:val="en-GB"/>
        </w:rPr>
        <w:t>are also expected</w:t>
      </w:r>
      <w:proofErr w:type="gramEnd"/>
      <w:r>
        <w:rPr>
          <w:sz w:val="22"/>
          <w:szCs w:val="22"/>
          <w:lang w:val="en-GB"/>
        </w:rPr>
        <w:t xml:space="preserve"> to increase, </w:t>
      </w:r>
      <w:r w:rsidRPr="000D6680">
        <w:rPr>
          <w:sz w:val="22"/>
          <w:szCs w:val="22"/>
          <w:lang w:val="en-GB"/>
        </w:rPr>
        <w:t>while reservoir inflow tends to decrease</w:t>
      </w:r>
      <w:r w:rsidRPr="000D6680" w:rsidDel="000D66EC">
        <w:rPr>
          <w:sz w:val="22"/>
          <w:szCs w:val="22"/>
          <w:lang w:val="en-GB"/>
        </w:rPr>
        <w:t xml:space="preserve"> </w:t>
      </w:r>
      <w:r>
        <w:rPr>
          <w:sz w:val="22"/>
          <w:szCs w:val="22"/>
          <w:lang w:val="en-GB"/>
        </w:rPr>
        <w:t>(</w:t>
      </w:r>
      <w:r w:rsidR="000458E0">
        <w:rPr>
          <w:sz w:val="22"/>
          <w:szCs w:val="22"/>
          <w:lang w:val="en-GB"/>
        </w:rPr>
        <w:t>Eekhout et al. 2018; Eekhout and</w:t>
      </w:r>
      <w:r>
        <w:rPr>
          <w:sz w:val="22"/>
          <w:szCs w:val="22"/>
          <w:lang w:val="en-GB"/>
        </w:rPr>
        <w:t xml:space="preserve"> de Vente 2019)</w:t>
      </w:r>
      <w:r w:rsidRPr="000D6680">
        <w:rPr>
          <w:sz w:val="22"/>
          <w:szCs w:val="22"/>
          <w:lang w:val="en-GB"/>
        </w:rPr>
        <w:t>.</w:t>
      </w:r>
      <w:r>
        <w:rPr>
          <w:sz w:val="22"/>
          <w:szCs w:val="22"/>
          <w:lang w:val="en-GB"/>
        </w:rPr>
        <w:t xml:space="preserve"> </w:t>
      </w:r>
    </w:p>
    <w:p w14:paraId="0C5BB8F8" w14:textId="0F81F3C2" w:rsidR="001204FD" w:rsidRPr="000458E0" w:rsidRDefault="001204FD" w:rsidP="004C6A5A">
      <w:pPr>
        <w:pStyle w:val="Textocomentario"/>
        <w:jc w:val="both"/>
        <w:rPr>
          <w:b/>
          <w:sz w:val="22"/>
          <w:szCs w:val="22"/>
          <w:lang w:val="en-GB"/>
        </w:rPr>
      </w:pPr>
      <w:r w:rsidRPr="000458E0">
        <w:rPr>
          <w:b/>
          <w:sz w:val="22"/>
          <w:szCs w:val="22"/>
          <w:lang w:val="en-GB"/>
        </w:rPr>
        <w:t>S2</w:t>
      </w:r>
      <w:r w:rsidR="000458E0" w:rsidRPr="000458E0">
        <w:rPr>
          <w:b/>
          <w:sz w:val="22"/>
          <w:szCs w:val="22"/>
          <w:lang w:val="en-GB"/>
        </w:rPr>
        <w:t>. Supplementary information for management plans</w:t>
      </w:r>
    </w:p>
    <w:p w14:paraId="3C770ABC" w14:textId="31A8F023" w:rsidR="001204FD" w:rsidRPr="000D6680" w:rsidRDefault="001204FD" w:rsidP="001204FD">
      <w:pPr>
        <w:spacing w:after="0" w:line="240" w:lineRule="auto"/>
        <w:jc w:val="both"/>
      </w:pPr>
      <w:r>
        <w:t>Below we provide a short summary of each of the three plans, while Table 1</w:t>
      </w:r>
      <w:r w:rsidR="00232D05">
        <w:t xml:space="preserve"> </w:t>
      </w:r>
      <w:r>
        <w:t xml:space="preserve">provides an overview of related </w:t>
      </w:r>
      <w:r w:rsidR="00322E22">
        <w:t>investments</w:t>
      </w:r>
      <w:r w:rsidR="00322E22" w:rsidRPr="00AE78FD">
        <w:t>:</w:t>
      </w:r>
    </w:p>
    <w:p w14:paraId="3DE3B2ED" w14:textId="77777777" w:rsidR="001204FD" w:rsidRPr="000D6680" w:rsidRDefault="001204FD" w:rsidP="001204FD">
      <w:pPr>
        <w:spacing w:after="0" w:line="240" w:lineRule="auto"/>
        <w:jc w:val="both"/>
      </w:pPr>
    </w:p>
    <w:p w14:paraId="635405C3" w14:textId="77777777" w:rsidR="001204FD" w:rsidRPr="002E590D" w:rsidRDefault="001204FD" w:rsidP="001204FD">
      <w:pPr>
        <w:pStyle w:val="Prrafodelista"/>
        <w:numPr>
          <w:ilvl w:val="0"/>
          <w:numId w:val="1"/>
        </w:numPr>
        <w:spacing w:after="0" w:line="240" w:lineRule="auto"/>
        <w:jc w:val="both"/>
        <w:rPr>
          <w:lang w:val="en-GB"/>
        </w:rPr>
      </w:pPr>
      <w:r w:rsidRPr="000D6680">
        <w:rPr>
          <w:rFonts w:cs="Calibri"/>
          <w:color w:val="000000"/>
          <w:lang w:val="en-GB"/>
        </w:rPr>
        <w:t>National level:</w:t>
      </w:r>
      <w:r w:rsidRPr="000D6680">
        <w:rPr>
          <w:rFonts w:cs="Calibri"/>
          <w:i/>
          <w:color w:val="000000"/>
          <w:lang w:val="en-GB"/>
        </w:rPr>
        <w:t xml:space="preserve"> National Plan of Priority Actions on Hydrological and Forestry Restoration,</w:t>
      </w:r>
      <w:r w:rsidRPr="000D6680">
        <w:rPr>
          <w:rFonts w:cs="Calibri"/>
          <w:color w:val="000000"/>
          <w:lang w:val="en-GB"/>
        </w:rPr>
        <w:t xml:space="preserve"> </w:t>
      </w:r>
      <w:r w:rsidRPr="000D6680">
        <w:rPr>
          <w:rFonts w:cs="Calibri"/>
          <w:i/>
          <w:color w:val="000000"/>
          <w:lang w:val="en-GB"/>
        </w:rPr>
        <w:t>Erosion control and fight against desertification</w:t>
      </w:r>
      <w:r w:rsidRPr="000D6680">
        <w:rPr>
          <w:rFonts w:cs="Calibri"/>
          <w:color w:val="000000"/>
          <w:lang w:val="en-GB"/>
        </w:rPr>
        <w:t xml:space="preserve"> (NPPARE, Ministerio de Medio Ambiente, 2001)</w:t>
      </w:r>
      <w:r w:rsidRPr="000D6680">
        <w:rPr>
          <w:lang w:val="en-GB"/>
        </w:rPr>
        <w:t xml:space="preserve">. The NPPARE </w:t>
      </w:r>
      <w:proofErr w:type="gramStart"/>
      <w:r w:rsidRPr="000D6680">
        <w:rPr>
          <w:lang w:val="en-GB"/>
        </w:rPr>
        <w:t>is annexed</w:t>
      </w:r>
      <w:proofErr w:type="gramEnd"/>
      <w:r w:rsidRPr="000D6680">
        <w:rPr>
          <w:lang w:val="en-GB"/>
        </w:rPr>
        <w:t xml:space="preserve"> to the National Forestry Plan (2002-2032) and its main objectives are erosion control, improvement of hydrological regimes, regulation of surface discharge, and the restoration, conservation, and improvement of the protective vegetation cover. The specific objectives of the plan </w:t>
      </w:r>
      <w:proofErr w:type="gramStart"/>
      <w:r w:rsidRPr="000D6680">
        <w:rPr>
          <w:lang w:val="en-GB"/>
        </w:rPr>
        <w:t>are related</w:t>
      </w:r>
      <w:proofErr w:type="gramEnd"/>
      <w:r w:rsidRPr="000D6680">
        <w:rPr>
          <w:lang w:val="en-GB"/>
        </w:rPr>
        <w:t xml:space="preserve"> to soil and vegetation restoration, hydrological regulation, aquifers recharge, erosion control, and protection of water infrastructures, including reservoirs. A prioritization system of second-order catchments </w:t>
      </w:r>
      <w:proofErr w:type="gramStart"/>
      <w:r w:rsidRPr="000D6680">
        <w:rPr>
          <w:lang w:val="en-GB"/>
        </w:rPr>
        <w:t>was developed</w:t>
      </w:r>
      <w:proofErr w:type="gramEnd"/>
      <w:r w:rsidRPr="000D6680">
        <w:rPr>
          <w:lang w:val="en-GB"/>
        </w:rPr>
        <w:t xml:space="preserve"> to apply the restoration actions. This </w:t>
      </w:r>
      <w:proofErr w:type="gramStart"/>
      <w:r w:rsidRPr="000D6680">
        <w:rPr>
          <w:lang w:val="en-GB"/>
        </w:rPr>
        <w:t>is based</w:t>
      </w:r>
      <w:proofErr w:type="gramEnd"/>
      <w:r w:rsidRPr="000D6680">
        <w:rPr>
          <w:lang w:val="en-GB"/>
        </w:rPr>
        <w:t xml:space="preserve"> on the technical and administrative facilities available to apply the actions and is combined with the use of an index based on the </w:t>
      </w:r>
      <w:r>
        <w:rPr>
          <w:lang w:val="en-GB"/>
        </w:rPr>
        <w:t xml:space="preserve">estimated average </w:t>
      </w:r>
      <w:r w:rsidRPr="000D6680">
        <w:rPr>
          <w:lang w:val="en-GB"/>
        </w:rPr>
        <w:t xml:space="preserve">soil loss rates and the flood damage potential of the </w:t>
      </w:r>
      <w:proofErr w:type="spellStart"/>
      <w:r w:rsidRPr="000D6680">
        <w:rPr>
          <w:lang w:val="en-GB"/>
        </w:rPr>
        <w:t>subcatchment</w:t>
      </w:r>
      <w:proofErr w:type="spellEnd"/>
      <w:r w:rsidRPr="000D6680">
        <w:rPr>
          <w:lang w:val="en-GB"/>
        </w:rPr>
        <w:t xml:space="preserve">. The reference value erosion rate for the implementation of correction measures in </w:t>
      </w:r>
      <w:proofErr w:type="spellStart"/>
      <w:r w:rsidRPr="000D6680">
        <w:rPr>
          <w:lang w:val="en-GB"/>
        </w:rPr>
        <w:t>subcatchments</w:t>
      </w:r>
      <w:proofErr w:type="spellEnd"/>
      <w:r w:rsidRPr="000D6680">
        <w:rPr>
          <w:lang w:val="en-GB"/>
        </w:rPr>
        <w:t xml:space="preserve"> is &gt;50 t ha</w:t>
      </w:r>
      <w:r w:rsidRPr="000D6680">
        <w:rPr>
          <w:vertAlign w:val="superscript"/>
          <w:lang w:val="en-GB"/>
        </w:rPr>
        <w:t>-1</w:t>
      </w:r>
      <w:r w:rsidRPr="000D6680">
        <w:rPr>
          <w:lang w:val="en-GB"/>
        </w:rPr>
        <w:t xml:space="preserve"> year</w:t>
      </w:r>
      <w:r w:rsidRPr="000D6680">
        <w:rPr>
          <w:vertAlign w:val="superscript"/>
          <w:lang w:val="en-GB"/>
        </w:rPr>
        <w:t>-1</w:t>
      </w:r>
      <w:r w:rsidRPr="000D6680">
        <w:rPr>
          <w:lang w:val="en-GB"/>
        </w:rPr>
        <w:t>, but this threshold can be lowered to 25 and even 12 t ha</w:t>
      </w:r>
      <w:r w:rsidRPr="000D6680">
        <w:rPr>
          <w:vertAlign w:val="superscript"/>
          <w:lang w:val="en-GB"/>
        </w:rPr>
        <w:t>-1</w:t>
      </w:r>
      <w:r w:rsidRPr="000D6680">
        <w:rPr>
          <w:lang w:val="en-GB"/>
        </w:rPr>
        <w:t xml:space="preserve"> year</w:t>
      </w:r>
      <w:r w:rsidRPr="000D6680">
        <w:rPr>
          <w:vertAlign w:val="superscript"/>
          <w:lang w:val="en-GB"/>
        </w:rPr>
        <w:t>-1</w:t>
      </w:r>
      <w:r w:rsidRPr="000D6680">
        <w:rPr>
          <w:lang w:val="en-GB"/>
        </w:rPr>
        <w:t xml:space="preserve"> if the area has some specific or special interest for the region. It is a plan with a clear focus on the regulation of water and sediment fluxes</w:t>
      </w:r>
      <w:r>
        <w:rPr>
          <w:lang w:val="en-GB"/>
        </w:rPr>
        <w:t xml:space="preserve"> in order</w:t>
      </w:r>
      <w:r w:rsidRPr="000D6680">
        <w:rPr>
          <w:lang w:val="en-GB"/>
        </w:rPr>
        <w:t xml:space="preserve"> to protect </w:t>
      </w:r>
      <w:r>
        <w:rPr>
          <w:lang w:val="en-GB"/>
        </w:rPr>
        <w:t xml:space="preserve">major </w:t>
      </w:r>
      <w:r w:rsidRPr="000D6680">
        <w:rPr>
          <w:lang w:val="en-GB"/>
        </w:rPr>
        <w:t xml:space="preserve">infrastructures (reservoirs and hydraulic infrastructures). However, it also takes into account the positive side-effects of the control and restoration actions - such as improvement of the soil quality, vegetation, and biodiversity, recharge of aquifers, and protection of the quality of surface water </w:t>
      </w:r>
      <w:r w:rsidRPr="000D6680">
        <w:rPr>
          <w:lang w:val="en-GB"/>
        </w:rPr>
        <w:fldChar w:fldCharType="begin" w:fldLock="1"/>
      </w:r>
      <w:r w:rsidRPr="002E590D">
        <w:rPr>
          <w:lang w:val="en-GB"/>
        </w:rPr>
        <w:instrText>ADDIN CSL_CITATION { "citationItems" : [ { "id" : "ITEM-1", "itemData" : { "author" : [ { "dropping-particle" : "", "family" : "Ministerio de Medio Ambiente", "given" : "Direcci\u00f3n General de Conservaci\u00f3n de la Naturaleza", "non-dropping-particle" : "", "parse-names" : false, "suffix" : "" } ], "id" : "ITEM-1", "issued" : { "date-parts" : [ [ "2001" ] ] }, "title" : "Plan Nacional de Actuaciones Prioritarias en Materia de Restauraci\u00f3n Hidrol\u00f3gico-Forestal, control de la erosi\u00f3n y defensa contra la desertificaci\u00f3n", "type" : "book" }, "uris" : [ "http://www.mendeley.com/documents/?uuid=b752b49f-473d-42ac-bef3-8bb8869217a1" ] } ], "mendeley" : { "formattedCitation" : "(Ministerio de Medio Ambiente, 2001)", "plainTextFormattedCitation" : "(Ministerio de Medio Ambiente, 2001)", "previouslyFormattedCitation" : "(Ministerio de Medio Ambiente, 2001)" }, "properties" : {  }, "schema" : "https://github.com/citation-style-language/schema/raw/master/csl-citation.json" }</w:instrText>
      </w:r>
      <w:r w:rsidRPr="000D6680">
        <w:rPr>
          <w:lang w:val="en-GB"/>
        </w:rPr>
        <w:fldChar w:fldCharType="separate"/>
      </w:r>
      <w:bookmarkStart w:id="0" w:name="__Fieldmark__308_3027010107"/>
      <w:r w:rsidRPr="000D6680">
        <w:rPr>
          <w:noProof/>
          <w:lang w:val="en-GB"/>
        </w:rPr>
        <w:t>(</w:t>
      </w:r>
      <w:bookmarkStart w:id="1" w:name="__Fieldmark__1090_500874782"/>
      <w:r w:rsidRPr="000D6680">
        <w:rPr>
          <w:noProof/>
          <w:lang w:val="en-GB"/>
        </w:rPr>
        <w:t>Ministerio de Medio Ambiente, 2001)</w:t>
      </w:r>
      <w:r w:rsidRPr="000D6680">
        <w:rPr>
          <w:lang w:val="en-GB"/>
        </w:rPr>
        <w:fldChar w:fldCharType="end"/>
      </w:r>
      <w:bookmarkEnd w:id="0"/>
      <w:bookmarkEnd w:id="1"/>
      <w:r w:rsidRPr="000D6680">
        <w:rPr>
          <w:lang w:val="en-GB"/>
        </w:rPr>
        <w:t>.</w:t>
      </w:r>
    </w:p>
    <w:p w14:paraId="296DF79D" w14:textId="77777777" w:rsidR="001204FD" w:rsidRPr="000D6680" w:rsidRDefault="001204FD" w:rsidP="001204FD">
      <w:pPr>
        <w:pStyle w:val="Prrafodelista"/>
        <w:spacing w:after="0" w:line="240" w:lineRule="auto"/>
        <w:jc w:val="both"/>
        <w:rPr>
          <w:lang w:val="en-GB"/>
        </w:rPr>
      </w:pPr>
    </w:p>
    <w:p w14:paraId="7AC0F97B" w14:textId="77777777" w:rsidR="001204FD" w:rsidRPr="000D6680" w:rsidRDefault="001204FD" w:rsidP="001204FD">
      <w:pPr>
        <w:pStyle w:val="Prrafodelista"/>
        <w:spacing w:after="0" w:line="240" w:lineRule="auto"/>
        <w:jc w:val="both"/>
        <w:rPr>
          <w:lang w:val="en-GB"/>
        </w:rPr>
      </w:pPr>
    </w:p>
    <w:p w14:paraId="582FCD68" w14:textId="61DEF122" w:rsidR="001204FD" w:rsidRPr="00097DD3" w:rsidRDefault="001204FD" w:rsidP="001204FD">
      <w:pPr>
        <w:pStyle w:val="Prrafodelista"/>
        <w:numPr>
          <w:ilvl w:val="0"/>
          <w:numId w:val="1"/>
        </w:numPr>
        <w:jc w:val="both"/>
        <w:rPr>
          <w:lang w:val="en-GB"/>
        </w:rPr>
      </w:pPr>
      <w:proofErr w:type="gramStart"/>
      <w:r w:rsidRPr="000D6680">
        <w:rPr>
          <w:lang w:val="en-GB"/>
        </w:rPr>
        <w:t>Regional level</w:t>
      </w:r>
      <w:r w:rsidRPr="000D6680">
        <w:rPr>
          <w:i/>
          <w:lang w:val="en-GB"/>
        </w:rPr>
        <w:t>: Action Plan of Forestry policy of the Murcia Region 2016-2020 (APFMR)</w:t>
      </w:r>
      <w:r w:rsidRPr="000D6680">
        <w:rPr>
          <w:lang w:val="en-GB"/>
        </w:rPr>
        <w:t xml:space="preserve"> The general objective of the plan is linked to the concept of </w:t>
      </w:r>
      <w:r w:rsidRPr="00AE78FD">
        <w:rPr>
          <w:lang w:val="en-GB"/>
        </w:rPr>
        <w:t xml:space="preserve">the </w:t>
      </w:r>
      <w:r w:rsidR="00322E22" w:rsidRPr="00AE78FD">
        <w:rPr>
          <w:lang w:val="en-GB"/>
        </w:rPr>
        <w:t>ES</w:t>
      </w:r>
      <w:r w:rsidR="00322E22">
        <w:rPr>
          <w:lang w:val="en-GB"/>
        </w:rPr>
        <w:t xml:space="preserve"> </w:t>
      </w:r>
      <w:r w:rsidRPr="000D6680">
        <w:rPr>
          <w:lang w:val="en-GB"/>
        </w:rPr>
        <w:t xml:space="preserve">provided by forests </w:t>
      </w:r>
      <w:r w:rsidRPr="000D6680">
        <w:rPr>
          <w:lang w:val="en-GB"/>
        </w:rPr>
        <w:lastRenderedPageBreak/>
        <w:t>and points out the importance of recreational and protection services: “to guarantee that forests continue providing important benefits to society, through ecosystem benefits and the development of recreational and/or tourism activities, as well as the protection of inhabited areas through forest and hydrological correction works in the catchments”</w:t>
      </w:r>
      <w:r w:rsidRPr="000D6680">
        <w:rPr>
          <w:i/>
          <w:lang w:val="en-GB"/>
        </w:rPr>
        <w:t xml:space="preserve"> (</w:t>
      </w:r>
      <w:proofErr w:type="spellStart"/>
      <w:r w:rsidRPr="00097DD3">
        <w:rPr>
          <w:lang w:val="en-GB"/>
        </w:rPr>
        <w:t>Consejería</w:t>
      </w:r>
      <w:proofErr w:type="spellEnd"/>
      <w:r w:rsidRPr="00097DD3">
        <w:rPr>
          <w:lang w:val="en-GB"/>
        </w:rPr>
        <w:t xml:space="preserve"> de Agua, Agricultura y </w:t>
      </w:r>
      <w:proofErr w:type="spellStart"/>
      <w:r w:rsidRPr="00097DD3">
        <w:rPr>
          <w:lang w:val="en-GB"/>
        </w:rPr>
        <w:t>Medioambiente</w:t>
      </w:r>
      <w:proofErr w:type="spellEnd"/>
      <w:r w:rsidRPr="00097DD3">
        <w:rPr>
          <w:lang w:val="en-GB"/>
        </w:rPr>
        <w:t>, 2016, page 6).</w:t>
      </w:r>
      <w:proofErr w:type="gramEnd"/>
    </w:p>
    <w:p w14:paraId="3CE7F403" w14:textId="271B244F" w:rsidR="001204FD" w:rsidRPr="000D6680" w:rsidRDefault="001204FD" w:rsidP="001204FD">
      <w:pPr>
        <w:tabs>
          <w:tab w:val="left" w:pos="720"/>
        </w:tabs>
        <w:ind w:left="709" w:hanging="349"/>
        <w:jc w:val="both"/>
      </w:pPr>
      <w:r w:rsidRPr="000D6680">
        <w:tab/>
        <w:t xml:space="preserve">The reforestation activities and hydrological control works </w:t>
      </w:r>
      <w:proofErr w:type="gramStart"/>
      <w:r w:rsidRPr="000D6680">
        <w:t>are related</w:t>
      </w:r>
      <w:proofErr w:type="gramEnd"/>
      <w:r w:rsidRPr="000D6680">
        <w:t xml:space="preserve"> to Program 5 of the Plan:</w:t>
      </w:r>
      <w:r w:rsidRPr="000D6680">
        <w:rPr>
          <w:i/>
        </w:rPr>
        <w:t xml:space="preserve"> “Hydrological restoration and soil conservation, linking with the National program of Forest and Hydrological Actions. </w:t>
      </w:r>
      <w:proofErr w:type="gramStart"/>
      <w:r w:rsidRPr="000D6680">
        <w:rPr>
          <w:i/>
        </w:rPr>
        <w:t xml:space="preserve">Hydrological control works and restoration works for soil conservation and the fight against desertification (Forestry Planning Group)” </w:t>
      </w:r>
      <w:r w:rsidRPr="000D6680">
        <w:t>and the expected results of that program are related to: (</w:t>
      </w:r>
      <w:proofErr w:type="spellStart"/>
      <w:r w:rsidRPr="000D6680">
        <w:t>i</w:t>
      </w:r>
      <w:proofErr w:type="spellEnd"/>
      <w:r w:rsidRPr="000D6680">
        <w:t xml:space="preserve">) soil conservation, runoff regulation, and sediments control, and (ii) </w:t>
      </w:r>
      <w:r>
        <w:t>s</w:t>
      </w:r>
      <w:r w:rsidRPr="000D6680">
        <w:t xml:space="preserve">ynergic effects (in fact, improvement </w:t>
      </w:r>
      <w:r w:rsidRPr="00AE78FD">
        <w:t xml:space="preserve">of </w:t>
      </w:r>
      <w:r w:rsidR="00322E22" w:rsidRPr="00AE78FD">
        <w:t>ES</w:t>
      </w:r>
      <w:r w:rsidRPr="00AE78FD">
        <w:t>):</w:t>
      </w:r>
      <w:r w:rsidRPr="000D6680">
        <w:t xml:space="preserve"> fight against climatic change (increase in carbon sinks) and against floods and droughts, increase in biodiversity, enrichment of the landscape.</w:t>
      </w:r>
      <w:proofErr w:type="gramEnd"/>
    </w:p>
    <w:p w14:paraId="2988D9C7" w14:textId="77777777" w:rsidR="001204FD" w:rsidRPr="00E54C92" w:rsidRDefault="001204FD" w:rsidP="001204FD">
      <w:pPr>
        <w:pStyle w:val="Prrafodelista"/>
        <w:numPr>
          <w:ilvl w:val="0"/>
          <w:numId w:val="1"/>
        </w:numPr>
        <w:spacing w:after="0" w:line="240" w:lineRule="auto"/>
        <w:ind w:left="360"/>
        <w:jc w:val="both"/>
        <w:rPr>
          <w:lang w:val="en-GB"/>
        </w:rPr>
      </w:pPr>
      <w:r w:rsidRPr="00E54C92">
        <w:rPr>
          <w:i/>
          <w:lang w:val="en-GB"/>
        </w:rPr>
        <w:t xml:space="preserve">The catchment hydrological plan of the Segura River (Plan de Cuenca </w:t>
      </w:r>
      <w:proofErr w:type="gramStart"/>
      <w:r w:rsidRPr="00E54C92">
        <w:rPr>
          <w:i/>
          <w:lang w:val="en-GB"/>
        </w:rPr>
        <w:t>del</w:t>
      </w:r>
      <w:proofErr w:type="gramEnd"/>
      <w:r w:rsidRPr="00E54C92">
        <w:rPr>
          <w:i/>
          <w:lang w:val="en-GB"/>
        </w:rPr>
        <w:t xml:space="preserve"> Segura)</w:t>
      </w:r>
      <w:r w:rsidRPr="00E54C92">
        <w:rPr>
          <w:lang w:val="en-GB"/>
        </w:rPr>
        <w:t xml:space="preserve"> 2009-2021. This </w:t>
      </w:r>
      <w:proofErr w:type="gramStart"/>
      <w:r w:rsidRPr="00E54C92">
        <w:rPr>
          <w:lang w:val="en-GB"/>
        </w:rPr>
        <w:t>is divided</w:t>
      </w:r>
      <w:proofErr w:type="gramEnd"/>
      <w:r w:rsidRPr="00E54C92">
        <w:rPr>
          <w:lang w:val="en-GB"/>
        </w:rPr>
        <w:t xml:space="preserve"> in two periods; 2009-2015 and 2016-2021. There are two groups of measures in relation to the reforestation and hydrological control works planned. These </w:t>
      </w:r>
      <w:proofErr w:type="gramStart"/>
      <w:r w:rsidRPr="00E54C92">
        <w:rPr>
          <w:lang w:val="en-GB"/>
        </w:rPr>
        <w:t>are intended</w:t>
      </w:r>
      <w:proofErr w:type="gramEnd"/>
      <w:r w:rsidRPr="00E54C92">
        <w:rPr>
          <w:lang w:val="en-GB"/>
        </w:rPr>
        <w:t xml:space="preserve"> to accomplish the environmental objectives designed for the water bodies: (</w:t>
      </w:r>
      <w:proofErr w:type="spellStart"/>
      <w:r w:rsidRPr="00E54C92">
        <w:rPr>
          <w:lang w:val="en-GB"/>
        </w:rPr>
        <w:t>i</w:t>
      </w:r>
      <w:proofErr w:type="spellEnd"/>
      <w:r w:rsidRPr="00E54C92">
        <w:rPr>
          <w:lang w:val="en-GB"/>
        </w:rPr>
        <w:t>) Measures for improvement of morphological conditions (</w:t>
      </w:r>
      <w:r w:rsidRPr="00E54C92">
        <w:rPr>
          <w:i/>
          <w:lang w:val="en-GB"/>
        </w:rPr>
        <w:t>IPH4 “</w:t>
      </w:r>
      <w:proofErr w:type="spellStart"/>
      <w:r w:rsidRPr="00E54C92">
        <w:rPr>
          <w:i/>
          <w:lang w:val="en-GB"/>
        </w:rPr>
        <w:t>Instrucción</w:t>
      </w:r>
      <w:proofErr w:type="spellEnd"/>
      <w:r w:rsidRPr="00E54C92">
        <w:rPr>
          <w:i/>
          <w:lang w:val="en-GB"/>
        </w:rPr>
        <w:t xml:space="preserve"> de </w:t>
      </w:r>
      <w:proofErr w:type="spellStart"/>
      <w:r w:rsidRPr="00E54C92">
        <w:rPr>
          <w:i/>
          <w:lang w:val="en-GB"/>
        </w:rPr>
        <w:t>Planificación</w:t>
      </w:r>
      <w:proofErr w:type="spellEnd"/>
      <w:r w:rsidRPr="00E54C92">
        <w:rPr>
          <w:i/>
          <w:lang w:val="en-GB"/>
        </w:rPr>
        <w:t xml:space="preserve"> </w:t>
      </w:r>
      <w:proofErr w:type="spellStart"/>
      <w:r w:rsidRPr="00E54C92">
        <w:rPr>
          <w:i/>
          <w:lang w:val="en-GB"/>
        </w:rPr>
        <w:t>Hidrológica</w:t>
      </w:r>
      <w:proofErr w:type="spellEnd"/>
      <w:r w:rsidRPr="00E54C92">
        <w:rPr>
          <w:i/>
          <w:lang w:val="en-GB"/>
        </w:rPr>
        <w:t xml:space="preserve"> 4”</w:t>
      </w:r>
      <w:r w:rsidRPr="00E54C92">
        <w:rPr>
          <w:lang w:val="en-GB"/>
        </w:rPr>
        <w:t xml:space="preserve">) and (ii) Measures for protection against floods (IPH 14). Additionally, there is another group of measures (IPH 2): Measures for reducing non-point contamination, where hydrological control works would have an indirect effect on the reduction of non-point contamination. The actions specified within these groups of measures are three-fold: hydrological correction works, actions for flood regulation, and reforestations. </w:t>
      </w:r>
    </w:p>
    <w:p w14:paraId="02177419" w14:textId="77777777" w:rsidR="001204FD" w:rsidRPr="000D6680" w:rsidRDefault="001204FD" w:rsidP="001204FD">
      <w:pPr>
        <w:tabs>
          <w:tab w:val="left" w:pos="3153"/>
        </w:tabs>
        <w:spacing w:after="0" w:line="240" w:lineRule="auto"/>
        <w:jc w:val="both"/>
      </w:pPr>
      <w:r w:rsidRPr="000D6680">
        <w:tab/>
      </w:r>
    </w:p>
    <w:p w14:paraId="58CD9D86" w14:textId="77777777" w:rsidR="001204FD" w:rsidRPr="000D6680" w:rsidRDefault="001204FD" w:rsidP="001204FD">
      <w:pPr>
        <w:spacing w:after="0" w:line="240" w:lineRule="auto"/>
      </w:pPr>
    </w:p>
    <w:p w14:paraId="63211198" w14:textId="77777777" w:rsidR="001204FD" w:rsidRPr="000D6680" w:rsidRDefault="001204FD" w:rsidP="001204FD">
      <w:pPr>
        <w:spacing w:after="0" w:line="240" w:lineRule="auto"/>
        <w:rPr>
          <w:sz w:val="20"/>
          <w:szCs w:val="20"/>
        </w:rPr>
      </w:pPr>
      <w:r w:rsidRPr="000D6680">
        <w:rPr>
          <w:sz w:val="20"/>
          <w:szCs w:val="20"/>
        </w:rPr>
        <w:t>Table 1. Investments according to the Planning Instruments with a stake in reforestation and hydrological control works in the Segura basin</w:t>
      </w:r>
    </w:p>
    <w:tbl>
      <w:tblPr>
        <w:tblStyle w:val="Tablaconcuadrcula"/>
        <w:tblW w:w="8504" w:type="dxa"/>
        <w:tblCellMar>
          <w:left w:w="113" w:type="dxa"/>
        </w:tblCellMar>
        <w:tblLook w:val="04A0" w:firstRow="1" w:lastRow="0" w:firstColumn="1" w:lastColumn="0" w:noHBand="0" w:noVBand="1"/>
      </w:tblPr>
      <w:tblGrid>
        <w:gridCol w:w="1801"/>
        <w:gridCol w:w="1444"/>
        <w:gridCol w:w="1575"/>
        <w:gridCol w:w="1276"/>
        <w:gridCol w:w="2408"/>
      </w:tblGrid>
      <w:tr w:rsidR="001204FD" w:rsidRPr="00026F4F" w14:paraId="55CF7267" w14:textId="77777777" w:rsidTr="00CD62BE">
        <w:tc>
          <w:tcPr>
            <w:tcW w:w="1801" w:type="dxa"/>
            <w:tcBorders>
              <w:left w:val="nil"/>
              <w:right w:val="nil"/>
            </w:tcBorders>
            <w:shd w:val="clear" w:color="auto" w:fill="auto"/>
          </w:tcPr>
          <w:p w14:paraId="06ACE4FD" w14:textId="77777777" w:rsidR="001204FD" w:rsidRPr="000D6680" w:rsidRDefault="001204FD" w:rsidP="00CD62BE">
            <w:pPr>
              <w:spacing w:beforeAutospacing="1"/>
              <w:rPr>
                <w:sz w:val="18"/>
                <w:szCs w:val="18"/>
              </w:rPr>
            </w:pPr>
          </w:p>
        </w:tc>
        <w:tc>
          <w:tcPr>
            <w:tcW w:w="1444" w:type="dxa"/>
            <w:tcBorders>
              <w:left w:val="nil"/>
              <w:right w:val="nil"/>
            </w:tcBorders>
            <w:shd w:val="clear" w:color="auto" w:fill="auto"/>
          </w:tcPr>
          <w:p w14:paraId="31D97F8C" w14:textId="77777777" w:rsidR="001204FD" w:rsidRPr="000D6680" w:rsidRDefault="001204FD" w:rsidP="00CD62BE">
            <w:pPr>
              <w:spacing w:beforeAutospacing="1"/>
              <w:rPr>
                <w:sz w:val="18"/>
                <w:szCs w:val="18"/>
              </w:rPr>
            </w:pPr>
            <w:r w:rsidRPr="000D6680">
              <w:rPr>
                <w:sz w:val="18"/>
                <w:szCs w:val="18"/>
              </w:rPr>
              <w:t>Catchment plan First period</w:t>
            </w:r>
          </w:p>
          <w:p w14:paraId="7FFEFC31" w14:textId="77777777" w:rsidR="001204FD" w:rsidRPr="000D6680" w:rsidRDefault="001204FD" w:rsidP="00CD62BE">
            <w:pPr>
              <w:spacing w:beforeAutospacing="1"/>
              <w:rPr>
                <w:sz w:val="18"/>
                <w:szCs w:val="18"/>
              </w:rPr>
            </w:pPr>
            <w:r w:rsidRPr="000D6680">
              <w:rPr>
                <w:sz w:val="18"/>
                <w:szCs w:val="18"/>
              </w:rPr>
              <w:t>2009/2015 (18000 km</w:t>
            </w:r>
            <w:r w:rsidRPr="000D6680">
              <w:rPr>
                <w:sz w:val="18"/>
                <w:szCs w:val="18"/>
                <w:vertAlign w:val="superscript"/>
              </w:rPr>
              <w:t>2</w:t>
            </w:r>
            <w:r w:rsidRPr="000D6680">
              <w:rPr>
                <w:sz w:val="18"/>
                <w:szCs w:val="18"/>
              </w:rPr>
              <w:t>)</w:t>
            </w:r>
          </w:p>
        </w:tc>
        <w:tc>
          <w:tcPr>
            <w:tcW w:w="1575" w:type="dxa"/>
            <w:tcBorders>
              <w:left w:val="nil"/>
              <w:right w:val="nil"/>
            </w:tcBorders>
            <w:shd w:val="clear" w:color="auto" w:fill="auto"/>
          </w:tcPr>
          <w:p w14:paraId="741DD7F0" w14:textId="77777777" w:rsidR="001204FD" w:rsidRPr="000D6680" w:rsidRDefault="001204FD" w:rsidP="00CD62BE">
            <w:pPr>
              <w:spacing w:beforeAutospacing="1"/>
              <w:rPr>
                <w:sz w:val="18"/>
                <w:szCs w:val="18"/>
              </w:rPr>
            </w:pPr>
            <w:r w:rsidRPr="000D6680">
              <w:rPr>
                <w:sz w:val="18"/>
                <w:szCs w:val="18"/>
              </w:rPr>
              <w:t xml:space="preserve">Catchment plan Second period </w:t>
            </w:r>
          </w:p>
          <w:p w14:paraId="37F20102" w14:textId="77777777" w:rsidR="001204FD" w:rsidRPr="000D6680" w:rsidRDefault="001204FD" w:rsidP="00CD62BE">
            <w:pPr>
              <w:spacing w:beforeAutospacing="1"/>
              <w:rPr>
                <w:sz w:val="18"/>
                <w:szCs w:val="18"/>
              </w:rPr>
            </w:pPr>
            <w:r w:rsidRPr="000D6680">
              <w:rPr>
                <w:sz w:val="18"/>
                <w:szCs w:val="18"/>
              </w:rPr>
              <w:t>2015/2021 (18000 km</w:t>
            </w:r>
            <w:r w:rsidRPr="000D6680">
              <w:rPr>
                <w:sz w:val="18"/>
                <w:szCs w:val="18"/>
                <w:vertAlign w:val="superscript"/>
              </w:rPr>
              <w:t>2</w:t>
            </w:r>
            <w:r w:rsidRPr="000D6680">
              <w:rPr>
                <w:sz w:val="18"/>
                <w:szCs w:val="18"/>
              </w:rPr>
              <w:t>)</w:t>
            </w:r>
          </w:p>
        </w:tc>
        <w:tc>
          <w:tcPr>
            <w:tcW w:w="1276" w:type="dxa"/>
            <w:tcBorders>
              <w:left w:val="nil"/>
              <w:right w:val="nil"/>
            </w:tcBorders>
            <w:shd w:val="clear" w:color="auto" w:fill="auto"/>
          </w:tcPr>
          <w:p w14:paraId="5A1D7614" w14:textId="77777777" w:rsidR="001204FD" w:rsidRPr="000D6680" w:rsidRDefault="001204FD" w:rsidP="00CD62BE">
            <w:pPr>
              <w:spacing w:beforeAutospacing="1"/>
              <w:rPr>
                <w:sz w:val="18"/>
                <w:szCs w:val="18"/>
              </w:rPr>
            </w:pPr>
            <w:r w:rsidRPr="000D6680">
              <w:rPr>
                <w:sz w:val="18"/>
                <w:szCs w:val="18"/>
              </w:rPr>
              <w:t>Forestry Plan Region of Murcia 2016/2020 (11000 km</w:t>
            </w:r>
            <w:r w:rsidRPr="000D6680">
              <w:rPr>
                <w:sz w:val="18"/>
                <w:szCs w:val="18"/>
                <w:vertAlign w:val="superscript"/>
              </w:rPr>
              <w:t>2</w:t>
            </w:r>
            <w:r w:rsidRPr="000D6680">
              <w:rPr>
                <w:sz w:val="18"/>
                <w:szCs w:val="18"/>
              </w:rPr>
              <w:t>)</w:t>
            </w:r>
          </w:p>
        </w:tc>
        <w:tc>
          <w:tcPr>
            <w:tcW w:w="2408" w:type="dxa"/>
            <w:tcBorders>
              <w:left w:val="nil"/>
              <w:right w:val="nil"/>
            </w:tcBorders>
            <w:shd w:val="clear" w:color="auto" w:fill="auto"/>
          </w:tcPr>
          <w:p w14:paraId="3747BAA1" w14:textId="77777777" w:rsidR="001204FD" w:rsidRPr="000D6680" w:rsidRDefault="001204FD" w:rsidP="00CD62BE">
            <w:pPr>
              <w:spacing w:beforeAutospacing="1"/>
              <w:rPr>
                <w:sz w:val="16"/>
                <w:szCs w:val="16"/>
              </w:rPr>
            </w:pPr>
            <w:r w:rsidRPr="000D6680">
              <w:rPr>
                <w:sz w:val="16"/>
                <w:szCs w:val="16"/>
              </w:rPr>
              <w:t>National plan of priority actions on hydrological and forestry restoration, erosion control and fight against desertification (18000 km</w:t>
            </w:r>
            <w:r w:rsidRPr="000D6680">
              <w:rPr>
                <w:sz w:val="16"/>
                <w:szCs w:val="16"/>
                <w:vertAlign w:val="superscript"/>
              </w:rPr>
              <w:t>2</w:t>
            </w:r>
            <w:r w:rsidRPr="000D6680">
              <w:rPr>
                <w:sz w:val="16"/>
                <w:szCs w:val="16"/>
              </w:rPr>
              <w:t>) 2002-2008*</w:t>
            </w:r>
          </w:p>
        </w:tc>
      </w:tr>
      <w:tr w:rsidR="001204FD" w:rsidRPr="002E590D" w14:paraId="0B9E4F35" w14:textId="77777777" w:rsidTr="00CD62BE">
        <w:tc>
          <w:tcPr>
            <w:tcW w:w="1801" w:type="dxa"/>
            <w:tcBorders>
              <w:left w:val="nil"/>
              <w:right w:val="nil"/>
            </w:tcBorders>
            <w:shd w:val="clear" w:color="auto" w:fill="auto"/>
          </w:tcPr>
          <w:p w14:paraId="1264B0F0" w14:textId="77777777" w:rsidR="001204FD" w:rsidRPr="000D6680" w:rsidRDefault="001204FD" w:rsidP="00CD62BE">
            <w:pPr>
              <w:spacing w:beforeAutospacing="1"/>
              <w:rPr>
                <w:sz w:val="18"/>
                <w:szCs w:val="18"/>
              </w:rPr>
            </w:pPr>
            <w:r w:rsidRPr="000D6680">
              <w:rPr>
                <w:sz w:val="18"/>
                <w:szCs w:val="18"/>
              </w:rPr>
              <w:t>Hydrological and forest correction works</w:t>
            </w:r>
          </w:p>
        </w:tc>
        <w:tc>
          <w:tcPr>
            <w:tcW w:w="1444" w:type="dxa"/>
            <w:tcBorders>
              <w:left w:val="nil"/>
              <w:right w:val="nil"/>
            </w:tcBorders>
            <w:shd w:val="clear" w:color="auto" w:fill="auto"/>
          </w:tcPr>
          <w:p w14:paraId="3BE4A0A8" w14:textId="77777777" w:rsidR="001204FD" w:rsidRPr="000D6680" w:rsidRDefault="001204FD" w:rsidP="00CD62BE">
            <w:pPr>
              <w:spacing w:beforeAutospacing="1"/>
              <w:jc w:val="center"/>
              <w:rPr>
                <w:sz w:val="18"/>
                <w:szCs w:val="18"/>
              </w:rPr>
            </w:pPr>
            <w:r w:rsidRPr="000D6680">
              <w:rPr>
                <w:sz w:val="18"/>
                <w:szCs w:val="18"/>
              </w:rPr>
              <w:t>29.54 M€</w:t>
            </w:r>
          </w:p>
        </w:tc>
        <w:tc>
          <w:tcPr>
            <w:tcW w:w="1575" w:type="dxa"/>
            <w:tcBorders>
              <w:left w:val="nil"/>
              <w:right w:val="nil"/>
            </w:tcBorders>
            <w:shd w:val="clear" w:color="auto" w:fill="auto"/>
          </w:tcPr>
          <w:p w14:paraId="4CF43315" w14:textId="77777777" w:rsidR="001204FD" w:rsidRPr="000D6680" w:rsidRDefault="001204FD" w:rsidP="00CD62BE">
            <w:pPr>
              <w:spacing w:beforeAutospacing="1"/>
              <w:jc w:val="center"/>
              <w:rPr>
                <w:sz w:val="18"/>
                <w:szCs w:val="18"/>
              </w:rPr>
            </w:pPr>
            <w:r w:rsidRPr="000D6680">
              <w:rPr>
                <w:sz w:val="18"/>
                <w:szCs w:val="18"/>
              </w:rPr>
              <w:t>16.68 M€</w:t>
            </w:r>
          </w:p>
        </w:tc>
        <w:tc>
          <w:tcPr>
            <w:tcW w:w="1276" w:type="dxa"/>
            <w:vMerge w:val="restart"/>
            <w:tcBorders>
              <w:left w:val="nil"/>
              <w:right w:val="nil"/>
            </w:tcBorders>
            <w:shd w:val="clear" w:color="auto" w:fill="auto"/>
          </w:tcPr>
          <w:p w14:paraId="4F58959A" w14:textId="77777777" w:rsidR="001204FD" w:rsidRPr="000D6680" w:rsidRDefault="001204FD" w:rsidP="00CD62BE">
            <w:pPr>
              <w:spacing w:beforeAutospacing="1"/>
              <w:jc w:val="center"/>
              <w:rPr>
                <w:sz w:val="18"/>
                <w:szCs w:val="18"/>
              </w:rPr>
            </w:pPr>
          </w:p>
          <w:p w14:paraId="14702125" w14:textId="77777777" w:rsidR="001204FD" w:rsidRPr="000D6680" w:rsidRDefault="001204FD" w:rsidP="00CD62BE">
            <w:pPr>
              <w:spacing w:beforeAutospacing="1"/>
              <w:jc w:val="center"/>
              <w:rPr>
                <w:sz w:val="18"/>
                <w:szCs w:val="18"/>
              </w:rPr>
            </w:pPr>
            <w:r w:rsidRPr="000D6680">
              <w:rPr>
                <w:sz w:val="18"/>
                <w:szCs w:val="18"/>
              </w:rPr>
              <w:t>5 M€</w:t>
            </w:r>
          </w:p>
        </w:tc>
        <w:tc>
          <w:tcPr>
            <w:tcW w:w="2408" w:type="dxa"/>
            <w:tcBorders>
              <w:left w:val="nil"/>
              <w:right w:val="nil"/>
            </w:tcBorders>
            <w:shd w:val="clear" w:color="auto" w:fill="auto"/>
          </w:tcPr>
          <w:p w14:paraId="2CB44702" w14:textId="77777777" w:rsidR="001204FD" w:rsidRPr="000D6680" w:rsidRDefault="001204FD" w:rsidP="00CD62BE">
            <w:pPr>
              <w:spacing w:beforeAutospacing="1"/>
              <w:jc w:val="center"/>
              <w:rPr>
                <w:sz w:val="18"/>
                <w:szCs w:val="18"/>
              </w:rPr>
            </w:pPr>
            <w:r w:rsidRPr="000D6680">
              <w:rPr>
                <w:sz w:val="18"/>
                <w:szCs w:val="18"/>
              </w:rPr>
              <w:t>27.5 M€ (check-dams)</w:t>
            </w:r>
          </w:p>
          <w:p w14:paraId="1B14E4E8" w14:textId="77777777" w:rsidR="001204FD" w:rsidRPr="000D6680" w:rsidRDefault="001204FD" w:rsidP="00CD62BE">
            <w:pPr>
              <w:spacing w:beforeAutospacing="1"/>
              <w:jc w:val="center"/>
              <w:rPr>
                <w:sz w:val="18"/>
                <w:szCs w:val="18"/>
              </w:rPr>
            </w:pPr>
          </w:p>
        </w:tc>
      </w:tr>
      <w:tr w:rsidR="001204FD" w:rsidRPr="002E590D" w14:paraId="59E76913" w14:textId="77777777" w:rsidTr="00CD62BE">
        <w:tc>
          <w:tcPr>
            <w:tcW w:w="1801" w:type="dxa"/>
            <w:tcBorders>
              <w:left w:val="nil"/>
              <w:right w:val="nil"/>
            </w:tcBorders>
            <w:shd w:val="clear" w:color="auto" w:fill="auto"/>
          </w:tcPr>
          <w:p w14:paraId="53515D33" w14:textId="77777777" w:rsidR="001204FD" w:rsidRPr="000D6680" w:rsidRDefault="001204FD" w:rsidP="00CD62BE">
            <w:pPr>
              <w:spacing w:beforeAutospacing="1"/>
              <w:rPr>
                <w:sz w:val="18"/>
                <w:szCs w:val="18"/>
              </w:rPr>
            </w:pPr>
            <w:r w:rsidRPr="000D6680">
              <w:rPr>
                <w:sz w:val="18"/>
                <w:szCs w:val="18"/>
              </w:rPr>
              <w:t>Floods regulation</w:t>
            </w:r>
          </w:p>
        </w:tc>
        <w:tc>
          <w:tcPr>
            <w:tcW w:w="1444" w:type="dxa"/>
            <w:tcBorders>
              <w:left w:val="nil"/>
              <w:right w:val="nil"/>
            </w:tcBorders>
            <w:shd w:val="clear" w:color="auto" w:fill="auto"/>
          </w:tcPr>
          <w:p w14:paraId="73714929" w14:textId="77777777" w:rsidR="001204FD" w:rsidRPr="000D6680" w:rsidRDefault="001204FD" w:rsidP="00CD62BE">
            <w:pPr>
              <w:spacing w:beforeAutospacing="1"/>
              <w:jc w:val="center"/>
              <w:rPr>
                <w:sz w:val="18"/>
                <w:szCs w:val="18"/>
              </w:rPr>
            </w:pPr>
            <w:r w:rsidRPr="000D6680">
              <w:rPr>
                <w:sz w:val="18"/>
                <w:szCs w:val="18"/>
              </w:rPr>
              <w:t>20.20 M€</w:t>
            </w:r>
          </w:p>
        </w:tc>
        <w:tc>
          <w:tcPr>
            <w:tcW w:w="1575" w:type="dxa"/>
            <w:tcBorders>
              <w:left w:val="nil"/>
              <w:right w:val="nil"/>
            </w:tcBorders>
            <w:shd w:val="clear" w:color="auto" w:fill="auto"/>
          </w:tcPr>
          <w:p w14:paraId="5C10AFB7" w14:textId="77777777" w:rsidR="001204FD" w:rsidRPr="000D6680" w:rsidRDefault="001204FD" w:rsidP="00CD62BE">
            <w:pPr>
              <w:spacing w:beforeAutospacing="1"/>
              <w:jc w:val="center"/>
              <w:rPr>
                <w:sz w:val="18"/>
                <w:szCs w:val="18"/>
              </w:rPr>
            </w:pPr>
            <w:r w:rsidRPr="000D6680">
              <w:rPr>
                <w:sz w:val="18"/>
                <w:szCs w:val="18"/>
              </w:rPr>
              <w:t>4 M€</w:t>
            </w:r>
          </w:p>
        </w:tc>
        <w:tc>
          <w:tcPr>
            <w:tcW w:w="1276" w:type="dxa"/>
            <w:vMerge/>
            <w:tcBorders>
              <w:left w:val="nil"/>
              <w:right w:val="nil"/>
            </w:tcBorders>
            <w:shd w:val="clear" w:color="auto" w:fill="auto"/>
          </w:tcPr>
          <w:p w14:paraId="0731E935" w14:textId="77777777" w:rsidR="001204FD" w:rsidRPr="000D6680" w:rsidRDefault="001204FD" w:rsidP="00CD62BE">
            <w:pPr>
              <w:spacing w:beforeAutospacing="1"/>
              <w:rPr>
                <w:sz w:val="18"/>
                <w:szCs w:val="18"/>
              </w:rPr>
            </w:pPr>
          </w:p>
        </w:tc>
        <w:tc>
          <w:tcPr>
            <w:tcW w:w="2408" w:type="dxa"/>
            <w:tcBorders>
              <w:left w:val="nil"/>
              <w:right w:val="nil"/>
            </w:tcBorders>
            <w:shd w:val="clear" w:color="auto" w:fill="auto"/>
          </w:tcPr>
          <w:p w14:paraId="20CC550C" w14:textId="77777777" w:rsidR="001204FD" w:rsidRPr="000D6680" w:rsidRDefault="001204FD" w:rsidP="00CD62BE">
            <w:pPr>
              <w:spacing w:beforeAutospacing="1"/>
              <w:rPr>
                <w:sz w:val="18"/>
                <w:szCs w:val="18"/>
              </w:rPr>
            </w:pPr>
            <w:r w:rsidRPr="000D6680">
              <w:rPr>
                <w:sz w:val="18"/>
                <w:szCs w:val="18"/>
              </w:rPr>
              <w:t>n/a</w:t>
            </w:r>
          </w:p>
        </w:tc>
      </w:tr>
      <w:tr w:rsidR="001204FD" w:rsidRPr="002E590D" w14:paraId="2C31EE23" w14:textId="77777777" w:rsidTr="00CD62BE">
        <w:tc>
          <w:tcPr>
            <w:tcW w:w="1801" w:type="dxa"/>
            <w:tcBorders>
              <w:left w:val="nil"/>
              <w:right w:val="nil"/>
            </w:tcBorders>
            <w:shd w:val="clear" w:color="auto" w:fill="auto"/>
          </w:tcPr>
          <w:p w14:paraId="1DB6F531" w14:textId="77777777" w:rsidR="001204FD" w:rsidRPr="000D6680" w:rsidRDefault="001204FD" w:rsidP="00CD62BE">
            <w:pPr>
              <w:spacing w:beforeAutospacing="1"/>
              <w:rPr>
                <w:sz w:val="18"/>
                <w:szCs w:val="18"/>
              </w:rPr>
            </w:pPr>
            <w:r w:rsidRPr="000D6680">
              <w:rPr>
                <w:sz w:val="18"/>
                <w:szCs w:val="18"/>
              </w:rPr>
              <w:t xml:space="preserve">Reforestations </w:t>
            </w:r>
          </w:p>
        </w:tc>
        <w:tc>
          <w:tcPr>
            <w:tcW w:w="1444" w:type="dxa"/>
            <w:tcBorders>
              <w:left w:val="nil"/>
              <w:right w:val="nil"/>
            </w:tcBorders>
            <w:shd w:val="clear" w:color="auto" w:fill="auto"/>
          </w:tcPr>
          <w:p w14:paraId="0EE912E0" w14:textId="77777777" w:rsidR="001204FD" w:rsidRPr="000D6680" w:rsidRDefault="001204FD" w:rsidP="00CD62BE">
            <w:pPr>
              <w:spacing w:beforeAutospacing="1"/>
              <w:jc w:val="center"/>
              <w:rPr>
                <w:sz w:val="18"/>
                <w:szCs w:val="18"/>
              </w:rPr>
            </w:pPr>
            <w:r w:rsidRPr="000D6680">
              <w:rPr>
                <w:sz w:val="18"/>
                <w:szCs w:val="18"/>
              </w:rPr>
              <w:t>61.86 M€</w:t>
            </w:r>
          </w:p>
        </w:tc>
        <w:tc>
          <w:tcPr>
            <w:tcW w:w="1575" w:type="dxa"/>
            <w:tcBorders>
              <w:left w:val="nil"/>
              <w:right w:val="nil"/>
            </w:tcBorders>
            <w:shd w:val="clear" w:color="auto" w:fill="auto"/>
          </w:tcPr>
          <w:p w14:paraId="1E85C616" w14:textId="77777777" w:rsidR="001204FD" w:rsidRPr="000D6680" w:rsidRDefault="001204FD" w:rsidP="00CD62BE">
            <w:pPr>
              <w:spacing w:beforeAutospacing="1"/>
              <w:jc w:val="center"/>
              <w:rPr>
                <w:sz w:val="18"/>
                <w:szCs w:val="18"/>
              </w:rPr>
            </w:pPr>
            <w:r w:rsidRPr="000D6680">
              <w:rPr>
                <w:sz w:val="18"/>
                <w:szCs w:val="18"/>
              </w:rPr>
              <w:t>61.86 M€</w:t>
            </w:r>
          </w:p>
        </w:tc>
        <w:tc>
          <w:tcPr>
            <w:tcW w:w="1276" w:type="dxa"/>
            <w:vMerge/>
            <w:tcBorders>
              <w:left w:val="nil"/>
              <w:right w:val="nil"/>
            </w:tcBorders>
            <w:shd w:val="clear" w:color="auto" w:fill="auto"/>
          </w:tcPr>
          <w:p w14:paraId="0D0D0200" w14:textId="77777777" w:rsidR="001204FD" w:rsidRPr="000D6680" w:rsidRDefault="001204FD" w:rsidP="00CD62BE">
            <w:pPr>
              <w:spacing w:beforeAutospacing="1"/>
              <w:rPr>
                <w:sz w:val="18"/>
                <w:szCs w:val="18"/>
              </w:rPr>
            </w:pPr>
          </w:p>
        </w:tc>
        <w:tc>
          <w:tcPr>
            <w:tcW w:w="2408" w:type="dxa"/>
            <w:tcBorders>
              <w:left w:val="nil"/>
              <w:right w:val="nil"/>
            </w:tcBorders>
            <w:shd w:val="clear" w:color="auto" w:fill="auto"/>
          </w:tcPr>
          <w:p w14:paraId="471282D5" w14:textId="77777777" w:rsidR="001204FD" w:rsidRPr="000D6680" w:rsidRDefault="001204FD" w:rsidP="00CD62BE">
            <w:pPr>
              <w:spacing w:beforeAutospacing="1"/>
              <w:rPr>
                <w:sz w:val="18"/>
                <w:szCs w:val="18"/>
              </w:rPr>
            </w:pPr>
            <w:r w:rsidRPr="000D6680">
              <w:rPr>
                <w:sz w:val="18"/>
                <w:szCs w:val="18"/>
              </w:rPr>
              <w:t>90.6 M€</w:t>
            </w:r>
          </w:p>
        </w:tc>
      </w:tr>
      <w:tr w:rsidR="001204FD" w:rsidRPr="002E590D" w14:paraId="35AF5180" w14:textId="77777777" w:rsidTr="00CD62BE">
        <w:tc>
          <w:tcPr>
            <w:tcW w:w="1801" w:type="dxa"/>
            <w:tcBorders>
              <w:left w:val="nil"/>
              <w:right w:val="nil"/>
            </w:tcBorders>
            <w:shd w:val="clear" w:color="auto" w:fill="auto"/>
          </w:tcPr>
          <w:p w14:paraId="12897681" w14:textId="77777777" w:rsidR="001204FD" w:rsidRPr="000D6680" w:rsidRDefault="001204FD" w:rsidP="00CD62BE">
            <w:pPr>
              <w:spacing w:beforeAutospacing="1"/>
              <w:rPr>
                <w:sz w:val="18"/>
                <w:szCs w:val="18"/>
              </w:rPr>
            </w:pPr>
            <w:r w:rsidRPr="000D6680">
              <w:rPr>
                <w:sz w:val="18"/>
                <w:szCs w:val="18"/>
              </w:rPr>
              <w:t>Others</w:t>
            </w:r>
          </w:p>
        </w:tc>
        <w:tc>
          <w:tcPr>
            <w:tcW w:w="1444" w:type="dxa"/>
            <w:tcBorders>
              <w:left w:val="nil"/>
              <w:right w:val="nil"/>
            </w:tcBorders>
            <w:shd w:val="clear" w:color="auto" w:fill="auto"/>
          </w:tcPr>
          <w:p w14:paraId="3E93F8C6" w14:textId="77777777" w:rsidR="001204FD" w:rsidRPr="000D6680" w:rsidRDefault="001204FD" w:rsidP="00CD62BE">
            <w:pPr>
              <w:spacing w:beforeAutospacing="1"/>
              <w:jc w:val="center"/>
              <w:rPr>
                <w:sz w:val="18"/>
                <w:szCs w:val="18"/>
              </w:rPr>
            </w:pPr>
            <w:r w:rsidRPr="000D6680">
              <w:rPr>
                <w:sz w:val="18"/>
                <w:szCs w:val="18"/>
              </w:rPr>
              <w:t>n/a</w:t>
            </w:r>
          </w:p>
        </w:tc>
        <w:tc>
          <w:tcPr>
            <w:tcW w:w="1575" w:type="dxa"/>
            <w:tcBorders>
              <w:left w:val="nil"/>
              <w:right w:val="nil"/>
            </w:tcBorders>
            <w:shd w:val="clear" w:color="auto" w:fill="auto"/>
          </w:tcPr>
          <w:p w14:paraId="4DBB8976" w14:textId="77777777" w:rsidR="001204FD" w:rsidRPr="000D6680" w:rsidRDefault="001204FD" w:rsidP="00CD62BE">
            <w:pPr>
              <w:spacing w:beforeAutospacing="1"/>
              <w:jc w:val="center"/>
              <w:rPr>
                <w:sz w:val="18"/>
                <w:szCs w:val="18"/>
              </w:rPr>
            </w:pPr>
            <w:r w:rsidRPr="000D6680">
              <w:rPr>
                <w:sz w:val="18"/>
                <w:szCs w:val="18"/>
              </w:rPr>
              <w:t>n/a</w:t>
            </w:r>
          </w:p>
        </w:tc>
        <w:tc>
          <w:tcPr>
            <w:tcW w:w="1276" w:type="dxa"/>
            <w:tcBorders>
              <w:left w:val="nil"/>
              <w:right w:val="nil"/>
            </w:tcBorders>
            <w:shd w:val="clear" w:color="auto" w:fill="auto"/>
          </w:tcPr>
          <w:p w14:paraId="2E956349" w14:textId="77777777" w:rsidR="001204FD" w:rsidRPr="000D6680" w:rsidRDefault="001204FD" w:rsidP="00CD62BE">
            <w:pPr>
              <w:spacing w:beforeAutospacing="1"/>
              <w:rPr>
                <w:sz w:val="18"/>
                <w:szCs w:val="18"/>
              </w:rPr>
            </w:pPr>
            <w:r w:rsidRPr="000D6680">
              <w:rPr>
                <w:sz w:val="18"/>
                <w:szCs w:val="18"/>
              </w:rPr>
              <w:t>-</w:t>
            </w:r>
          </w:p>
        </w:tc>
        <w:tc>
          <w:tcPr>
            <w:tcW w:w="2408" w:type="dxa"/>
            <w:tcBorders>
              <w:left w:val="nil"/>
              <w:right w:val="nil"/>
            </w:tcBorders>
            <w:shd w:val="clear" w:color="auto" w:fill="auto"/>
          </w:tcPr>
          <w:p w14:paraId="340EC52E" w14:textId="77777777" w:rsidR="001204FD" w:rsidRPr="000D6680" w:rsidRDefault="001204FD" w:rsidP="00CD62BE">
            <w:pPr>
              <w:spacing w:beforeAutospacing="1"/>
              <w:rPr>
                <w:sz w:val="18"/>
                <w:szCs w:val="18"/>
              </w:rPr>
            </w:pPr>
            <w:r w:rsidRPr="000D6680">
              <w:rPr>
                <w:sz w:val="18"/>
                <w:szCs w:val="18"/>
              </w:rPr>
              <w:t>279.6 M€</w:t>
            </w:r>
          </w:p>
        </w:tc>
      </w:tr>
    </w:tbl>
    <w:p w14:paraId="21D66289" w14:textId="77777777" w:rsidR="001204FD" w:rsidRPr="000D6680" w:rsidRDefault="001204FD" w:rsidP="001204FD">
      <w:pPr>
        <w:spacing w:after="0" w:line="240" w:lineRule="auto"/>
        <w:rPr>
          <w:sz w:val="20"/>
          <w:szCs w:val="20"/>
        </w:rPr>
      </w:pPr>
      <w:r w:rsidRPr="000D6680">
        <w:rPr>
          <w:sz w:val="20"/>
          <w:szCs w:val="20"/>
        </w:rPr>
        <w:t>*No information about later investments or modifications of the plan were available from the Ministry</w:t>
      </w:r>
    </w:p>
    <w:p w14:paraId="7C64A767" w14:textId="4127262E" w:rsidR="001204FD" w:rsidRDefault="001204FD" w:rsidP="004C6A5A">
      <w:pPr>
        <w:pStyle w:val="Textocomentario"/>
        <w:jc w:val="both"/>
        <w:rPr>
          <w:sz w:val="22"/>
          <w:szCs w:val="22"/>
          <w:lang w:val="en-GB"/>
        </w:rPr>
      </w:pPr>
    </w:p>
    <w:p w14:paraId="1E99FD37" w14:textId="2573CEBD" w:rsidR="00612A57" w:rsidRPr="000458E0" w:rsidRDefault="00612A57" w:rsidP="00612A57">
      <w:pPr>
        <w:pStyle w:val="Textocomentario"/>
        <w:jc w:val="both"/>
        <w:rPr>
          <w:b/>
          <w:sz w:val="22"/>
          <w:szCs w:val="22"/>
          <w:lang w:val="en-GB"/>
        </w:rPr>
      </w:pPr>
      <w:r w:rsidRPr="000458E0">
        <w:rPr>
          <w:b/>
          <w:sz w:val="22"/>
          <w:szCs w:val="22"/>
          <w:lang w:val="en-GB"/>
        </w:rPr>
        <w:t>S3</w:t>
      </w:r>
      <w:r w:rsidR="000458E0" w:rsidRPr="000458E0">
        <w:rPr>
          <w:b/>
          <w:sz w:val="22"/>
          <w:szCs w:val="22"/>
          <w:lang w:val="en-GB"/>
        </w:rPr>
        <w:t>. Supplementary information for methods</w:t>
      </w:r>
    </w:p>
    <w:p w14:paraId="59954B8B" w14:textId="1A524786" w:rsidR="00612A57" w:rsidRPr="00612A57" w:rsidRDefault="00612A57" w:rsidP="003B5F3F">
      <w:pPr>
        <w:pStyle w:val="Textocomentario"/>
        <w:spacing w:line="259" w:lineRule="auto"/>
        <w:jc w:val="both"/>
        <w:rPr>
          <w:sz w:val="22"/>
          <w:szCs w:val="22"/>
          <w:lang w:val="en-GB"/>
        </w:rPr>
      </w:pPr>
      <w:r w:rsidRPr="003B5F3F">
        <w:rPr>
          <w:sz w:val="22"/>
          <w:szCs w:val="22"/>
          <w:lang w:val="en-GB"/>
        </w:rPr>
        <w:t xml:space="preserve">The values reflect the decision maker’s view of what to strive for or to achieve - including goals, objectives, and associated trade-offs </w:t>
      </w:r>
      <w:r w:rsidRPr="003B5F3F">
        <w:rPr>
          <w:sz w:val="22"/>
          <w:szCs w:val="22"/>
          <w:lang w:val="en-GB"/>
        </w:rPr>
        <w:fldChar w:fldCharType="begin" w:fldLock="1"/>
      </w:r>
      <w:r w:rsidRPr="003B5F3F">
        <w:rPr>
          <w:sz w:val="22"/>
          <w:szCs w:val="22"/>
          <w:lang w:val="en-GB"/>
        </w:rPr>
        <w:instrText>ADDIN CSL_CITATION { "citationItems" : [ { "id" : "ITEM-1", "itemData" : { "DOI" : "10.1073/pnas.1213532110", "ISBN" : "1091-6490", "ISSN" : "0027-8424", "PMID" : "23940310", "author" : [ { "dropping-particle" : "", "family" : "Winterfeldt", "given" : "D.", "non-dropping-particle" : "von", "parse-names" : false, "suffix" : "" } ], "container-title" : "Proceedings of the National Academy of Sciences", "id" : "ITEM-1", "issue" : "Supplement_3", "issued" : { "date-parts" : [ [ "2013" ] ] }, "page" : "14055-14061", "title" : "Bridging the gap between science and decision making", "type" : "article-journal", "volume" : "110" }, "uris" : [ "http://www.mendeley.com/documents/?uuid=16596449-f348-47f4-b608-97d9e147764e" ] } ], "mendeley" : { "formattedCitation" : "(von Winterfeldt, 2013)", "plainTextFormattedCitation" : "(von Winterfeldt, 2013)", "previouslyFormattedCitation" : "(von Winterfeldt, 2013)" }, "properties" : {  }, "schema" : "https://github.com/citation-style-language/schema/raw/master/csl-citation.json" }</w:instrText>
      </w:r>
      <w:r w:rsidRPr="003B5F3F">
        <w:rPr>
          <w:sz w:val="22"/>
          <w:szCs w:val="22"/>
          <w:lang w:val="en-GB"/>
        </w:rPr>
        <w:fldChar w:fldCharType="separate"/>
      </w:r>
      <w:r w:rsidRPr="003B5F3F">
        <w:rPr>
          <w:sz w:val="22"/>
          <w:szCs w:val="22"/>
          <w:lang w:val="en-GB"/>
        </w:rPr>
        <w:t>(von Winterfeldt, 2013)</w:t>
      </w:r>
      <w:r w:rsidRPr="003B5F3F">
        <w:rPr>
          <w:sz w:val="22"/>
          <w:szCs w:val="22"/>
          <w:lang w:val="en-GB"/>
        </w:rPr>
        <w:fldChar w:fldCharType="end"/>
      </w:r>
      <w:r w:rsidRPr="003B5F3F">
        <w:rPr>
          <w:sz w:val="22"/>
          <w:szCs w:val="22"/>
          <w:lang w:val="en-GB"/>
        </w:rPr>
        <w:t xml:space="preserve">. The inclusion of values and facts in several phases of the process can lead to better decision making </w:t>
      </w:r>
      <w:r w:rsidRPr="003B5F3F">
        <w:rPr>
          <w:sz w:val="22"/>
          <w:szCs w:val="22"/>
          <w:lang w:val="en-GB"/>
        </w:rPr>
        <w:fldChar w:fldCharType="begin" w:fldLock="1"/>
      </w:r>
      <w:r w:rsidRPr="003B5F3F">
        <w:rPr>
          <w:sz w:val="22"/>
          <w:szCs w:val="22"/>
          <w:lang w:val="en-GB"/>
        </w:rPr>
        <w:instrText>ADDIN CSL_CITATION { "citationItems" : [ { "id" : "ITEM-1", "itemData" : { "DOI" : "10.1073/pnas.1212740110", "author" : [ { "dropping-particle" : "", "family" : "Dietz", "given" : "Thomas", "non-dropping-particle" : "", "parse-names" : false, "suffix" : "" } ], "id" : "ITEM-1", "issued" : { "date-parts" : [ [ "2013" ] ] }, "title" : "Bringing values and deliberation to science communication", "type" : "article-journal", "volume" : "110" }, "uris" : [ "http://www.mendeley.com/documents/?uuid=28fe9275-0b3c-462b-a948-9fe140df706f" ] }, { "id" : "ITEM-2", "itemData" : { "author" : [ { "dropping-particle" : "", "family" : "Gregory", "given" : "Robin", "non-dropping-particle" : "", "parse-names" : false, "suffix" : "" }, { "dropping-particle" : "", "family" : "Wellman", "given" : "Katharine", "non-dropping-particle" : "", "parse-names" : false, "suffix" : "" } ], "id" : "ITEM-2", "issued" : { "date-parts" : [ [ "2001" ] ] }, "page" : "37-52", "title" : "Bringing stakeholder values into environmental policy choices : a community-based estuary case study", "type" : "article-journal", "volume" : "39" }, "uris" : [ "http://www.mendeley.com/documents/?uuid=41abb364-3797-4816-93ce-55d5ed4d3e78" ] } ], "mendeley" : { "formattedCitation" : "(Dietz, 2013; Gregory and Wellman, 2001)", "plainTextFormattedCitation" : "(Dietz, 2013; Gregory and Wellman, 2001)", "previouslyFormattedCitation" : "(Dietz, 2013; Gregory and Wellman, 2001)" }, "properties" : {  }, "schema" : "https://github.com/citation-style-language/schema/raw/master/csl-citation.json" }</w:instrText>
      </w:r>
      <w:r w:rsidRPr="003B5F3F">
        <w:rPr>
          <w:sz w:val="22"/>
          <w:szCs w:val="22"/>
          <w:lang w:val="en-GB"/>
        </w:rPr>
        <w:fldChar w:fldCharType="separate"/>
      </w:r>
      <w:r w:rsidRPr="003B5F3F">
        <w:rPr>
          <w:sz w:val="22"/>
          <w:szCs w:val="22"/>
          <w:lang w:val="en-GB"/>
        </w:rPr>
        <w:t>(Dietz, 2013; Gregory and Wellman, 2001)</w:t>
      </w:r>
      <w:r w:rsidRPr="003B5F3F">
        <w:rPr>
          <w:sz w:val="22"/>
          <w:szCs w:val="22"/>
          <w:lang w:val="en-GB"/>
        </w:rPr>
        <w:fldChar w:fldCharType="end"/>
      </w:r>
      <w:r w:rsidRPr="003B5F3F">
        <w:rPr>
          <w:sz w:val="22"/>
          <w:szCs w:val="22"/>
          <w:lang w:val="en-GB"/>
        </w:rPr>
        <w:t xml:space="preserve">. </w:t>
      </w:r>
      <w:r w:rsidRPr="000D45BB">
        <w:rPr>
          <w:sz w:val="22"/>
          <w:szCs w:val="22"/>
          <w:lang w:val="en-GB"/>
        </w:rPr>
        <w:t>The value tree was used to derive weights (Stillwell et al., 1987) in step 4 (Figure 3</w:t>
      </w:r>
      <w:r w:rsidR="003B5F3F" w:rsidRPr="000D45BB">
        <w:rPr>
          <w:sz w:val="22"/>
          <w:szCs w:val="22"/>
          <w:lang w:val="en-GB"/>
        </w:rPr>
        <w:t xml:space="preserve"> of the paper</w:t>
      </w:r>
      <w:r w:rsidRPr="000D45BB">
        <w:rPr>
          <w:sz w:val="22"/>
          <w:szCs w:val="22"/>
          <w:lang w:val="en-GB"/>
        </w:rPr>
        <w:t>), by understanding the priorities of the decision makers as represented by the management plans.</w:t>
      </w:r>
      <w:r w:rsidRPr="003B5F3F">
        <w:rPr>
          <w:sz w:val="22"/>
          <w:szCs w:val="22"/>
          <w:lang w:val="en-GB"/>
        </w:rPr>
        <w:t xml:space="preserve"> Furthermore, the value tree technique was used again in step </w:t>
      </w:r>
      <w:proofErr w:type="gramStart"/>
      <w:r w:rsidRPr="003B5F3F">
        <w:rPr>
          <w:sz w:val="22"/>
          <w:szCs w:val="22"/>
          <w:lang w:val="en-GB"/>
        </w:rPr>
        <w:t>8</w:t>
      </w:r>
      <w:proofErr w:type="gramEnd"/>
      <w:r w:rsidRPr="003B5F3F">
        <w:rPr>
          <w:sz w:val="22"/>
          <w:szCs w:val="22"/>
          <w:lang w:val="en-GB"/>
        </w:rPr>
        <w:t xml:space="preserve"> (section 3.5</w:t>
      </w:r>
      <w:r w:rsidR="003B5F3F">
        <w:rPr>
          <w:sz w:val="22"/>
          <w:szCs w:val="22"/>
          <w:lang w:val="en-GB"/>
        </w:rPr>
        <w:t xml:space="preserve"> of the paper</w:t>
      </w:r>
      <w:r w:rsidRPr="003B5F3F">
        <w:rPr>
          <w:sz w:val="22"/>
          <w:szCs w:val="22"/>
          <w:lang w:val="en-GB"/>
        </w:rPr>
        <w:t xml:space="preserve">). </w:t>
      </w:r>
    </w:p>
    <w:p w14:paraId="4F7FFC8C" w14:textId="46FC4B66" w:rsidR="00612A57" w:rsidRPr="000D6680" w:rsidRDefault="003B5F3F" w:rsidP="00612A57">
      <w:pPr>
        <w:jc w:val="both"/>
      </w:pPr>
      <w:r>
        <w:lastRenderedPageBreak/>
        <w:t>In the first value tree (S</w:t>
      </w:r>
      <w:r w:rsidR="00612A57" w:rsidRPr="000D6680">
        <w:t>tep 3</w:t>
      </w:r>
      <w:r>
        <w:t xml:space="preserve"> Figure 3 and</w:t>
      </w:r>
      <w:r w:rsidR="00612A57" w:rsidRPr="000D6680">
        <w:t xml:space="preserve"> Figure </w:t>
      </w:r>
      <w:r w:rsidR="00612A57">
        <w:t>8</w:t>
      </w:r>
      <w:r w:rsidR="00612A57" w:rsidRPr="000D6680">
        <w:t>A</w:t>
      </w:r>
      <w:r>
        <w:t xml:space="preserve"> of the paper</w:t>
      </w:r>
      <w:r w:rsidR="00612A57" w:rsidRPr="000D6680">
        <w:t>)</w:t>
      </w:r>
      <w:proofErr w:type="gramStart"/>
      <w:r w:rsidR="00612A57" w:rsidRPr="000D6680">
        <w:t>,</w:t>
      </w:r>
      <w:proofErr w:type="gramEnd"/>
      <w:r w:rsidR="00612A57" w:rsidRPr="000D6680">
        <w:t xml:space="preserve"> values were derived from the analysis of the management plans. In all three management plans, the use of reforestation and hydrological correction works </w:t>
      </w:r>
      <w:proofErr w:type="gramStart"/>
      <w:r w:rsidR="00612A57" w:rsidRPr="000D6680">
        <w:t>was driven</w:t>
      </w:r>
      <w:proofErr w:type="gramEnd"/>
      <w:r w:rsidR="00612A57" w:rsidRPr="000D6680">
        <w:t xml:space="preserve"> by both protection of infrastructures and erosion and hydrological control values. Besides this, to a greater or lesser degree, the plans take into account the “side” (i.e. NPPARE) or “synergic” effects (i.e. APFMR) of the reforestation and hydrological control works</w:t>
      </w:r>
      <w:r w:rsidR="00612A57">
        <w:t xml:space="preserve"> that can be </w:t>
      </w:r>
      <w:r w:rsidR="00612A57" w:rsidRPr="000D6680">
        <w:t>interpreted as ES (Step 3 and 4, Figure 3</w:t>
      </w:r>
      <w:r>
        <w:t xml:space="preserve"> of the paper</w:t>
      </w:r>
      <w:r w:rsidR="00612A57" w:rsidRPr="000D6680">
        <w:t>).</w:t>
      </w:r>
    </w:p>
    <w:p w14:paraId="7C0853A8" w14:textId="0A19A40F" w:rsidR="00612A57" w:rsidRPr="000D6680" w:rsidRDefault="00612A57" w:rsidP="00612A57">
      <w:pPr>
        <w:jc w:val="both"/>
      </w:pPr>
      <w:r w:rsidRPr="001B59CF">
        <w:t xml:space="preserve">The three plans use reforestation and hydrological control works as measures for erosion control and flood regulation, but the distinct plans pay differing degrees of attention to the economic benefits and ES provided by the catchment areas, as explained in section 2.2. Thus, several weight combinations were assigned (Table </w:t>
      </w:r>
      <w:r w:rsidR="003B5F3F" w:rsidRPr="001B59CF">
        <w:t>2 of the paper)</w:t>
      </w:r>
      <w:r w:rsidRPr="001B59CF">
        <w:t xml:space="preserve"> to capture the slightly different value perspectives of the different management plans on objectives.</w:t>
      </w:r>
      <w:r w:rsidRPr="000D6680">
        <w:t xml:space="preserve"> With each weight combination</w:t>
      </w:r>
      <w:r>
        <w:t>,</w:t>
      </w:r>
      <w:r w:rsidRPr="000D6680">
        <w:t xml:space="preserve"> a MCA </w:t>
      </w:r>
      <w:proofErr w:type="gramStart"/>
      <w:r w:rsidRPr="000D6680">
        <w:t xml:space="preserve">was </w:t>
      </w:r>
      <w:r>
        <w:t>performed</w:t>
      </w:r>
      <w:proofErr w:type="gramEnd"/>
      <w:r>
        <w:t xml:space="preserve"> as</w:t>
      </w:r>
      <w:r w:rsidRPr="000D6680">
        <w:t>: (</w:t>
      </w:r>
      <w:proofErr w:type="spellStart"/>
      <w:r w:rsidRPr="000D6680">
        <w:t>i</w:t>
      </w:r>
      <w:proofErr w:type="spellEnd"/>
      <w:r w:rsidRPr="000D6680">
        <w:t xml:space="preserve">) </w:t>
      </w:r>
      <w:r>
        <w:t>r</w:t>
      </w:r>
      <w:r w:rsidRPr="000D6680">
        <w:t>egulating first, economy second, other</w:t>
      </w:r>
      <w:r>
        <w:t xml:space="preserve"> benefits</w:t>
      </w:r>
      <w:r w:rsidRPr="000D6680">
        <w:t xml:space="preserve"> third (MCA1); (ii) </w:t>
      </w:r>
      <w:r>
        <w:t>r</w:t>
      </w:r>
      <w:r w:rsidRPr="000D6680">
        <w:t>egulating and economy equal, other</w:t>
      </w:r>
      <w:r>
        <w:t xml:space="preserve"> benefits</w:t>
      </w:r>
      <w:r w:rsidRPr="000D6680">
        <w:t xml:space="preserve"> second (MCA2). These two </w:t>
      </w:r>
      <w:r>
        <w:t xml:space="preserve">weight combinations </w:t>
      </w:r>
      <w:proofErr w:type="gramStart"/>
      <w:r w:rsidRPr="000D6680">
        <w:t>were related</w:t>
      </w:r>
      <w:proofErr w:type="gramEnd"/>
      <w:r w:rsidRPr="000D6680">
        <w:t xml:space="preserve"> to APFMR (regional level plan</w:t>
      </w:r>
      <w:r>
        <w:t xml:space="preserve"> with </w:t>
      </w:r>
      <w:r w:rsidRPr="000D6680">
        <w:t>more economic restrictions)</w:t>
      </w:r>
      <w:r>
        <w:t xml:space="preserve">. Related to the catchment plan (CP) a MCA weight combination </w:t>
      </w:r>
      <w:proofErr w:type="gramStart"/>
      <w:r>
        <w:t>was defined</w:t>
      </w:r>
      <w:proofErr w:type="gramEnd"/>
      <w:r>
        <w:t xml:space="preserve"> as</w:t>
      </w:r>
      <w:r w:rsidRPr="000D6680">
        <w:t xml:space="preserve"> (iii) </w:t>
      </w:r>
      <w:r>
        <w:t>a</w:t>
      </w:r>
      <w:r w:rsidRPr="000D6680">
        <w:t>ll equal importance (MCA3)</w:t>
      </w:r>
      <w:r>
        <w:t>. R</w:t>
      </w:r>
      <w:r w:rsidRPr="000D6680">
        <w:t>elated to the NPPARE (national level plan)</w:t>
      </w:r>
      <w:r>
        <w:t xml:space="preserve"> two last weight combinations were </w:t>
      </w:r>
      <w:r w:rsidRPr="000D6680">
        <w:t xml:space="preserve">(iv) </w:t>
      </w:r>
      <w:r>
        <w:t>a</w:t>
      </w:r>
      <w:r w:rsidRPr="000D6680">
        <w:t xml:space="preserve">ll equal but economy less important (MCA4); (v) </w:t>
      </w:r>
      <w:r>
        <w:t>p</w:t>
      </w:r>
      <w:r w:rsidRPr="000D6680">
        <w:t>riority regulating (MCA5</w:t>
      </w:r>
      <w:proofErr w:type="gramStart"/>
      <w:r w:rsidRPr="000D6680">
        <w:t>)(</w:t>
      </w:r>
      <w:proofErr w:type="gramEnd"/>
      <w:r w:rsidRPr="000D6680">
        <w:t xml:space="preserve">Table </w:t>
      </w:r>
      <w:r w:rsidR="003B5F3F">
        <w:t>2 of the paper</w:t>
      </w:r>
      <w:r w:rsidRPr="000D6680">
        <w:t xml:space="preserve">). The weights of the different MCA were assigned with the expected value </w:t>
      </w:r>
      <w:proofErr w:type="gramStart"/>
      <w:r w:rsidRPr="000D6680">
        <w:t>method,</w:t>
      </w:r>
      <w:proofErr w:type="gramEnd"/>
      <w:r w:rsidRPr="000D6680">
        <w:t xml:space="preserve"> the groups of effects were arranged from the most important to the less important for each MCA (Table </w:t>
      </w:r>
      <w:r w:rsidR="003B5F3F">
        <w:t>3 of the paper</w:t>
      </w:r>
      <w:r w:rsidRPr="000D6680">
        <w:t>). Furthermore</w:t>
      </w:r>
      <w:r>
        <w:t>,</w:t>
      </w:r>
      <w:r w:rsidRPr="000D6680">
        <w:t xml:space="preserve"> a series of MCA with those different weight combinations </w:t>
      </w:r>
      <w:proofErr w:type="gramStart"/>
      <w:r w:rsidRPr="000D6680">
        <w:t>were run</w:t>
      </w:r>
      <w:proofErr w:type="gramEnd"/>
      <w:r w:rsidRPr="000D6680">
        <w:t xml:space="preserve"> to evaluate the </w:t>
      </w:r>
      <w:r>
        <w:t>scenario</w:t>
      </w:r>
      <w:r w:rsidRPr="000D6680">
        <w:t>s of management (Step 5, Figure 3</w:t>
      </w:r>
      <w:r w:rsidR="003B5F3F">
        <w:t xml:space="preserve"> of the paper</w:t>
      </w:r>
      <w:r w:rsidRPr="000D6680">
        <w:t>).</w:t>
      </w:r>
    </w:p>
    <w:p w14:paraId="490ED885" w14:textId="15132D04" w:rsidR="00612A57" w:rsidRDefault="00612A57" w:rsidP="004C6A5A">
      <w:pPr>
        <w:pStyle w:val="Textocomentario"/>
        <w:jc w:val="both"/>
        <w:rPr>
          <w:sz w:val="22"/>
          <w:szCs w:val="22"/>
          <w:lang w:val="en-GB"/>
        </w:rPr>
      </w:pPr>
    </w:p>
    <w:p w14:paraId="1BB2A1CF" w14:textId="6E60C58D" w:rsidR="00097DD3" w:rsidRPr="00EA61D0" w:rsidRDefault="005E6CB2" w:rsidP="004C6A5A">
      <w:pPr>
        <w:pStyle w:val="Textocomentario"/>
        <w:jc w:val="both"/>
        <w:rPr>
          <w:b/>
          <w:sz w:val="22"/>
          <w:szCs w:val="22"/>
          <w:lang w:val="en-GB"/>
        </w:rPr>
      </w:pPr>
      <w:r w:rsidRPr="00EA61D0">
        <w:rPr>
          <w:b/>
          <w:sz w:val="22"/>
          <w:szCs w:val="22"/>
          <w:lang w:val="en-GB"/>
        </w:rPr>
        <w:t>S4. Supplementary information on sensitivity analysis</w:t>
      </w:r>
    </w:p>
    <w:p w14:paraId="6ED47F10" w14:textId="2825DEBB" w:rsidR="005E6CB2" w:rsidRPr="005E6CB2" w:rsidRDefault="005E6CB2" w:rsidP="005E6CB2">
      <w:pPr>
        <w:pStyle w:val="Textosinformato"/>
        <w:jc w:val="both"/>
        <w:rPr>
          <w:lang w:val="en-US"/>
        </w:rPr>
      </w:pPr>
      <w:r>
        <w:rPr>
          <w:lang w:val="en-US"/>
        </w:rPr>
        <w:t>To the test the influence of the MCA method on the result</w:t>
      </w:r>
      <w:bookmarkStart w:id="2" w:name="_GoBack"/>
      <w:bookmarkEnd w:id="2"/>
      <w:r>
        <w:rPr>
          <w:lang w:val="en-US"/>
        </w:rPr>
        <w:t>s</w:t>
      </w:r>
      <w:r w:rsidR="00C37BD7">
        <w:rPr>
          <w:lang w:val="en-US"/>
        </w:rPr>
        <w:t>,</w:t>
      </w:r>
      <w:r>
        <w:rPr>
          <w:lang w:val="en-US"/>
        </w:rPr>
        <w:t xml:space="preserve"> the analysis </w:t>
      </w:r>
      <w:proofErr w:type="gramStart"/>
      <w:r>
        <w:rPr>
          <w:lang w:val="en-US"/>
        </w:rPr>
        <w:t>w</w:t>
      </w:r>
      <w:r w:rsidR="00C37BD7">
        <w:rPr>
          <w:lang w:val="en-US"/>
        </w:rPr>
        <w:t>ere</w:t>
      </w:r>
      <w:r>
        <w:rPr>
          <w:lang w:val="en-US"/>
        </w:rPr>
        <w:t xml:space="preserve"> repeated</w:t>
      </w:r>
      <w:proofErr w:type="gramEnd"/>
      <w:r>
        <w:rPr>
          <w:lang w:val="en-US"/>
        </w:rPr>
        <w:t xml:space="preserve"> using other MCA methods, following the review of </w:t>
      </w:r>
      <w:proofErr w:type="spellStart"/>
      <w:r w:rsidRPr="005E6CB2">
        <w:rPr>
          <w:lang w:val="en-US"/>
        </w:rPr>
        <w:t>Myšiak</w:t>
      </w:r>
      <w:proofErr w:type="spellEnd"/>
      <w:r w:rsidRPr="005E6CB2">
        <w:rPr>
          <w:lang w:val="en-US"/>
        </w:rPr>
        <w:t xml:space="preserve"> (2006)</w:t>
      </w:r>
      <w:r>
        <w:rPr>
          <w:lang w:val="en-US"/>
        </w:rPr>
        <w:t xml:space="preserve">. Although finally the weighted summation method was chosen because it is a </w:t>
      </w:r>
      <w:r w:rsidRPr="005E6CB2">
        <w:rPr>
          <w:lang w:val="en-US"/>
        </w:rPr>
        <w:t>re</w:t>
      </w:r>
      <w:r w:rsidR="00FD5794">
        <w:rPr>
          <w:lang w:val="en-US"/>
        </w:rPr>
        <w:t>liable method (</w:t>
      </w:r>
      <w:proofErr w:type="spellStart"/>
      <w:r w:rsidR="00FD5794">
        <w:rPr>
          <w:lang w:val="en-US"/>
        </w:rPr>
        <w:t>Hajkowicz</w:t>
      </w:r>
      <w:proofErr w:type="spellEnd"/>
      <w:r w:rsidR="00FD5794">
        <w:rPr>
          <w:lang w:val="en-US"/>
        </w:rPr>
        <w:t>, 2007), methodologically sound, easy to explain and transparent (Janssen, 2001).</w:t>
      </w:r>
    </w:p>
    <w:p w14:paraId="12D60099" w14:textId="23D1D1E3" w:rsidR="005E6CB2" w:rsidRPr="009A7E3C" w:rsidRDefault="005E6CB2" w:rsidP="005E6CB2">
      <w:pPr>
        <w:pStyle w:val="Textosinformato"/>
        <w:jc w:val="both"/>
        <w:rPr>
          <w:color w:val="44546A" w:themeColor="text2"/>
          <w:lang w:val="en-US"/>
        </w:rPr>
      </w:pPr>
      <w:r>
        <w:rPr>
          <w:lang w:val="en-US"/>
        </w:rPr>
        <w:t>W</w:t>
      </w:r>
      <w:r w:rsidRPr="005E6CB2">
        <w:rPr>
          <w:lang w:val="en-US"/>
        </w:rPr>
        <w:t xml:space="preserve">e </w:t>
      </w:r>
      <w:r w:rsidR="003A73E0">
        <w:rPr>
          <w:lang w:val="en-US"/>
        </w:rPr>
        <w:t xml:space="preserve">repeated </w:t>
      </w:r>
      <w:r w:rsidRPr="005E6CB2">
        <w:rPr>
          <w:lang w:val="en-US"/>
        </w:rPr>
        <w:t xml:space="preserve">all the </w:t>
      </w:r>
      <w:r w:rsidRPr="00AE78FD">
        <w:rPr>
          <w:lang w:val="en-US"/>
        </w:rPr>
        <w:t>analys</w:t>
      </w:r>
      <w:r w:rsidR="003A73E0" w:rsidRPr="00AE78FD">
        <w:rPr>
          <w:lang w:val="en-US"/>
        </w:rPr>
        <w:t>es</w:t>
      </w:r>
      <w:r w:rsidRPr="00AE78FD">
        <w:rPr>
          <w:lang w:val="en-US"/>
        </w:rPr>
        <w:t xml:space="preserve"> u</w:t>
      </w:r>
      <w:r w:rsidRPr="005E6CB2">
        <w:rPr>
          <w:lang w:val="en-US"/>
        </w:rPr>
        <w:t>sing the “</w:t>
      </w:r>
      <w:proofErr w:type="spellStart"/>
      <w:r w:rsidRPr="005E6CB2">
        <w:rPr>
          <w:lang w:val="en-US"/>
        </w:rPr>
        <w:t>Evamix</w:t>
      </w:r>
      <w:proofErr w:type="spellEnd"/>
      <w:r w:rsidRPr="005E6CB2">
        <w:rPr>
          <w:lang w:val="en-US"/>
        </w:rPr>
        <w:t xml:space="preserve">” method. This method </w:t>
      </w:r>
      <w:proofErr w:type="gramStart"/>
      <w:r w:rsidRPr="005E6CB2">
        <w:rPr>
          <w:lang w:val="en-US"/>
        </w:rPr>
        <w:t>is well fitted</w:t>
      </w:r>
      <w:proofErr w:type="gramEnd"/>
      <w:r w:rsidRPr="005E6CB2">
        <w:rPr>
          <w:lang w:val="en-US"/>
        </w:rPr>
        <w:t xml:space="preserve"> to deal with an effects table with a mixture of qualitative and quantitative effects (Janssen and </w:t>
      </w:r>
      <w:proofErr w:type="spellStart"/>
      <w:r w:rsidRPr="005E6CB2">
        <w:rPr>
          <w:lang w:val="en-US"/>
        </w:rPr>
        <w:t>Herwijnen</w:t>
      </w:r>
      <w:proofErr w:type="spellEnd"/>
      <w:r w:rsidRPr="005E6CB2">
        <w:rPr>
          <w:lang w:val="en-US"/>
        </w:rPr>
        <w:t>, 2017). The “</w:t>
      </w:r>
      <w:proofErr w:type="spellStart"/>
      <w:r w:rsidRPr="005E6CB2">
        <w:rPr>
          <w:lang w:val="en-US"/>
        </w:rPr>
        <w:t>Electre</w:t>
      </w:r>
      <w:proofErr w:type="spellEnd"/>
      <w:r w:rsidRPr="005E6CB2">
        <w:rPr>
          <w:lang w:val="en-US"/>
        </w:rPr>
        <w:t xml:space="preserve"> II” method</w:t>
      </w:r>
      <w:r>
        <w:rPr>
          <w:lang w:val="en-US"/>
        </w:rPr>
        <w:t xml:space="preserve"> </w:t>
      </w:r>
      <w:proofErr w:type="gramStart"/>
      <w:r>
        <w:rPr>
          <w:lang w:val="en-US"/>
        </w:rPr>
        <w:t>was also applied</w:t>
      </w:r>
      <w:proofErr w:type="gramEnd"/>
      <w:r w:rsidRPr="005E6CB2">
        <w:rPr>
          <w:lang w:val="en-US"/>
        </w:rPr>
        <w:t xml:space="preserve">, which is based on a pairwise comparison of the alternatives, thus using only the interval character of the scores in the evaluation of the effects table (Janssen and </w:t>
      </w:r>
      <w:proofErr w:type="spellStart"/>
      <w:r w:rsidRPr="005E6CB2">
        <w:rPr>
          <w:lang w:val="en-US"/>
        </w:rPr>
        <w:t>Herwijnen</w:t>
      </w:r>
      <w:proofErr w:type="spellEnd"/>
      <w:r w:rsidRPr="005E6CB2">
        <w:rPr>
          <w:lang w:val="en-US"/>
        </w:rPr>
        <w:t xml:space="preserve">, 2017). </w:t>
      </w:r>
      <w:r w:rsidR="001A5AE3">
        <w:rPr>
          <w:lang w:val="en-US"/>
        </w:rPr>
        <w:t xml:space="preserve">The Regime </w:t>
      </w:r>
      <w:proofErr w:type="gramStart"/>
      <w:r w:rsidR="001A5AE3">
        <w:rPr>
          <w:lang w:val="en-US"/>
        </w:rPr>
        <w:t xml:space="preserve">method </w:t>
      </w:r>
      <w:r w:rsidR="00F54E87">
        <w:rPr>
          <w:lang w:val="en-US"/>
        </w:rPr>
        <w:t xml:space="preserve"> is</w:t>
      </w:r>
      <w:proofErr w:type="gramEnd"/>
      <w:r w:rsidR="00F54E87">
        <w:rPr>
          <w:lang w:val="en-US"/>
        </w:rPr>
        <w:t xml:space="preserve"> well suited for working with qualitative and quantitative scores </w:t>
      </w:r>
      <w:r w:rsidR="00F54E87" w:rsidRPr="005E6CB2">
        <w:rPr>
          <w:lang w:val="en-US"/>
        </w:rPr>
        <w:t xml:space="preserve">(Janssen and </w:t>
      </w:r>
      <w:proofErr w:type="spellStart"/>
      <w:r w:rsidR="00F54E87" w:rsidRPr="005E6CB2">
        <w:rPr>
          <w:lang w:val="en-US"/>
        </w:rPr>
        <w:t>Herwijnen</w:t>
      </w:r>
      <w:proofErr w:type="spellEnd"/>
      <w:r w:rsidR="00F54E87" w:rsidRPr="005E6CB2">
        <w:rPr>
          <w:lang w:val="en-US"/>
        </w:rPr>
        <w:t>, 2017)</w:t>
      </w:r>
      <w:r w:rsidR="00F54E87">
        <w:rPr>
          <w:lang w:val="en-US"/>
        </w:rPr>
        <w:t xml:space="preserve"> and has been also tested. </w:t>
      </w:r>
      <w:r w:rsidRPr="005E6CB2">
        <w:rPr>
          <w:lang w:val="en-US"/>
        </w:rPr>
        <w:t>The relation between those t</w:t>
      </w:r>
      <w:r w:rsidR="001A5AE3">
        <w:rPr>
          <w:lang w:val="en-US"/>
        </w:rPr>
        <w:t>hree</w:t>
      </w:r>
      <w:r w:rsidRPr="005E6CB2">
        <w:rPr>
          <w:lang w:val="en-US"/>
        </w:rPr>
        <w:t xml:space="preserve"> methods and the original used “Weighted summation” method </w:t>
      </w:r>
      <w:proofErr w:type="gramStart"/>
      <w:r w:rsidRPr="005E6CB2">
        <w:rPr>
          <w:lang w:val="en-US"/>
        </w:rPr>
        <w:t>is shown</w:t>
      </w:r>
      <w:proofErr w:type="gramEnd"/>
      <w:r w:rsidRPr="005E6CB2">
        <w:rPr>
          <w:lang w:val="en-US"/>
        </w:rPr>
        <w:t xml:space="preserve"> in Figure 1. </w:t>
      </w:r>
      <w:r w:rsidR="0040417F">
        <w:rPr>
          <w:lang w:val="en-US"/>
        </w:rPr>
        <w:t>A 64% of the relations between the scores and rankings resulted from the application of different methods showed a R</w:t>
      </w:r>
      <w:r w:rsidR="0040417F">
        <w:rPr>
          <w:vertAlign w:val="superscript"/>
          <w:lang w:val="en-US"/>
        </w:rPr>
        <w:t>2</w:t>
      </w:r>
      <w:r w:rsidR="0040417F">
        <w:rPr>
          <w:lang w:val="en-US"/>
        </w:rPr>
        <w:t xml:space="preserve"> &gt; 0.7, supporting the idea that Weighted Summation is a reliable method in this study.</w:t>
      </w:r>
      <w:r w:rsidR="001D5E2A">
        <w:rPr>
          <w:lang w:val="en-US"/>
        </w:rPr>
        <w:t xml:space="preserve"> There were some MCA runs where the two first alternatives exchanged positions. This type of analysis indicates the sensitivity of the analysis to the MCA method, as</w:t>
      </w:r>
      <w:r w:rsidRPr="005E6CB2">
        <w:rPr>
          <w:lang w:val="en-US"/>
        </w:rPr>
        <w:t xml:space="preserve"> suggested by </w:t>
      </w:r>
      <w:proofErr w:type="spellStart"/>
      <w:r w:rsidRPr="005E6CB2">
        <w:rPr>
          <w:lang w:val="en-US"/>
        </w:rPr>
        <w:t>Myšiak</w:t>
      </w:r>
      <w:proofErr w:type="spellEnd"/>
      <w:r w:rsidRPr="005E6CB2">
        <w:rPr>
          <w:lang w:val="en-US"/>
        </w:rPr>
        <w:t xml:space="preserve"> (2006)</w:t>
      </w:r>
      <w:r w:rsidR="001D5E2A">
        <w:rPr>
          <w:lang w:val="en-US"/>
        </w:rPr>
        <w:t>.</w:t>
      </w:r>
      <w:r w:rsidRPr="005E6CB2">
        <w:rPr>
          <w:lang w:val="en-US"/>
        </w:rPr>
        <w:t xml:space="preserve"> </w:t>
      </w:r>
    </w:p>
    <w:p w14:paraId="7A76F85E" w14:textId="2E471E3A" w:rsidR="005E6CB2" w:rsidRPr="005E6CB2" w:rsidRDefault="005E6CB2" w:rsidP="004C6A5A">
      <w:pPr>
        <w:pStyle w:val="Textocomentario"/>
        <w:jc w:val="both"/>
        <w:rPr>
          <w:sz w:val="22"/>
          <w:szCs w:val="22"/>
          <w:lang w:val="en-US"/>
        </w:rPr>
      </w:pPr>
    </w:p>
    <w:p w14:paraId="787F5657" w14:textId="1709B541" w:rsidR="005E6CB2" w:rsidRDefault="004F0958" w:rsidP="005E6CB2">
      <w:pPr>
        <w:jc w:val="both"/>
        <w:rPr>
          <w:lang w:val="en-US"/>
        </w:rPr>
      </w:pPr>
      <w:r>
        <w:rPr>
          <w:noProof/>
          <w:lang w:val="es-ES" w:eastAsia="es-ES"/>
        </w:rPr>
        <w:lastRenderedPageBreak/>
        <w:drawing>
          <wp:inline distT="0" distB="0" distL="0" distR="0" wp14:anchorId="1EC95ADB" wp14:editId="17CFB84A">
            <wp:extent cx="4953000" cy="3619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ltimethod_A.jpg"/>
                    <pic:cNvPicPr/>
                  </pic:nvPicPr>
                  <pic:blipFill>
                    <a:blip r:embed="rId8">
                      <a:extLst>
                        <a:ext uri="{28A0092B-C50C-407E-A947-70E740481C1C}">
                          <a14:useLocalDpi xmlns:a14="http://schemas.microsoft.com/office/drawing/2010/main" val="0"/>
                        </a:ext>
                      </a:extLst>
                    </a:blip>
                    <a:stretch>
                      <a:fillRect/>
                    </a:stretch>
                  </pic:blipFill>
                  <pic:spPr>
                    <a:xfrm>
                      <a:off x="0" y="0"/>
                      <a:ext cx="4953000" cy="3619500"/>
                    </a:xfrm>
                    <a:prstGeom prst="rect">
                      <a:avLst/>
                    </a:prstGeom>
                  </pic:spPr>
                </pic:pic>
              </a:graphicData>
            </a:graphic>
          </wp:inline>
        </w:drawing>
      </w:r>
    </w:p>
    <w:p w14:paraId="6A7B3A8E" w14:textId="28B9D1B2" w:rsidR="004F0958" w:rsidRDefault="004F0958" w:rsidP="005E6CB2">
      <w:pPr>
        <w:jc w:val="both"/>
        <w:rPr>
          <w:lang w:val="en-US"/>
        </w:rPr>
      </w:pPr>
      <w:r>
        <w:rPr>
          <w:noProof/>
          <w:lang w:val="es-ES" w:eastAsia="es-ES"/>
        </w:rPr>
        <w:drawing>
          <wp:inline distT="0" distB="0" distL="0" distR="0" wp14:anchorId="7BAE5035" wp14:editId="4338972A">
            <wp:extent cx="4960620" cy="36347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ltimethod_B.jpg"/>
                    <pic:cNvPicPr/>
                  </pic:nvPicPr>
                  <pic:blipFill>
                    <a:blip r:embed="rId9">
                      <a:extLst>
                        <a:ext uri="{28A0092B-C50C-407E-A947-70E740481C1C}">
                          <a14:useLocalDpi xmlns:a14="http://schemas.microsoft.com/office/drawing/2010/main" val="0"/>
                        </a:ext>
                      </a:extLst>
                    </a:blip>
                    <a:stretch>
                      <a:fillRect/>
                    </a:stretch>
                  </pic:blipFill>
                  <pic:spPr>
                    <a:xfrm>
                      <a:off x="0" y="0"/>
                      <a:ext cx="4960620" cy="3634740"/>
                    </a:xfrm>
                    <a:prstGeom prst="rect">
                      <a:avLst/>
                    </a:prstGeom>
                  </pic:spPr>
                </pic:pic>
              </a:graphicData>
            </a:graphic>
          </wp:inline>
        </w:drawing>
      </w:r>
    </w:p>
    <w:p w14:paraId="1E7D9036" w14:textId="2C95326B" w:rsidR="005E6CB2" w:rsidRPr="005E6CB2" w:rsidRDefault="000260FB" w:rsidP="004C6A5A">
      <w:pPr>
        <w:pStyle w:val="Textocomentario"/>
        <w:jc w:val="both"/>
        <w:rPr>
          <w:sz w:val="22"/>
          <w:szCs w:val="22"/>
          <w:lang w:val="en-US"/>
        </w:rPr>
      </w:pPr>
      <w:r>
        <w:rPr>
          <w:sz w:val="22"/>
          <w:szCs w:val="22"/>
          <w:lang w:val="en-US"/>
        </w:rPr>
        <w:t>Figure 1.</w:t>
      </w:r>
      <w:r w:rsidR="00133B62">
        <w:rPr>
          <w:sz w:val="22"/>
          <w:szCs w:val="22"/>
          <w:lang w:val="en-US"/>
        </w:rPr>
        <w:t xml:space="preserve"> (A)</w:t>
      </w:r>
      <w:r>
        <w:rPr>
          <w:sz w:val="22"/>
          <w:szCs w:val="22"/>
          <w:lang w:val="en-US"/>
        </w:rPr>
        <w:t xml:space="preserve"> Regression analysis between the scores </w:t>
      </w:r>
      <w:r w:rsidR="00133B62">
        <w:rPr>
          <w:sz w:val="22"/>
          <w:szCs w:val="22"/>
          <w:lang w:val="en-US"/>
        </w:rPr>
        <w:t xml:space="preserve">resulted from the application of </w:t>
      </w:r>
      <w:r>
        <w:rPr>
          <w:sz w:val="22"/>
          <w:szCs w:val="22"/>
          <w:lang w:val="en-US"/>
        </w:rPr>
        <w:t xml:space="preserve">the Weighted Summation method and the scores and ranking resulting from the application of the </w:t>
      </w:r>
      <w:proofErr w:type="spellStart"/>
      <w:r>
        <w:rPr>
          <w:sz w:val="22"/>
          <w:szCs w:val="22"/>
          <w:lang w:val="en-US"/>
        </w:rPr>
        <w:t>Evamix</w:t>
      </w:r>
      <w:proofErr w:type="spellEnd"/>
      <w:r>
        <w:rPr>
          <w:sz w:val="22"/>
          <w:szCs w:val="22"/>
          <w:lang w:val="en-US"/>
        </w:rPr>
        <w:t xml:space="preserve"> method and </w:t>
      </w:r>
      <w:proofErr w:type="spellStart"/>
      <w:r>
        <w:rPr>
          <w:sz w:val="22"/>
          <w:szCs w:val="22"/>
          <w:lang w:val="en-US"/>
        </w:rPr>
        <w:t>Electre</w:t>
      </w:r>
      <w:proofErr w:type="spellEnd"/>
      <w:r>
        <w:rPr>
          <w:sz w:val="22"/>
          <w:szCs w:val="22"/>
          <w:lang w:val="en-US"/>
        </w:rPr>
        <w:t xml:space="preserve"> II methods, respectively </w:t>
      </w:r>
      <w:r w:rsidR="00133B62">
        <w:rPr>
          <w:sz w:val="22"/>
          <w:szCs w:val="22"/>
          <w:lang w:val="en-US"/>
        </w:rPr>
        <w:t xml:space="preserve">for the different MCAs. (B) Scores resulted from the application of the </w:t>
      </w:r>
      <w:r>
        <w:rPr>
          <w:sz w:val="22"/>
          <w:szCs w:val="22"/>
          <w:lang w:val="en-US"/>
        </w:rPr>
        <w:t xml:space="preserve">Regime method </w:t>
      </w:r>
      <w:r w:rsidR="00133B62">
        <w:rPr>
          <w:sz w:val="22"/>
          <w:szCs w:val="22"/>
          <w:lang w:val="en-US"/>
        </w:rPr>
        <w:t xml:space="preserve">versus scores resulted from the application of the Weighted Summation </w:t>
      </w:r>
      <w:proofErr w:type="gramStart"/>
      <w:r w:rsidR="00133B62">
        <w:rPr>
          <w:sz w:val="22"/>
          <w:szCs w:val="22"/>
          <w:lang w:val="en-US"/>
        </w:rPr>
        <w:t xml:space="preserve">method </w:t>
      </w:r>
      <w:r>
        <w:rPr>
          <w:sz w:val="22"/>
          <w:szCs w:val="22"/>
          <w:lang w:val="en-US"/>
        </w:rPr>
        <w:t xml:space="preserve"> for</w:t>
      </w:r>
      <w:proofErr w:type="gramEnd"/>
      <w:r>
        <w:rPr>
          <w:sz w:val="22"/>
          <w:szCs w:val="22"/>
          <w:lang w:val="en-US"/>
        </w:rPr>
        <w:t xml:space="preserve"> the </w:t>
      </w:r>
      <w:r w:rsidR="00133B62">
        <w:rPr>
          <w:sz w:val="22"/>
          <w:szCs w:val="22"/>
          <w:lang w:val="en-US"/>
        </w:rPr>
        <w:t>different MCA carried out.</w:t>
      </w:r>
    </w:p>
    <w:p w14:paraId="3B0ACAC1" w14:textId="77777777" w:rsidR="00097DD3" w:rsidRPr="000D6680" w:rsidRDefault="00097DD3" w:rsidP="004C6A5A">
      <w:pPr>
        <w:pStyle w:val="Textocomentario"/>
        <w:jc w:val="both"/>
        <w:rPr>
          <w:sz w:val="22"/>
          <w:szCs w:val="22"/>
          <w:lang w:val="en-GB"/>
        </w:rPr>
      </w:pPr>
    </w:p>
    <w:p w14:paraId="489E2F09" w14:textId="16F02F7B" w:rsidR="004C6A5A" w:rsidRDefault="00097DD3">
      <w:r>
        <w:t xml:space="preserve">References </w:t>
      </w:r>
      <w:proofErr w:type="gramStart"/>
      <w:r>
        <w:t>are listed</w:t>
      </w:r>
      <w:proofErr w:type="gramEnd"/>
      <w:r>
        <w:t xml:space="preserve"> in the paper</w:t>
      </w:r>
    </w:p>
    <w:sectPr w:rsidR="004C6A5A">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298DD" w14:textId="77777777" w:rsidR="00243306" w:rsidRDefault="00243306" w:rsidP="00C37E29">
      <w:pPr>
        <w:spacing w:after="0" w:line="240" w:lineRule="auto"/>
      </w:pPr>
      <w:r>
        <w:separator/>
      </w:r>
    </w:p>
  </w:endnote>
  <w:endnote w:type="continuationSeparator" w:id="0">
    <w:p w14:paraId="2C12646E" w14:textId="77777777" w:rsidR="00243306" w:rsidRDefault="00243306" w:rsidP="00C3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6481496"/>
      <w:docPartObj>
        <w:docPartGallery w:val="Page Numbers (Bottom of Page)"/>
        <w:docPartUnique/>
      </w:docPartObj>
    </w:sdtPr>
    <w:sdtEndPr/>
    <w:sdtContent>
      <w:p w14:paraId="015C4D25" w14:textId="5DBE0F37" w:rsidR="00CD62BE" w:rsidRDefault="00CD62BE">
        <w:pPr>
          <w:pStyle w:val="Piedepgina"/>
          <w:jc w:val="center"/>
        </w:pPr>
        <w:r>
          <w:fldChar w:fldCharType="begin"/>
        </w:r>
        <w:r>
          <w:instrText>PAGE   \* MERGEFORMAT</w:instrText>
        </w:r>
        <w:r>
          <w:fldChar w:fldCharType="separate"/>
        </w:r>
        <w:r w:rsidR="00AE78FD" w:rsidRPr="00AE78FD">
          <w:rPr>
            <w:noProof/>
            <w:lang w:val="es-ES"/>
          </w:rPr>
          <w:t>5</w:t>
        </w:r>
        <w:r>
          <w:fldChar w:fldCharType="end"/>
        </w:r>
      </w:p>
    </w:sdtContent>
  </w:sdt>
  <w:p w14:paraId="7977D419" w14:textId="77777777" w:rsidR="00CD62BE" w:rsidRDefault="00CD62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EB954" w14:textId="77777777" w:rsidR="00243306" w:rsidRDefault="00243306" w:rsidP="00C37E29">
      <w:pPr>
        <w:spacing w:after="0" w:line="240" w:lineRule="auto"/>
      </w:pPr>
      <w:r>
        <w:separator/>
      </w:r>
    </w:p>
  </w:footnote>
  <w:footnote w:type="continuationSeparator" w:id="0">
    <w:p w14:paraId="03F89DA9" w14:textId="77777777" w:rsidR="00243306" w:rsidRDefault="00243306" w:rsidP="00C37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128AF"/>
    <w:multiLevelType w:val="multilevel"/>
    <w:tmpl w:val="0C322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A5A"/>
    <w:rsid w:val="000260FB"/>
    <w:rsid w:val="000458E0"/>
    <w:rsid w:val="00052B8D"/>
    <w:rsid w:val="00091903"/>
    <w:rsid w:val="00097DD3"/>
    <w:rsid w:val="000D45BB"/>
    <w:rsid w:val="001204FD"/>
    <w:rsid w:val="00133B62"/>
    <w:rsid w:val="001A5AE3"/>
    <w:rsid w:val="001B1A20"/>
    <w:rsid w:val="001B59CF"/>
    <w:rsid w:val="001D5E2A"/>
    <w:rsid w:val="001D65B6"/>
    <w:rsid w:val="001F3DE8"/>
    <w:rsid w:val="00230549"/>
    <w:rsid w:val="00232D05"/>
    <w:rsid w:val="00243306"/>
    <w:rsid w:val="00247ED3"/>
    <w:rsid w:val="002C752A"/>
    <w:rsid w:val="002D1004"/>
    <w:rsid w:val="00322E22"/>
    <w:rsid w:val="003262E3"/>
    <w:rsid w:val="003A73E0"/>
    <w:rsid w:val="003B5F3F"/>
    <w:rsid w:val="0040417F"/>
    <w:rsid w:val="004C6A5A"/>
    <w:rsid w:val="004F0958"/>
    <w:rsid w:val="004F4FD5"/>
    <w:rsid w:val="00540DFA"/>
    <w:rsid w:val="005E6CB2"/>
    <w:rsid w:val="00612A57"/>
    <w:rsid w:val="006B56D1"/>
    <w:rsid w:val="007751FB"/>
    <w:rsid w:val="00793886"/>
    <w:rsid w:val="00841F6D"/>
    <w:rsid w:val="00933EE0"/>
    <w:rsid w:val="009421E2"/>
    <w:rsid w:val="00A95CA9"/>
    <w:rsid w:val="00AE78FD"/>
    <w:rsid w:val="00C37BD7"/>
    <w:rsid w:val="00C37E29"/>
    <w:rsid w:val="00C548AC"/>
    <w:rsid w:val="00CD62BE"/>
    <w:rsid w:val="00D61F6D"/>
    <w:rsid w:val="00D768FE"/>
    <w:rsid w:val="00DF4058"/>
    <w:rsid w:val="00E264D1"/>
    <w:rsid w:val="00EA61D0"/>
    <w:rsid w:val="00EB0A50"/>
    <w:rsid w:val="00F54E87"/>
    <w:rsid w:val="00FD5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49F1"/>
  <w15:chartTrackingRefBased/>
  <w15:docId w15:val="{026EC839-E67C-4786-A78E-4904D2E3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sid w:val="004C6A5A"/>
    <w:rPr>
      <w:sz w:val="16"/>
      <w:szCs w:val="16"/>
    </w:rPr>
  </w:style>
  <w:style w:type="character" w:customStyle="1" w:styleId="TextocomentarioCar">
    <w:name w:val="Texto comentario Car"/>
    <w:basedOn w:val="Fuentedeprrafopredeter"/>
    <w:link w:val="Textocomentario"/>
    <w:uiPriority w:val="99"/>
    <w:qFormat/>
    <w:rsid w:val="004C6A5A"/>
    <w:rPr>
      <w:sz w:val="20"/>
      <w:szCs w:val="20"/>
    </w:rPr>
  </w:style>
  <w:style w:type="paragraph" w:styleId="Prrafodelista">
    <w:name w:val="List Paragraph"/>
    <w:basedOn w:val="Normal"/>
    <w:uiPriority w:val="34"/>
    <w:qFormat/>
    <w:rsid w:val="004C6A5A"/>
    <w:pPr>
      <w:ind w:left="720"/>
      <w:contextualSpacing/>
    </w:pPr>
    <w:rPr>
      <w:lang w:val="es-ES"/>
    </w:rPr>
  </w:style>
  <w:style w:type="paragraph" w:styleId="Textocomentario">
    <w:name w:val="annotation text"/>
    <w:basedOn w:val="Normal"/>
    <w:link w:val="TextocomentarioCar"/>
    <w:uiPriority w:val="99"/>
    <w:unhideWhenUsed/>
    <w:qFormat/>
    <w:rsid w:val="004C6A5A"/>
    <w:pPr>
      <w:spacing w:line="240" w:lineRule="auto"/>
    </w:pPr>
    <w:rPr>
      <w:sz w:val="20"/>
      <w:szCs w:val="20"/>
      <w:lang w:val="es-ES"/>
    </w:rPr>
  </w:style>
  <w:style w:type="character" w:customStyle="1" w:styleId="TextocomentarioCar1">
    <w:name w:val="Texto comentario Car1"/>
    <w:basedOn w:val="Fuentedeprrafopredeter"/>
    <w:uiPriority w:val="99"/>
    <w:semiHidden/>
    <w:rsid w:val="004C6A5A"/>
    <w:rPr>
      <w:sz w:val="20"/>
      <w:szCs w:val="20"/>
      <w:lang w:val="en-GB"/>
    </w:rPr>
  </w:style>
  <w:style w:type="paragraph" w:styleId="Textodeglobo">
    <w:name w:val="Balloon Text"/>
    <w:basedOn w:val="Normal"/>
    <w:link w:val="TextodegloboCar"/>
    <w:uiPriority w:val="99"/>
    <w:semiHidden/>
    <w:unhideWhenUsed/>
    <w:rsid w:val="004C6A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C6A5A"/>
    <w:rPr>
      <w:rFonts w:ascii="Segoe UI" w:hAnsi="Segoe UI" w:cs="Segoe UI"/>
      <w:sz w:val="18"/>
      <w:szCs w:val="18"/>
      <w:lang w:val="en-GB"/>
    </w:rPr>
  </w:style>
  <w:style w:type="table" w:styleId="Tablaconcuadrcula">
    <w:name w:val="Table Grid"/>
    <w:basedOn w:val="Tablanormal"/>
    <w:uiPriority w:val="39"/>
    <w:rsid w:val="00120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37E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7E29"/>
    <w:rPr>
      <w:lang w:val="en-GB"/>
    </w:rPr>
  </w:style>
  <w:style w:type="paragraph" w:styleId="Piedepgina">
    <w:name w:val="footer"/>
    <w:basedOn w:val="Normal"/>
    <w:link w:val="PiedepginaCar"/>
    <w:uiPriority w:val="99"/>
    <w:unhideWhenUsed/>
    <w:rsid w:val="00C37E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7E29"/>
    <w:rPr>
      <w:lang w:val="en-GB"/>
    </w:rPr>
  </w:style>
  <w:style w:type="paragraph" w:styleId="Textosinformato">
    <w:name w:val="Plain Text"/>
    <w:basedOn w:val="Normal"/>
    <w:link w:val="TextosinformatoCar"/>
    <w:uiPriority w:val="99"/>
    <w:unhideWhenUsed/>
    <w:rsid w:val="005E6CB2"/>
    <w:pPr>
      <w:spacing w:after="0" w:line="240" w:lineRule="auto"/>
    </w:pPr>
    <w:rPr>
      <w:rFonts w:ascii="Calibri" w:hAnsi="Calibri"/>
      <w:szCs w:val="21"/>
      <w:lang w:val="es-ES"/>
    </w:rPr>
  </w:style>
  <w:style w:type="character" w:customStyle="1" w:styleId="TextosinformatoCar">
    <w:name w:val="Texto sin formato Car"/>
    <w:basedOn w:val="Fuentedeprrafopredeter"/>
    <w:link w:val="Textosinformato"/>
    <w:uiPriority w:val="99"/>
    <w:rsid w:val="005E6CB2"/>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B2DBE-F09B-4593-B82B-33B152BE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3017</Words>
  <Characters>16596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Boix-Fayos</dc:creator>
  <cp:keywords/>
  <dc:description/>
  <cp:lastModifiedBy>Carolina Boix-Fayos</cp:lastModifiedBy>
  <cp:revision>3</cp:revision>
  <cp:lastPrinted>2020-05-18T09:48:00Z</cp:lastPrinted>
  <dcterms:created xsi:type="dcterms:W3CDTF">2020-06-01T11:40:00Z</dcterms:created>
  <dcterms:modified xsi:type="dcterms:W3CDTF">2020-06-21T14:23:00Z</dcterms:modified>
</cp:coreProperties>
</file>