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CD26EA" w:rsidP="001518FC">
      <w:pPr>
        <w:pStyle w:val="Prrafodelista"/>
        <w:numPr>
          <w:ilvl w:val="0"/>
          <w:numId w:val="2"/>
        </w:numPr>
        <w:jc w:val="both"/>
      </w:pPr>
      <w:hyperlink r:id="rId9"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10"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CD26EA" w:rsidP="001518FC">
      <w:pPr>
        <w:pStyle w:val="Prrafodelista"/>
        <w:numPr>
          <w:ilvl w:val="0"/>
          <w:numId w:val="2"/>
        </w:numPr>
        <w:jc w:val="both"/>
      </w:pPr>
      <w:hyperlink r:id="rId11"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CD26EA" w:rsidP="001518FC">
      <w:pPr>
        <w:pStyle w:val="Prrafodelista"/>
        <w:numPr>
          <w:ilvl w:val="0"/>
          <w:numId w:val="2"/>
        </w:numPr>
        <w:jc w:val="both"/>
      </w:pPr>
      <w:hyperlink r:id="rId12"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CD26EA" w:rsidP="001518FC">
      <w:pPr>
        <w:pStyle w:val="Prrafodelista"/>
        <w:numPr>
          <w:ilvl w:val="0"/>
          <w:numId w:val="2"/>
        </w:numPr>
        <w:jc w:val="both"/>
      </w:pPr>
      <w:hyperlink r:id="rId13"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4"/>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8" w:history="1">
        <w:r w:rsidRPr="00336D3A">
          <w:rPr>
            <w:rStyle w:val="Hipervnculo"/>
          </w:rPr>
          <w:t>http://[IPv4]:8000</w:t>
        </w:r>
      </w:hyperlink>
      <w:r>
        <w:t xml:space="preserve"> o </w:t>
      </w:r>
      <w:hyperlink r:id="rId19"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2"/>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6"/>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9"/>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0"/>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1"/>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2"/>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5"/>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6"/>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8C7494"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7"/>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8"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9"/>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0"/>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3"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4"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8C7494"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8C7494"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783519E" w14:textId="54301F9F" w:rsidR="00322F1E" w:rsidRDefault="00322F1E" w:rsidP="00441AED">
      <w:pPr>
        <w:jc w:val="both"/>
      </w:pPr>
      <w:r>
        <w:t>El fichero DFU puede conseguirse desde el siguiente link:</w:t>
      </w:r>
    </w:p>
    <w:p w14:paraId="5539E8A8" w14:textId="7D2714C6" w:rsidR="00322F1E" w:rsidRDefault="00CD26EA" w:rsidP="00441AED">
      <w:pPr>
        <w:jc w:val="both"/>
      </w:pPr>
      <w:hyperlink r:id="rId45" w:anchor="downloads" w:history="1">
        <w:r w:rsidR="00322F1E" w:rsidRPr="00322F1E">
          <w:rPr>
            <w:rStyle w:val="Hipervnculo"/>
          </w:rPr>
          <w:t>https://www.kirale.com/support/#downloads</w:t>
        </w:r>
      </w:hyperlink>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6"/>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7"/>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8"/>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No se necesita ninguna instalación de un driver en específico para sistemas basados en Linux con versiones de Kernel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lastRenderedPageBreak/>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 Mac OS X desde la versión 10.4 (Tiger).</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Abrir la terminal serie y configurar con las siguientes configuraciones para comunicaciones serie con dispositivos de Kirale:</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9600 bauds, 8 bits, 1stop bit, no parity.</w:t>
      </w:r>
    </w:p>
    <w:p w14:paraId="570164DF" w14:textId="74AF9A2D" w:rsidR="00CA464F" w:rsidRDefault="00CA464F" w:rsidP="00E25BD1">
      <w:pPr>
        <w:jc w:val="both"/>
        <w:rPr>
          <w:i/>
          <w:iCs/>
        </w:rPr>
      </w:pPr>
      <w:r w:rsidRPr="00CA464F">
        <w:rPr>
          <w:b/>
          <w:bCs/>
          <w:i/>
          <w:iCs/>
        </w:rPr>
        <w:t xml:space="preserve">Nota: </w:t>
      </w:r>
      <w:r>
        <w:rPr>
          <w:i/>
          <w:iCs/>
        </w:rPr>
        <w:t>La terminal USB serie, debe configurarse para añadir un carácter “CR” cuando se pulsa la tecla Enter.</w:t>
      </w:r>
    </w:p>
    <w:p w14:paraId="0FBAA384" w14:textId="061FB97A" w:rsidR="004B6FD6" w:rsidRPr="004B6FD6" w:rsidRDefault="004B6FD6" w:rsidP="00E25BD1">
      <w:pPr>
        <w:jc w:val="both"/>
      </w:pPr>
    </w:p>
    <w:p w14:paraId="0A1B2B7B" w14:textId="79E00B3E" w:rsidR="004B6FD6" w:rsidRPr="004B6FD6" w:rsidRDefault="004B6FD6" w:rsidP="00E25BD1">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9"/>
                    <a:stretch>
                      <a:fillRect/>
                    </a:stretch>
                  </pic:blipFill>
                  <pic:spPr>
                    <a:xfrm>
                      <a:off x="0" y="0"/>
                      <a:ext cx="5400040" cy="1261745"/>
                    </a:xfrm>
                    <a:prstGeom prst="rect">
                      <a:avLst/>
                    </a:prstGeom>
                  </pic:spPr>
                </pic:pic>
              </a:graphicData>
            </a:graphic>
          </wp:inline>
        </w:drawing>
      </w:r>
    </w:p>
    <w:p w14:paraId="0CDE11FF" w14:textId="643C54AF" w:rsidR="004B6FD6" w:rsidRDefault="004B6FD6" w:rsidP="004B6FD6">
      <w:pPr>
        <w:jc w:val="both"/>
        <w:rPr>
          <w:i/>
          <w:iCs/>
        </w:rPr>
      </w:pPr>
      <w:r>
        <w:rPr>
          <w:b/>
          <w:bCs/>
          <w:i/>
          <w:iCs/>
        </w:rPr>
        <w:t>Nota:</w:t>
      </w:r>
      <w:r>
        <w:rPr>
          <w:i/>
          <w:iCs/>
        </w:rPr>
        <w:t xml:space="preserve"> Recomendado la activación del Echo Local para la lectura de los comandos enviados.</w:t>
      </w:r>
    </w:p>
    <w:p w14:paraId="7989990F" w14:textId="2EC1CC56" w:rsidR="001A05CB" w:rsidRDefault="001A05CB" w:rsidP="004B6FD6">
      <w:pPr>
        <w:jc w:val="both"/>
        <w:rPr>
          <w:i/>
          <w:iCs/>
        </w:rPr>
      </w:pP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1A05CB">
      <w:pPr>
        <w:jc w:val="both"/>
        <w:rPr>
          <w:i/>
          <w:iCs/>
        </w:rPr>
      </w:pPr>
      <w:r>
        <w:t>Si no se tiene ninguna terminal serie para puerto serie COM, se deberá instalar una, como puede ser “</w:t>
      </w:r>
      <w:r>
        <w:rPr>
          <w:i/>
          <w:iCs/>
        </w:rPr>
        <w:t>Picocom”.</w:t>
      </w:r>
    </w:p>
    <w:p w14:paraId="71470B2D" w14:textId="6CE44472" w:rsidR="001A05CB" w:rsidRDefault="001A05CB" w:rsidP="001A05CB">
      <w:pPr>
        <w:jc w:val="both"/>
      </w:pPr>
      <w:r>
        <w:t>La configuración es la misma necesaria para la comunicación serie con los Sistemas Windows.</w:t>
      </w:r>
    </w:p>
    <w:p w14:paraId="0C22BF21" w14:textId="77777777" w:rsidR="00380572" w:rsidRDefault="00380572" w:rsidP="001A05CB">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8C7494"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77777777" w:rsidR="001A05CB" w:rsidRDefault="001A05CB" w:rsidP="00CE1A0D">
            <w:pPr>
              <w:autoSpaceDE w:val="0"/>
              <w:autoSpaceDN w:val="0"/>
              <w:adjustRightInd w:val="0"/>
              <w:rPr>
                <w:sz w:val="18"/>
                <w:szCs w:val="18"/>
                <w:lang w:val="en-US"/>
              </w:rPr>
            </w:pPr>
            <w:r w:rsidRPr="001A05CB">
              <w:rPr>
                <w:sz w:val="18"/>
                <w:szCs w:val="18"/>
                <w:lang w:val="en-US"/>
              </w:rPr>
              <w:t xml:space="preserve">~$ picocom -c --omap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6E9D6EAD" w:rsidR="001A05CB" w:rsidRPr="00A8316B" w:rsidRDefault="001A05CB" w:rsidP="001A05CB">
      <w:pPr>
        <w:jc w:val="both"/>
      </w:pPr>
      <w:r w:rsidRPr="00A8316B">
        <w:t xml:space="preserve">-c </w:t>
      </w:r>
      <w:r w:rsidRPr="001A05CB">
        <w:rPr>
          <w:lang w:val="en-US"/>
        </w:rPr>
        <w:sym w:font="Wingdings" w:char="F0E0"/>
      </w:r>
      <w:r w:rsidRPr="00A8316B">
        <w:t xml:space="preserve"> Activación Local Echo.</w:t>
      </w:r>
    </w:p>
    <w:p w14:paraId="219DD55F" w14:textId="77777777" w:rsidR="001A05CB" w:rsidRPr="00A8316B" w:rsidRDefault="001A05CB" w:rsidP="001A05CB">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1A05CB">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1A05CB">
      <w:pPr>
        <w:jc w:val="both"/>
      </w:pPr>
      <w:r>
        <w:t xml:space="preserve">Para irse del programa utilizar </w:t>
      </w:r>
      <w:r>
        <w:rPr>
          <w:b/>
          <w:bCs/>
          <w:i/>
          <w:iCs/>
        </w:rPr>
        <w:t xml:space="preserve">Ctrl+a </w:t>
      </w:r>
      <w:r>
        <w:rPr>
          <w:i/>
          <w:iCs/>
        </w:rPr>
        <w:t xml:space="preserve">y </w:t>
      </w:r>
      <w:r>
        <w:rPr>
          <w:b/>
          <w:bCs/>
          <w:i/>
          <w:iCs/>
        </w:rPr>
        <w:t xml:space="preserve">Ctrl+x </w:t>
      </w:r>
      <w:r>
        <w:t>.</w:t>
      </w:r>
    </w:p>
    <w:p w14:paraId="00254C4D" w14:textId="7262ADAB" w:rsidR="001A05CB" w:rsidRDefault="001A05CB" w:rsidP="001A05CB">
      <w:pPr>
        <w:jc w:val="both"/>
      </w:pP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BC360E">
      <w:pPr>
        <w:jc w:val="both"/>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380572">
      <w:pPr>
        <w:jc w:val="both"/>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28481F">
      <w:pPr>
        <w:jc w:val="both"/>
      </w:pPr>
      <w:r w:rsidRPr="00570376">
        <w:lastRenderedPageBreak/>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28481F">
      <w:pPr>
        <w:jc w:val="both"/>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CD26EA" w:rsidP="0028481F">
      <w:pPr>
        <w:jc w:val="both"/>
      </w:pPr>
      <w:hyperlink r:id="rId50" w:anchor="downloads" w:history="1">
        <w:r w:rsidR="00322F1E" w:rsidRPr="00322F1E">
          <w:rPr>
            <w:rStyle w:val="Hipervnculo"/>
          </w:rPr>
          <w:t>https://www.kirale.com/support/#downloads</w:t>
        </w:r>
      </w:hyperlink>
    </w:p>
    <w:p w14:paraId="05CD990F" w14:textId="2CE02C4D" w:rsidR="00FF31FD" w:rsidRDefault="00FF31FD" w:rsidP="0028481F">
      <w:pPr>
        <w:jc w:val="both"/>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1"/>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28481F">
      <w:pPr>
        <w:jc w:val="both"/>
      </w:pPr>
      <w:r>
        <w:t xml:space="preserve">Para ver más en detalle la sintaxis de cada comando, descargar y ver la </w:t>
      </w:r>
      <w:hyperlink r:id="rId52" w:anchor="083596d3193c172fa" w:history="1">
        <w:r w:rsidRPr="00322F1E">
          <w:rPr>
            <w:rStyle w:val="Hipervnculo"/>
          </w:rPr>
          <w:t>KSH Reference Guide</w:t>
        </w:r>
      </w:hyperlink>
      <w:r>
        <w:t>.</w:t>
      </w:r>
    </w:p>
    <w:p w14:paraId="0520199C" w14:textId="77777777" w:rsidR="00322F1E" w:rsidRDefault="00322F1E" w:rsidP="0028481F">
      <w:pPr>
        <w:jc w:val="both"/>
      </w:pP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322F1E">
      <w:pPr>
        <w:jc w:val="both"/>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0C64502C" w14:textId="77777777" w:rsidR="005809B7" w:rsidRDefault="005809B7" w:rsidP="005809B7">
      <w:pPr>
        <w:pStyle w:val="Prrafodelista"/>
        <w:jc w:val="both"/>
      </w:pPr>
    </w:p>
    <w:p w14:paraId="490424CE" w14:textId="56A626C8" w:rsidR="005809B7" w:rsidRDefault="005809B7" w:rsidP="005809B7">
      <w:pPr>
        <w:pStyle w:val="Prrafodelista"/>
        <w:numPr>
          <w:ilvl w:val="0"/>
          <w:numId w:val="2"/>
        </w:numPr>
        <w:jc w:val="both"/>
      </w:pPr>
      <w:r>
        <w:rPr>
          <w:b/>
          <w:bCs/>
        </w:rPr>
        <w:t xml:space="preserve">Decimal: </w:t>
      </w:r>
      <w:r>
        <w:t>Representado en la guía como [dec]. Estos parámetros deberán ser con notación decimal, como “</w:t>
      </w:r>
      <w:r>
        <w:rPr>
          <w:i/>
          <w:iCs/>
        </w:rPr>
        <w:t>64”</w:t>
      </w:r>
      <w:r>
        <w:t>.</w:t>
      </w:r>
    </w:p>
    <w:p w14:paraId="658C2991" w14:textId="77777777" w:rsidR="005809B7" w:rsidRDefault="005809B7" w:rsidP="005809B7">
      <w:pPr>
        <w:pStyle w:val="Prrafodelista"/>
      </w:pP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5F2DB5C2" w14:textId="77777777" w:rsidR="005809B7" w:rsidRDefault="005809B7" w:rsidP="005809B7">
      <w:pPr>
        <w:pStyle w:val="Prrafodelista"/>
      </w:pP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3"/>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533C079F" w14:textId="77777777" w:rsidR="00FF31FD" w:rsidRDefault="00FF31FD" w:rsidP="00FF31FD">
      <w:pPr>
        <w:pStyle w:val="Prrafodelista"/>
        <w:jc w:val="both"/>
      </w:pP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9F3B38">
      <w:pPr>
        <w:jc w:val="both"/>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3119200B" w14:textId="77777777" w:rsidR="00BF55B8" w:rsidRDefault="00BF55B8" w:rsidP="00BF55B8">
      <w:pPr>
        <w:pStyle w:val="Prrafodelista"/>
        <w:jc w:val="both"/>
      </w:pP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2BB0793A" w14:textId="77777777" w:rsidR="00BF55B8" w:rsidRDefault="00BF55B8" w:rsidP="00BF55B8">
      <w:pPr>
        <w:pStyle w:val="Prrafodelista"/>
        <w:jc w:val="both"/>
      </w:pP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lastRenderedPageBreak/>
        <w:t>Configuration setting missing:</w:t>
      </w:r>
      <w:r w:rsidRPr="00B951AC">
        <w:t xml:space="preserve"> El comando no puede ejecutarse de</w:t>
      </w:r>
      <w:r>
        <w:t>bido a que se requieren otras configuraciones antes de ejecutarse.</w:t>
      </w:r>
    </w:p>
    <w:p w14:paraId="771501F4" w14:textId="77777777" w:rsidR="00BF55B8" w:rsidRDefault="00BF55B8" w:rsidP="00BF55B8">
      <w:pPr>
        <w:pStyle w:val="Prrafodelista"/>
        <w:jc w:val="both"/>
      </w:pP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BF55B8">
      <w:pPr>
        <w:jc w:val="both"/>
      </w:pPr>
      <w:r>
        <w:t>Si no hay mensaje de respuesta, significa que el comando se ha procesado correctamente.</w:t>
      </w:r>
    </w:p>
    <w:p w14:paraId="0E0416E0" w14:textId="4DEE5AAD" w:rsidR="004B7345" w:rsidRDefault="004B7345" w:rsidP="00BF55B8">
      <w:pPr>
        <w:jc w:val="both"/>
      </w:pP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826060">
      <w:pPr>
        <w:jc w:val="both"/>
      </w:pPr>
      <w:r>
        <w:t>Antes de entrar en el funcionamiento de como usar los comandos KBI por puerto UART, en la siguiente imagen se muestra un esquema de un Host externo usando KBI para comunicarse con el módulo KTWM102 y el sistema KiNOS a través del puerto UART:</w:t>
      </w:r>
    </w:p>
    <w:p w14:paraId="08F34EA8" w14:textId="79A90968" w:rsidR="00826060" w:rsidRDefault="00826060" w:rsidP="00826060">
      <w:pPr>
        <w:jc w:val="both"/>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p>
    <w:p w14:paraId="3E4DAD45" w14:textId="35D5135B" w:rsidR="00826060" w:rsidRDefault="00826060" w:rsidP="00826060">
      <w:pPr>
        <w:jc w:val="both"/>
      </w:pPr>
      <w:r>
        <w:t>Una vez conectado el sistema como en el esquema</w:t>
      </w:r>
      <w:r w:rsidR="00FE452E">
        <w:t>, deberemos configurar el puerto serie de nuestro Host de la siguiente manera:</w:t>
      </w:r>
    </w:p>
    <w:p w14:paraId="4A54506A" w14:textId="1E980929" w:rsidR="00FE452E" w:rsidRDefault="00FE452E" w:rsidP="00826060">
      <w:pPr>
        <w:jc w:val="both"/>
        <w:rPr>
          <w:i/>
          <w:iCs/>
          <w:lang w:val="en-US"/>
        </w:rPr>
      </w:pPr>
      <w:r w:rsidRPr="00FE452E">
        <w:rPr>
          <w:b/>
          <w:bCs/>
          <w:i/>
          <w:iCs/>
          <w:lang w:val="en-US"/>
        </w:rPr>
        <w:t xml:space="preserve">Configuración Serie: </w:t>
      </w:r>
      <w:r w:rsidRPr="00FE452E">
        <w:rPr>
          <w:i/>
          <w:iCs/>
          <w:lang w:val="en-US"/>
        </w:rPr>
        <w:t>115200 bps, 8 data bits, no parity, 1 stop bit</w:t>
      </w:r>
      <w:r>
        <w:rPr>
          <w:i/>
          <w:iCs/>
          <w:lang w:val="en-US"/>
        </w:rPr>
        <w:t>, no flow control.</w:t>
      </w:r>
    </w:p>
    <w:p w14:paraId="49A4380B" w14:textId="418C4A65" w:rsidR="00FE452E" w:rsidRDefault="00FE452E" w:rsidP="00826060">
      <w:pPr>
        <w:jc w:val="both"/>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826060">
      <w:pPr>
        <w:jc w:val="both"/>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 xml:space="preserve">0x00 del propio paquete necesitarán ser codificados para no confundirlos con un nuevo delimitador. Si se detecta un error en la recepción </w:t>
      </w:r>
      <w:r w:rsidR="005F592E">
        <w:lastRenderedPageBreak/>
        <w:t>del paquete UART y el recibidor es  incapaz de decodificar el mensaje, este enviará una notificación de error (codificada como [0x00 0xFF]) automáticamente al remitente.</w:t>
      </w:r>
    </w:p>
    <w:p w14:paraId="2CE94F12" w14:textId="2278BDD9" w:rsidR="005F592E" w:rsidRDefault="005F592E" w:rsidP="00826060">
      <w:pPr>
        <w:jc w:val="both"/>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la </w:t>
      </w:r>
      <w:hyperlink r:id="rId55" w:anchor="083596d3193c172fa" w:history="1">
        <w:r w:rsidR="007426E2">
          <w:rPr>
            <w:rStyle w:val="Hipervnculo"/>
          </w:rPr>
          <w:t>KBI Reference Guide</w:t>
        </w:r>
      </w:hyperlink>
      <w:r w:rsidR="007426E2">
        <w:t xml:space="preserve"> y en </w:t>
      </w:r>
      <w:hyperlink r:id="rId56"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0D180234" w14:textId="478527DD" w:rsidR="007426E2" w:rsidRDefault="007426E2" w:rsidP="00826060">
      <w:pPr>
        <w:jc w:val="both"/>
      </w:pP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A54AB1">
      <w:pPr>
        <w:jc w:val="both"/>
      </w:pPr>
      <w:r>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r w:rsidRPr="00A54AB1">
              <w:t>Header</w:t>
            </w:r>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 xml:space="preserve">(Optional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A54AB1">
      <w:pPr>
        <w:jc w:val="both"/>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Checksum. </w:t>
      </w:r>
      <w:r w:rsidRPr="00277ED3">
        <w:t>Se calcula con el XOR d</w:t>
      </w:r>
      <w:r>
        <w:t>e todo el resto de bytes del paquete.</w:t>
      </w:r>
    </w:p>
    <w:p w14:paraId="393DF9ED" w14:textId="1C65B6BB" w:rsidR="00277ED3" w:rsidRDefault="00277ED3" w:rsidP="00277ED3">
      <w:pPr>
        <w:jc w:val="both"/>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la payload es de 1268 bytes. Todos los subcampos de la payload deben ser big endian.</w:t>
      </w:r>
    </w:p>
    <w:p w14:paraId="051FD983" w14:textId="2277CACF" w:rsidR="00FE23E9" w:rsidRDefault="00F95235" w:rsidP="00277ED3">
      <w:pPr>
        <w:jc w:val="both"/>
      </w:pPr>
      <w:r>
        <w:t xml:space="preserve">El byte </w:t>
      </w:r>
      <w:r>
        <w:rPr>
          <w:b/>
          <w:bCs/>
        </w:rPr>
        <w:t xml:space="preserve">TYPE </w:t>
      </w:r>
      <w:r>
        <w:t>tiene los siguientes bits:</w:t>
      </w:r>
    </w:p>
    <w:p w14:paraId="68AC344C" w14:textId="77777777" w:rsidR="005718D0" w:rsidRDefault="005718D0" w:rsidP="00277ED3">
      <w:pPr>
        <w:jc w:val="both"/>
      </w:pP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0 -Reserved</w:t>
            </w:r>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1 - Command</w:t>
            </w:r>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3 - Notification</w:t>
            </w:r>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 to 15 - Reserved</w:t>
            </w:r>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Write / Execute</w:t>
            </w:r>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Ping Reply</w:t>
            </w:r>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Read</w:t>
            </w:r>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Value</w:t>
            </w:r>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Delete</w:t>
            </w:r>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parameter</w:t>
            </w:r>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Ping Reply</w:t>
            </w:r>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Command</w:t>
            </w:r>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Operation not allowed</w:t>
            </w:r>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Destination Unreachable</w:t>
            </w:r>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Memory Allocation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Config. Settings Misssing</w:t>
            </w:r>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Firmware Update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Busy</w:t>
            </w:r>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F51932">
      <w:pPr>
        <w:jc w:val="both"/>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padding.</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Caso específico de HEXN(8) o HEXN(16), representando un prefijo IPv6 de tamaño 64 bits o una dirección IPv6 con 128 bits de tamaño.</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7C4752">
      <w:pPr>
        <w:jc w:val="both"/>
      </w:pPr>
      <w:r>
        <w:t>Los dispositivos KiNOS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KiNOS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7C4752">
      <w:pPr>
        <w:jc w:val="both"/>
      </w:pPr>
      <w:r>
        <w:t>Será necesaria una rutina “</w:t>
      </w:r>
      <w:r>
        <w:rPr>
          <w:i/>
          <w:iCs/>
        </w:rPr>
        <w:t>Com</w:t>
      </w:r>
      <w:r w:rsidR="00E93A6C">
        <w:rPr>
          <w:i/>
          <w:iCs/>
        </w:rPr>
        <w:t>ando – Esperar respuesta”</w:t>
      </w:r>
      <w:r w:rsidR="00E93A6C">
        <w:t xml:space="preserve"> en el host externo cuando se transmite un comando al dispositivo KiNOS. Esto implica que el host debe esperar a una respuesta justo después cada comando enviado al dispositivo KiNOS. Se recomienda que en el lado del host haya una coherencia entre el comando enviado y la respuesta recibida.</w:t>
      </w:r>
    </w:p>
    <w:p w14:paraId="42EF5C29" w14:textId="08D2BB14" w:rsidR="00E93A6C" w:rsidRDefault="00E93A6C" w:rsidP="007C4752">
      <w:pPr>
        <w:jc w:val="both"/>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7C4752">
      <w:pPr>
        <w:jc w:val="both"/>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7"/>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C488A">
      <w:pPr>
        <w:jc w:val="both"/>
      </w:pPr>
      <w:r>
        <w:t>Un dispositivo KiNOS manda una notificación a un host externo para informar de eventos asíncronos.</w:t>
      </w:r>
      <w:r w:rsidR="00057BDB">
        <w:t xml:space="preserve"> Estos eventos asíncronos pueden ser eventos como la recepción de datos por trafico serie por UDP, la cual puede darse en cualquier momento por radio y se transmite la notificación por UART.</w:t>
      </w:r>
    </w:p>
    <w:p w14:paraId="6E9C730D" w14:textId="7026154A" w:rsidR="00057BDB" w:rsidRDefault="00057BDB" w:rsidP="004C488A">
      <w:pPr>
        <w:jc w:val="both"/>
      </w:pPr>
      <w:r>
        <w:t>En estas notificaciones, el byte de CMD tiene valor nulo, 0x00.</w:t>
      </w:r>
    </w:p>
    <w:p w14:paraId="000B98FE" w14:textId="57D8D3E8" w:rsidR="00217E94" w:rsidRDefault="00057BDB" w:rsidP="004C488A">
      <w:pPr>
        <w:jc w:val="both"/>
        <w:rPr>
          <w:rStyle w:val="Hipervnculo"/>
        </w:rPr>
      </w:pPr>
      <w:r>
        <w:t xml:space="preserve">Para más detalle de los comandos ver en la </w:t>
      </w:r>
      <w:hyperlink r:id="rId58" w:anchor="083596d3193c172fa" w:history="1">
        <w:r>
          <w:rPr>
            <w:rStyle w:val="Hipervnculo"/>
          </w:rPr>
          <w:t>KBI Reference Guide</w:t>
        </w:r>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D802F2">
      <w:pPr>
        <w:jc w:val="both"/>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D802F2">
      <w:pPr>
        <w:jc w:val="both"/>
      </w:pPr>
      <w:r>
        <w:t>Antes de introducir los parámetros de la red, deberemos tener en cuenta una cosa: si deseamos o no realizar el proceso de “In Band” o no. Si queremos unirnos a una red en específico, deberemos activar el modo de Commisioning “Out of Band”, y posteriormente introducir todos los parámetros necesarios.</w:t>
      </w:r>
    </w:p>
    <w:p w14:paraId="12898705" w14:textId="34CF9333" w:rsidR="00BE19E6" w:rsidRDefault="00BE19E6" w:rsidP="00D802F2">
      <w:pPr>
        <w:jc w:val="both"/>
      </w:pPr>
      <w:r>
        <w:t>Para ver la sintaxis de los comandos a enviar para las diferentes configuraciones, ver las guías KBH y KBI anteriormente mencionadas.</w:t>
      </w:r>
    </w:p>
    <w:p w14:paraId="35BE612F" w14:textId="2B2A5848" w:rsidR="005143FA" w:rsidRPr="005143FA" w:rsidRDefault="005143FA" w:rsidP="00D802F2">
      <w:pPr>
        <w:jc w:val="both"/>
        <w:rPr>
          <w:i/>
          <w:iCs/>
        </w:rPr>
      </w:pPr>
      <w:r>
        <w:rPr>
          <w:b/>
          <w:bCs/>
          <w:i/>
          <w:iCs/>
        </w:rPr>
        <w:t xml:space="preserve">Nota: </w:t>
      </w:r>
      <w:r w:rsidRPr="005143FA">
        <w:rPr>
          <w:i/>
          <w:iCs/>
        </w:rPr>
        <w:t xml:space="preserve">En ambos casos, siempre </w:t>
      </w:r>
      <w:r>
        <w:rPr>
          <w:i/>
          <w:iCs/>
        </w:rPr>
        <w:t xml:space="preserve">se debe </w:t>
      </w:r>
      <w:r w:rsidRPr="005143FA">
        <w:rPr>
          <w:i/>
          <w:iCs/>
        </w:rPr>
        <w:t>ejecutar el comando</w:t>
      </w:r>
      <w:r w:rsidRPr="005143FA">
        <w:rPr>
          <w:b/>
          <w:bCs/>
          <w:i/>
          <w:iCs/>
        </w:rPr>
        <w:t xml:space="preserve"> Clear</w:t>
      </w:r>
      <w:r>
        <w:t xml:space="preserve"> </w:t>
      </w:r>
      <w:r>
        <w:rPr>
          <w:i/>
          <w:iCs/>
        </w:rPr>
        <w:t xml:space="preserve">para borrar posibles configuraciones anteriores. Solo es conveniente </w:t>
      </w:r>
      <w:r>
        <w:rPr>
          <w:b/>
          <w:bCs/>
          <w:i/>
          <w:iCs/>
        </w:rPr>
        <w:t xml:space="preserve">no </w:t>
      </w:r>
      <w:r>
        <w:rPr>
          <w:i/>
          <w:iCs/>
        </w:rPr>
        <w:t xml:space="preserve"> ejecutarlo cuando la configuración guardada es la misma que se vaya a utilizar en ese momento.</w:t>
      </w:r>
    </w:p>
    <w:p w14:paraId="7BDB858F" w14:textId="0D79F14F" w:rsidR="00206483" w:rsidRDefault="00206483" w:rsidP="00D802F2">
      <w:pPr>
        <w:jc w:val="both"/>
      </w:pP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Desactivado</w:t>
      </w:r>
    </w:p>
    <w:p w14:paraId="033DF7AC" w14:textId="7B532F7D" w:rsidR="005143FA" w:rsidRPr="00C27F71" w:rsidRDefault="005143FA" w:rsidP="005143FA">
      <w:pPr>
        <w:rPr>
          <w:lang w:val="en-US"/>
        </w:rPr>
      </w:pPr>
    </w:p>
    <w:p w14:paraId="4151D37A" w14:textId="06AAA090" w:rsidR="005143FA" w:rsidRDefault="00C27F71" w:rsidP="00C27F71">
      <w:pPr>
        <w:jc w:val="both"/>
      </w:pPr>
      <w:r>
        <w:t xml:space="preserve">Este modo es el modo por defecto, pero aún así es recomendable ejecutar el comando de desactivar el modo “Out-of-Band Commisioning”. </w:t>
      </w:r>
    </w:p>
    <w:p w14:paraId="5ADE701B" w14:textId="71DB8631" w:rsidR="00C27F71" w:rsidRDefault="00C27F71" w:rsidP="00C27F71">
      <w:pPr>
        <w:jc w:val="both"/>
      </w:pPr>
      <w:r>
        <w:t>Una vez se aseguré que este modo esté desactivado, la configuración requerirá de pocos parámetros obligatorios.</w:t>
      </w:r>
    </w:p>
    <w:p w14:paraId="0DB7FD9D" w14:textId="1B37A7EF" w:rsidR="00C27F71" w:rsidRDefault="00C27F71" w:rsidP="00C27F71">
      <w:pPr>
        <w:jc w:val="both"/>
      </w:pPr>
      <w:r>
        <w:t xml:space="preserve">Antes de la ejecución del comando </w:t>
      </w:r>
      <w:r>
        <w:rPr>
          <w:b/>
          <w:bCs/>
        </w:rPr>
        <w:t>Ifup</w:t>
      </w:r>
      <w:r>
        <w:t>, deberá configurarse el Role que tendrá el nodo. En caso contrario, se generará el error “</w:t>
      </w:r>
      <w:r>
        <w:rPr>
          <w:i/>
          <w:iCs/>
        </w:rPr>
        <w:t>Configuration settings missing”</w:t>
      </w:r>
      <w:r w:rsidR="00BE19E6">
        <w:rPr>
          <w:b/>
          <w:bCs/>
        </w:rPr>
        <w:t xml:space="preserve">. </w:t>
      </w:r>
      <w:r w:rsidR="00BE19E6">
        <w:t xml:space="preserve">Otros parámetros como el </w:t>
      </w:r>
      <w:r w:rsidR="00BE19E6">
        <w:rPr>
          <w:i/>
          <w:iCs/>
        </w:rPr>
        <w:t>Canal, PAN ID, Nombre de Red y la Credencial de Commisioning,</w:t>
      </w:r>
      <w:r w:rsidR="00BE19E6">
        <w:t xml:space="preserve"> serán opcionales, y se generarán automáticamente en caso de no especificarles.</w:t>
      </w:r>
    </w:p>
    <w:p w14:paraId="41322AF4" w14:textId="2EF69137" w:rsidR="00BE19E6" w:rsidRDefault="00BE19E6" w:rsidP="00C27F71">
      <w:pPr>
        <w:jc w:val="both"/>
      </w:pPr>
      <w:r>
        <w:t>Una vez enviado el comando IfUp, el módulo tardará unos pocos segundos el realizar el proceso de unirse/crear la red. Una vez unido a la red, se guardará su configuración como configuración válida y ya no podrá modificarse salvo realizar el comando Clear.</w:t>
      </w:r>
    </w:p>
    <w:p w14:paraId="442DA9D8" w14:textId="26D9AC85" w:rsidR="00BE19E6" w:rsidRPr="00BE19E6" w:rsidRDefault="00BE19E6" w:rsidP="00C27F71">
      <w:pPr>
        <w:jc w:val="both"/>
        <w:rPr>
          <w:sz w:val="20"/>
          <w:szCs w:val="20"/>
        </w:rPr>
      </w:pP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Activado</w:t>
      </w:r>
    </w:p>
    <w:p w14:paraId="4FA9F3D4" w14:textId="45FBF25E" w:rsidR="00BE19E6" w:rsidRDefault="00BE19E6" w:rsidP="00BE19E6">
      <w:pPr>
        <w:rPr>
          <w:lang w:val="en-US"/>
        </w:rPr>
      </w:pPr>
    </w:p>
    <w:p w14:paraId="6D8DDEA1" w14:textId="090F1710" w:rsidR="00BE19E6" w:rsidRDefault="00BE19E6" w:rsidP="00BE19E6">
      <w:pPr>
        <w:jc w:val="both"/>
      </w:pPr>
      <w:r w:rsidRPr="00BE19E6">
        <w:t>Este modo no está activado p</w:t>
      </w:r>
      <w:r>
        <w:t>or defecto, por lo que se deberá ejecutar el respectivo comando de activación del modo “Out-of-Band Commissioning”. Este modo convendrá activarlo cuando se quiera unir los módulos a una red en concreto, como puede ser una red “privada”.</w:t>
      </w:r>
    </w:p>
    <w:p w14:paraId="774BB7AA" w14:textId="516588CF" w:rsidR="00BE19E6" w:rsidRDefault="00BE19E6" w:rsidP="00BE19E6">
      <w:pPr>
        <w:jc w:val="both"/>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Rol, Canal, PAN ID, Nombre de Red, Prefijo Local, Master Key, PAN ID Extendida y la Credencial de Commisioning.</w:t>
      </w:r>
    </w:p>
    <w:p w14:paraId="3F3E5127" w14:textId="56174FA0" w:rsidR="008D209C" w:rsidRDefault="008D209C" w:rsidP="00BE19E6">
      <w:pPr>
        <w:jc w:val="both"/>
        <w:rPr>
          <w:b/>
          <w:bCs/>
        </w:rPr>
      </w:pPr>
      <w:r>
        <w:t>Sin uno de esos parámetros, se generará el error “</w:t>
      </w:r>
      <w:r>
        <w:rPr>
          <w:i/>
          <w:iCs/>
        </w:rPr>
        <w:t>Configuration settings missing”</w:t>
      </w:r>
      <w:r>
        <w:rPr>
          <w:b/>
          <w:bCs/>
        </w:rPr>
        <w:t>.</w:t>
      </w:r>
    </w:p>
    <w:p w14:paraId="575688B0" w14:textId="2DC6A06E" w:rsidR="00F47ABE" w:rsidRDefault="00F47ABE" w:rsidP="00BE19E6">
      <w:pPr>
        <w:jc w:val="both"/>
        <w:rPr>
          <w:b/>
          <w:bCs/>
        </w:rPr>
      </w:pPr>
    </w:p>
    <w:p w14:paraId="3805634B" w14:textId="3E3B07E8" w:rsidR="00F47ABE" w:rsidRDefault="00F47ABE" w:rsidP="00F47ABE">
      <w:pPr>
        <w:pStyle w:val="Ttulo1"/>
        <w:numPr>
          <w:ilvl w:val="0"/>
          <w:numId w:val="1"/>
        </w:numPr>
      </w:pPr>
      <w:r>
        <w:lastRenderedPageBreak/>
        <w:t>Pruebas Realizadas</w:t>
      </w:r>
    </w:p>
    <w:p w14:paraId="226600D7" w14:textId="4156D64B" w:rsidR="00F47ABE" w:rsidRDefault="00F47ABE" w:rsidP="00F47ABE"/>
    <w:p w14:paraId="2FC5F8D0" w14:textId="585BB09A" w:rsidR="00F47ABE" w:rsidRDefault="00F47ABE" w:rsidP="005B7591">
      <w:pPr>
        <w:jc w:val="both"/>
      </w:pPr>
      <w:r>
        <w:t xml:space="preserve">En este capítulo describiremos las diferentes pruebas realizadas. En estas pruebas se han utilizado los siguientes utensilios: </w:t>
      </w:r>
    </w:p>
    <w:tbl>
      <w:tblPr>
        <w:tblStyle w:val="Tablaconcuadrcula"/>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354"/>
      </w:tblGrid>
      <w:tr w:rsidR="00AA038E" w14:paraId="05B42E45" w14:textId="77777777" w:rsidTr="00FA2D42">
        <w:trPr>
          <w:jc w:val="center"/>
        </w:trPr>
        <w:tc>
          <w:tcPr>
            <w:tcW w:w="4106" w:type="dxa"/>
            <w:vAlign w:val="center"/>
          </w:tcPr>
          <w:p w14:paraId="44CE3C06" w14:textId="71D0E228" w:rsidR="00AA038E" w:rsidRDefault="00AA038E" w:rsidP="005B7591">
            <w:pPr>
              <w:jc w:val="center"/>
            </w:pPr>
            <w:r>
              <w:rPr>
                <w:noProof/>
              </w:rPr>
              <w:drawing>
                <wp:inline distT="0" distB="0" distL="0" distR="0" wp14:anchorId="059293B6" wp14:editId="115E82E9">
                  <wp:extent cx="2424430" cy="38277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4430" cy="3827780"/>
                          </a:xfrm>
                          <a:prstGeom prst="rect">
                            <a:avLst/>
                          </a:prstGeom>
                          <a:noFill/>
                          <a:ln>
                            <a:noFill/>
                          </a:ln>
                        </pic:spPr>
                      </pic:pic>
                    </a:graphicData>
                  </a:graphic>
                </wp:inline>
              </w:drawing>
            </w:r>
          </w:p>
        </w:tc>
        <w:tc>
          <w:tcPr>
            <w:tcW w:w="4388" w:type="dxa"/>
            <w:vAlign w:val="center"/>
          </w:tcPr>
          <w:p w14:paraId="36E18B92" w14:textId="63D54A21" w:rsidR="00AA038E" w:rsidRDefault="00AA038E" w:rsidP="00AA038E">
            <w:pPr>
              <w:jc w:val="center"/>
            </w:pPr>
            <w:r>
              <w:rPr>
                <w:noProof/>
              </w:rPr>
              <w:drawing>
                <wp:inline distT="0" distB="0" distL="0" distR="0" wp14:anchorId="6489D8E4" wp14:editId="0A03BE80">
                  <wp:extent cx="2574224" cy="192449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2653" cy="1945747"/>
                          </a:xfrm>
                          <a:prstGeom prst="rect">
                            <a:avLst/>
                          </a:prstGeom>
                          <a:noFill/>
                          <a:ln>
                            <a:noFill/>
                          </a:ln>
                        </pic:spPr>
                      </pic:pic>
                    </a:graphicData>
                  </a:graphic>
                </wp:inline>
              </w:drawing>
            </w:r>
          </w:p>
        </w:tc>
      </w:tr>
      <w:tr w:rsidR="00AA038E" w14:paraId="012895B8" w14:textId="77777777" w:rsidTr="00FA2D42">
        <w:trPr>
          <w:jc w:val="center"/>
        </w:trPr>
        <w:tc>
          <w:tcPr>
            <w:tcW w:w="4106" w:type="dxa"/>
            <w:shd w:val="clear" w:color="auto" w:fill="D0CECE" w:themeFill="background2" w:themeFillShade="E6"/>
            <w:vAlign w:val="center"/>
          </w:tcPr>
          <w:p w14:paraId="1792E15B" w14:textId="77777777" w:rsidR="005B7591" w:rsidRDefault="00AA038E" w:rsidP="005B7591">
            <w:pPr>
              <w:jc w:val="center"/>
            </w:pPr>
            <w:r>
              <w:t>1 x Kit de Desarrollo STM</w:t>
            </w:r>
          </w:p>
          <w:p w14:paraId="6C5FB274" w14:textId="78DC255D" w:rsidR="00AA038E" w:rsidRDefault="00AA038E" w:rsidP="005B7591">
            <w:pPr>
              <w:jc w:val="center"/>
            </w:pPr>
            <w:r w:rsidRPr="00F47ABE">
              <w:t>STM32F407G-DISC1</w:t>
            </w:r>
          </w:p>
        </w:tc>
        <w:tc>
          <w:tcPr>
            <w:tcW w:w="4388" w:type="dxa"/>
            <w:shd w:val="clear" w:color="auto" w:fill="D0CECE" w:themeFill="background2" w:themeFillShade="E6"/>
            <w:vAlign w:val="center"/>
          </w:tcPr>
          <w:p w14:paraId="2E4DFE7C" w14:textId="7E8BDE45" w:rsidR="00AA038E" w:rsidRDefault="00AA038E" w:rsidP="005B7591">
            <w:pPr>
              <w:jc w:val="center"/>
            </w:pPr>
            <w:r>
              <w:t>2 x KTDG102 Evaluation Dongle</w:t>
            </w:r>
          </w:p>
        </w:tc>
      </w:tr>
      <w:tr w:rsidR="00AA038E" w14:paraId="324D1CEE" w14:textId="77777777" w:rsidTr="00FA2D42">
        <w:trPr>
          <w:jc w:val="center"/>
        </w:trPr>
        <w:tc>
          <w:tcPr>
            <w:tcW w:w="4106" w:type="dxa"/>
            <w:vAlign w:val="center"/>
          </w:tcPr>
          <w:p w14:paraId="0798A774" w14:textId="46340D06" w:rsidR="00AA038E" w:rsidRDefault="005B7591" w:rsidP="005B7591">
            <w:pPr>
              <w:jc w:val="center"/>
            </w:pPr>
            <w:r>
              <w:rPr>
                <w:noProof/>
              </w:rPr>
              <w:drawing>
                <wp:inline distT="0" distB="0" distL="0" distR="0" wp14:anchorId="75CF8B25" wp14:editId="3BA785E6">
                  <wp:extent cx="2498566" cy="183943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8264" cy="1846573"/>
                          </a:xfrm>
                          <a:prstGeom prst="rect">
                            <a:avLst/>
                          </a:prstGeom>
                          <a:noFill/>
                          <a:ln>
                            <a:noFill/>
                          </a:ln>
                        </pic:spPr>
                      </pic:pic>
                    </a:graphicData>
                  </a:graphic>
                </wp:inline>
              </w:drawing>
            </w:r>
          </w:p>
        </w:tc>
        <w:tc>
          <w:tcPr>
            <w:tcW w:w="4388" w:type="dxa"/>
            <w:vAlign w:val="center"/>
          </w:tcPr>
          <w:p w14:paraId="065CD467" w14:textId="2C4F2186" w:rsidR="00AA038E" w:rsidRDefault="005B7591" w:rsidP="005B7591">
            <w:pPr>
              <w:jc w:val="center"/>
            </w:pPr>
            <w:r>
              <w:rPr>
                <w:noProof/>
              </w:rPr>
              <w:drawing>
                <wp:inline distT="0" distB="0" distL="0" distR="0" wp14:anchorId="23E951CF" wp14:editId="0B374041">
                  <wp:extent cx="2436251" cy="2200954"/>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3974" cy="2216965"/>
                          </a:xfrm>
                          <a:prstGeom prst="rect">
                            <a:avLst/>
                          </a:prstGeom>
                          <a:noFill/>
                          <a:ln>
                            <a:noFill/>
                          </a:ln>
                        </pic:spPr>
                      </pic:pic>
                    </a:graphicData>
                  </a:graphic>
                </wp:inline>
              </w:drawing>
            </w:r>
          </w:p>
        </w:tc>
      </w:tr>
      <w:tr w:rsidR="00AA038E" w14:paraId="0EE14053" w14:textId="77777777" w:rsidTr="00FA2D42">
        <w:trPr>
          <w:jc w:val="center"/>
        </w:trPr>
        <w:tc>
          <w:tcPr>
            <w:tcW w:w="4106" w:type="dxa"/>
            <w:shd w:val="clear" w:color="auto" w:fill="D0CECE" w:themeFill="background2" w:themeFillShade="E6"/>
            <w:vAlign w:val="center"/>
          </w:tcPr>
          <w:p w14:paraId="51F1BD42" w14:textId="41F667DD" w:rsidR="005B7591" w:rsidRDefault="005B7591" w:rsidP="005B7591">
            <w:pPr>
              <w:jc w:val="center"/>
            </w:pPr>
            <w:r>
              <w:t>1 x KTWM102 integrado en la PCB</w:t>
            </w:r>
          </w:p>
          <w:p w14:paraId="2C2B3B1B" w14:textId="1892C73A" w:rsidR="00AA038E" w:rsidRDefault="005B7591" w:rsidP="005B7591">
            <w:pPr>
              <w:jc w:val="center"/>
            </w:pPr>
            <w:r>
              <w:t>Coockie Thread</w:t>
            </w:r>
          </w:p>
        </w:tc>
        <w:tc>
          <w:tcPr>
            <w:tcW w:w="4388" w:type="dxa"/>
            <w:shd w:val="clear" w:color="auto" w:fill="D0CECE" w:themeFill="background2" w:themeFillShade="E6"/>
            <w:vAlign w:val="center"/>
          </w:tcPr>
          <w:p w14:paraId="11874EA8" w14:textId="72991D3F" w:rsidR="00AA038E" w:rsidRDefault="005B7591" w:rsidP="005B7591">
            <w:pPr>
              <w:jc w:val="center"/>
            </w:pPr>
            <w:r>
              <w:t>1 x Border Router</w:t>
            </w:r>
          </w:p>
        </w:tc>
      </w:tr>
    </w:tbl>
    <w:p w14:paraId="119B25E4" w14:textId="77777777" w:rsidR="00AA038E" w:rsidRDefault="00AA038E" w:rsidP="00AA038E">
      <w:pPr>
        <w:jc w:val="both"/>
      </w:pPr>
    </w:p>
    <w:p w14:paraId="3CA51C3F" w14:textId="253966C5" w:rsidR="00F47ABE" w:rsidRDefault="00F47ABE" w:rsidP="00F47ABE"/>
    <w:p w14:paraId="5A31CEEE" w14:textId="0D94792F" w:rsidR="00F47ABE" w:rsidRPr="00F47ABE" w:rsidRDefault="00A4012D" w:rsidP="00F47ABE">
      <w:pPr>
        <w:pStyle w:val="Ttulo2"/>
        <w:numPr>
          <w:ilvl w:val="1"/>
          <w:numId w:val="1"/>
        </w:numPr>
      </w:pPr>
      <w:bookmarkStart w:id="1" w:name="_Primera_interacción_con"/>
      <w:bookmarkEnd w:id="1"/>
      <w:r>
        <w:t>Primera interacción con Dongle USB</w:t>
      </w:r>
    </w:p>
    <w:p w14:paraId="420A9BF1" w14:textId="59B0EA18" w:rsidR="00F47ABE" w:rsidRDefault="00F47ABE" w:rsidP="00F47ABE"/>
    <w:p w14:paraId="1572D7B9" w14:textId="2279DEE8" w:rsidR="00A4012D" w:rsidRDefault="00E02E88" w:rsidP="00A4012D">
      <w:pPr>
        <w:jc w:val="both"/>
      </w:pPr>
      <w:r>
        <w:rPr>
          <w:noProof/>
        </w:rPr>
        <w:lastRenderedPageBreak/>
        <w:drawing>
          <wp:anchor distT="0" distB="0" distL="114300" distR="114300" simplePos="0" relativeHeight="251662336" behindDoc="1" locked="0" layoutInCell="1" allowOverlap="1" wp14:anchorId="5B4C08C0" wp14:editId="5708F493">
            <wp:simplePos x="0" y="0"/>
            <wp:positionH relativeFrom="margin">
              <wp:align>center</wp:align>
            </wp:positionH>
            <wp:positionV relativeFrom="paragraph">
              <wp:posOffset>744545</wp:posOffset>
            </wp:positionV>
            <wp:extent cx="6842125" cy="2636520"/>
            <wp:effectExtent l="0" t="0" r="0" b="0"/>
            <wp:wrapTight wrapText="bothSides">
              <wp:wrapPolygon edited="0">
                <wp:start x="0" y="0"/>
                <wp:lineTo x="0" y="21382"/>
                <wp:lineTo x="21530" y="21382"/>
                <wp:lineTo x="21530" y="0"/>
                <wp:lineTo x="0" y="0"/>
              </wp:wrapPolygon>
            </wp:wrapTight>
            <wp:docPr id="44" name="Imagen 4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circuit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212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12D">
        <w:t>Esta primera prueba consiste en una primera interacción con el módulo, tanto desde el PC usando la herramienta proporcionada por Kirale de KiTools y usando el puerto USB, como desde un microcontrolador por vía UART. El diagrama de conexión usado ha sido el siguiente:</w:t>
      </w:r>
    </w:p>
    <w:p w14:paraId="2E87AB28" w14:textId="27271C6A" w:rsidR="00E02E88" w:rsidRDefault="00E02E88" w:rsidP="00E02E88">
      <w:pPr>
        <w:jc w:val="center"/>
      </w:pPr>
    </w:p>
    <w:p w14:paraId="11C39B8F" w14:textId="5F9AAA15" w:rsidR="00A4012D" w:rsidRDefault="00A4012D" w:rsidP="00A4012D">
      <w:pPr>
        <w:jc w:val="both"/>
      </w:pPr>
      <w:r>
        <w:t>Esta primera prueba se divide en dos partes:</w:t>
      </w:r>
    </w:p>
    <w:p w14:paraId="4B7BC0A5" w14:textId="24B065D7" w:rsidR="00A4012D" w:rsidRDefault="00A4012D" w:rsidP="00A4012D">
      <w:pPr>
        <w:pStyle w:val="Prrafodelista"/>
        <w:numPr>
          <w:ilvl w:val="0"/>
          <w:numId w:val="9"/>
        </w:numPr>
        <w:jc w:val="both"/>
      </w:pPr>
      <w:r>
        <w:t>La primera parte se ejecutan los diferentes comandos desde el PC usando la herramienta KiTools con los comandos KSH, comprobando que se ejecutan correctamente según lo esperado.</w:t>
      </w:r>
    </w:p>
    <w:p w14:paraId="1E3FAC8B" w14:textId="45FEE957" w:rsidR="00A4012D" w:rsidRDefault="00A4012D" w:rsidP="00A4012D">
      <w:pPr>
        <w:pStyle w:val="Prrafodelista"/>
        <w:numPr>
          <w:ilvl w:val="0"/>
          <w:numId w:val="9"/>
        </w:numPr>
        <w:jc w:val="both"/>
      </w:pPr>
      <w:r>
        <w:t xml:space="preserve">Una vez comprobado </w:t>
      </w:r>
      <w:r w:rsidR="00193877">
        <w:t>los comandos KSH, se usa el microcontrolador para el envío de comandos KBI vía puerto UART. Para la comprobación del correcto envío se usan dos maneras:</w:t>
      </w:r>
    </w:p>
    <w:p w14:paraId="5F4A8B24" w14:textId="3D3A2FE4" w:rsidR="00193877" w:rsidRDefault="00193877" w:rsidP="00193877">
      <w:pPr>
        <w:pStyle w:val="Prrafodelista"/>
        <w:numPr>
          <w:ilvl w:val="1"/>
          <w:numId w:val="9"/>
        </w:numPr>
        <w:jc w:val="both"/>
      </w:pPr>
      <w:r>
        <w:t>La primera es la activación de los modos de debug del módulo en la herramienta KiTools en el PC, pidiéndole al módulo que informe de la actividad en las diferentes capas. Cuando le lleguen mensajes y realice las respectivas respuestas, saltará un log de mensaje por rx y por tx con los bytes recibidos/transmitidos. A su vez, si tenemos un error de Checksum, esta herramienta nos avisará del error.</w:t>
      </w:r>
    </w:p>
    <w:p w14:paraId="11FA2A84" w14:textId="45C5B0BA" w:rsidR="00193877" w:rsidRDefault="00193877" w:rsidP="00193877">
      <w:pPr>
        <w:pStyle w:val="Prrafodelista"/>
        <w:numPr>
          <w:ilvl w:val="1"/>
          <w:numId w:val="9"/>
        </w:numPr>
        <w:jc w:val="both"/>
      </w:pPr>
      <w:r>
        <w:t>Una vez enviada el comando KBI, recogemos la respuesta enviada por el módulo KTDG102 y analizamos su respuesta.</w:t>
      </w:r>
    </w:p>
    <w:p w14:paraId="4C19AB82" w14:textId="063997C9" w:rsidR="00193877" w:rsidRDefault="00193877" w:rsidP="00193877">
      <w:pPr>
        <w:jc w:val="both"/>
      </w:pPr>
      <w:r>
        <w:t>Tras hacerse al envío de comandos de manera correcta, se elabora la secuencia de comandos para la configuración completa de la red para ese módulo KTDG102 con el Rol de LEADER.</w:t>
      </w:r>
    </w:p>
    <w:p w14:paraId="6A80AF37" w14:textId="20F1230F" w:rsidR="00193877" w:rsidRDefault="00193877">
      <w:r>
        <w:br w:type="page"/>
      </w:r>
    </w:p>
    <w:p w14:paraId="5DDAAEA5" w14:textId="57FB6FFF" w:rsidR="00193877" w:rsidRDefault="00193877" w:rsidP="00193877">
      <w:pPr>
        <w:pStyle w:val="Ttulo2"/>
        <w:numPr>
          <w:ilvl w:val="1"/>
          <w:numId w:val="1"/>
        </w:numPr>
      </w:pPr>
      <w:r>
        <w:lastRenderedPageBreak/>
        <w:t>Red de dos Nodos</w:t>
      </w:r>
    </w:p>
    <w:p w14:paraId="408AEECF" w14:textId="2CF85CFB" w:rsidR="008C7494" w:rsidRDefault="008C7494" w:rsidP="008C7494"/>
    <w:p w14:paraId="362E8672" w14:textId="6FD3F4B7" w:rsidR="00D643AA" w:rsidRDefault="00D643AA" w:rsidP="008C7494">
      <w:r>
        <w:t>El siguiente paso</w:t>
      </w:r>
      <w:r w:rsidR="00F4600A">
        <w:t xml:space="preserve"> ha consistido en la creación de una red con un nodo L</w:t>
      </w:r>
      <w:r w:rsidR="00E02E88">
        <w:t>EADER</w:t>
      </w:r>
      <w:r w:rsidR="00F4600A">
        <w:t xml:space="preserve"> y la unión de un nodo MED</w:t>
      </w:r>
      <w:r w:rsidR="00E02E88">
        <w:t xml:space="preserve"> a dicha red.</w:t>
      </w:r>
      <w:r>
        <w:t xml:space="preserve"> Para esto se han usado los dos KTDG Evaluation Dongles conectados al PC con la herramienta KiTools por USB y al microcontrolador ARM por vía UART.</w:t>
      </w:r>
    </w:p>
    <w:p w14:paraId="4F13E498" w14:textId="54029DC8" w:rsidR="008C7494" w:rsidRDefault="00D643AA" w:rsidP="008C7494">
      <w:r>
        <w:rPr>
          <w:noProof/>
        </w:rPr>
        <w:drawing>
          <wp:anchor distT="0" distB="0" distL="114300" distR="114300" simplePos="0" relativeHeight="251663360" behindDoc="1" locked="0" layoutInCell="1" allowOverlap="1" wp14:anchorId="6B62479D" wp14:editId="036BEB9C">
            <wp:simplePos x="0" y="0"/>
            <wp:positionH relativeFrom="margin">
              <wp:align>center</wp:align>
            </wp:positionH>
            <wp:positionV relativeFrom="paragraph">
              <wp:posOffset>274586</wp:posOffset>
            </wp:positionV>
            <wp:extent cx="6189345" cy="2604770"/>
            <wp:effectExtent l="0" t="0" r="1905" b="5080"/>
            <wp:wrapTight wrapText="bothSides">
              <wp:wrapPolygon edited="0">
                <wp:start x="0" y="0"/>
                <wp:lineTo x="0" y="21484"/>
                <wp:lineTo x="21540" y="21484"/>
                <wp:lineTo x="21540" y="0"/>
                <wp:lineTo x="0" y="0"/>
              </wp:wrapPolygon>
            </wp:wrapTight>
            <wp:docPr id="40" name="Imagen 40"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de la pantalla de un celular con texto e imágenes&#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6189345" cy="2604770"/>
                    </a:xfrm>
                    <a:prstGeom prst="rect">
                      <a:avLst/>
                    </a:prstGeom>
                  </pic:spPr>
                </pic:pic>
              </a:graphicData>
            </a:graphic>
            <wp14:sizeRelH relativeFrom="margin">
              <wp14:pctWidth>0</wp14:pctWidth>
            </wp14:sizeRelH>
            <wp14:sizeRelV relativeFrom="margin">
              <wp14:pctHeight>0</wp14:pctHeight>
            </wp14:sizeRelV>
          </wp:anchor>
        </w:drawing>
      </w:r>
      <w:r>
        <w:t>Se han realizado varias pruebas para las cuales el esquema de montaje ha sido el siguiente:</w:t>
      </w:r>
    </w:p>
    <w:p w14:paraId="3FB01AE9" w14:textId="77777777" w:rsidR="00D643AA" w:rsidRDefault="00D643AA" w:rsidP="008C7494"/>
    <w:p w14:paraId="3A87BBD1" w14:textId="29B86E6A" w:rsidR="00E02E88" w:rsidRDefault="00D643AA" w:rsidP="00D643AA">
      <w:pPr>
        <w:pStyle w:val="Ttulo3"/>
        <w:numPr>
          <w:ilvl w:val="2"/>
          <w:numId w:val="1"/>
        </w:numPr>
      </w:pPr>
      <w:r>
        <w:t>Creación de la Red</w:t>
      </w:r>
    </w:p>
    <w:p w14:paraId="23709E91" w14:textId="327FF426" w:rsidR="00D643AA" w:rsidRDefault="00D643AA" w:rsidP="00D643AA"/>
    <w:p w14:paraId="60474FBE" w14:textId="482A77FC" w:rsidR="00D643AA" w:rsidRDefault="00D643AA" w:rsidP="00D643AA">
      <w:pPr>
        <w:jc w:val="both"/>
      </w:pPr>
      <w:r>
        <w:t xml:space="preserve">La primera prueba realizada ha sido la creación correcta de la red (de la manera vista en </w:t>
      </w:r>
      <w:hyperlink w:anchor="_Primera_interacción_con" w:history="1">
        <w:r w:rsidRPr="00D643AA">
          <w:rPr>
            <w:rStyle w:val="Hipervnculo"/>
          </w:rPr>
          <w:t>Primera interacción con Dongle USB</w:t>
        </w:r>
      </w:hyperlink>
      <w:r>
        <w:t xml:space="preserve"> )</w:t>
      </w:r>
      <w:r w:rsidR="00C76069">
        <w:t xml:space="preserve"> y la posterior unión del segundo nodo con el rol de MED. La red, para ambos nodos se ha realizado con el modo “Out-of-Band Commissioning” </w:t>
      </w:r>
      <w:r w:rsidR="00C97AB2">
        <w:t>d</w:t>
      </w:r>
      <w:r w:rsidR="00C76069">
        <w:t xml:space="preserve">esactivado, pero configurando en ambos casos el PAN ID, el </w:t>
      </w:r>
      <w:r w:rsidR="00B1067D">
        <w:t>Canal y la Commisioning Credential.</w:t>
      </w:r>
    </w:p>
    <w:p w14:paraId="381B1CE6" w14:textId="3C545123" w:rsidR="00C76069" w:rsidRDefault="00C76069" w:rsidP="00D643AA">
      <w:pPr>
        <w:jc w:val="both"/>
      </w:pPr>
      <w:r>
        <w:t>Para esto, se ha usado la secuencia de creación de red con Rol Leader usada anteriormente para el primer nodo, y una vez creada la red, se volvía a usar esta secuencia modificando el Rol a configurar en el nodo para el segundo nodo.</w:t>
      </w:r>
    </w:p>
    <w:p w14:paraId="09B983C2" w14:textId="12864DCD" w:rsidR="00C76069" w:rsidRDefault="00C76069" w:rsidP="00D643AA">
      <w:pPr>
        <w:jc w:val="both"/>
      </w:pPr>
      <w:r>
        <w:t>Tras ejecutar el primer nodo su secuencia el comando IfUp, se debe dejar un tiempo de alrededor a 7 segundos para que pueda crearse la red definida. A su vez, se comprueba que debe dejarse entre 7 y 9 segundos en el nodo MED después del comando IfUp</w:t>
      </w:r>
      <w:r w:rsidR="00B1067D">
        <w:t xml:space="preserve"> para que este se una a la red</w:t>
      </w:r>
      <w:r>
        <w:t xml:space="preserve">, ya que al ser en modo </w:t>
      </w:r>
      <w:r>
        <w:t xml:space="preserve">“Out-of-Band Commissioning” </w:t>
      </w:r>
      <w:r w:rsidR="00C97AB2">
        <w:t>d</w:t>
      </w:r>
      <w:r>
        <w:t>esactivado</w:t>
      </w:r>
      <w:r>
        <w:t xml:space="preserve">, y no tener todos los parámetros, este nodo buscará una red </w:t>
      </w:r>
      <w:r w:rsidR="00B1067D">
        <w:t xml:space="preserve">de entre las </w:t>
      </w:r>
      <w:r>
        <w:t>cercana</w:t>
      </w:r>
      <w:r w:rsidR="00B1067D">
        <w:t>s que tenga los mismos parámetros a los configurados.</w:t>
      </w:r>
      <w:r w:rsidR="00C97AB2">
        <w:t xml:space="preserve"> Cuando este encuentre la red, saltará un aviso en el nodo LEADER en la herramienta de KiTools, de que se está uniendo un nodo.</w:t>
      </w:r>
    </w:p>
    <w:p w14:paraId="00F684F9" w14:textId="4FB88FA8" w:rsidR="00B1067D" w:rsidRDefault="00B1067D" w:rsidP="00D643AA">
      <w:pPr>
        <w:jc w:val="both"/>
      </w:pPr>
      <w:r>
        <w:t>Por otro lado, cuando se ejecutaban los comandos y se enviaba respuesta al microcontrolador, este las imprimía por pantalla en el PC, pudiendo así detectar posibles fallos en alguno de los comandos para poder arreglarlos.</w:t>
      </w:r>
    </w:p>
    <w:p w14:paraId="44B00385" w14:textId="77777777" w:rsidR="00B1067D" w:rsidRDefault="00B1067D" w:rsidP="00D643AA">
      <w:pPr>
        <w:jc w:val="both"/>
      </w:pPr>
    </w:p>
    <w:p w14:paraId="279DE719" w14:textId="0E5EFE0C" w:rsidR="00B1067D" w:rsidRDefault="00B1067D" w:rsidP="00B1067D">
      <w:pPr>
        <w:pStyle w:val="Ttulo3"/>
        <w:numPr>
          <w:ilvl w:val="2"/>
          <w:numId w:val="1"/>
        </w:numPr>
      </w:pPr>
      <w:bookmarkStart w:id="2" w:name="_Ping_entre_nodos"/>
      <w:bookmarkEnd w:id="2"/>
      <w:r>
        <w:lastRenderedPageBreak/>
        <w:t>Ping entre nodos</w:t>
      </w:r>
    </w:p>
    <w:p w14:paraId="7BDAE576" w14:textId="766C0EB3" w:rsidR="00B1067D" w:rsidRDefault="00B1067D" w:rsidP="00D643AA">
      <w:pPr>
        <w:jc w:val="both"/>
      </w:pPr>
    </w:p>
    <w:p w14:paraId="2A7CCDBC" w14:textId="489FC56E" w:rsidR="00B1067D" w:rsidRDefault="00C97AB2" w:rsidP="00D643AA">
      <w:pPr>
        <w:jc w:val="both"/>
      </w:pPr>
      <w:r>
        <w:t xml:space="preserve">Una vez tenemos los nodos en la misma red, una primera comprobación de la comunicación entre ambos módulos. En este caso, al ser una prueba rápida y sencilla de comprobación, se ha usado la herramienta KiTools, abriendo dos sesiones, una por cada módulo. Una vez en red, se ejecuta el comando </w:t>
      </w:r>
      <w:r w:rsidR="008B50B3">
        <w:rPr>
          <w:i/>
          <w:iCs/>
        </w:rPr>
        <w:t>show netconfig</w:t>
      </w:r>
      <w:r w:rsidR="008B50B3">
        <w:t xml:space="preserve"> desde una de las dos sesiones de KiTools. Con esto podemos ver la dirección IP de los módulos.</w:t>
      </w:r>
    </w:p>
    <w:p w14:paraId="32FEA2EF" w14:textId="77777777" w:rsidR="008B50B3" w:rsidRDefault="008B50B3" w:rsidP="00D643AA">
      <w:pPr>
        <w:jc w:val="both"/>
      </w:pPr>
      <w:r>
        <w:t xml:space="preserve">Tras ver la dirección de uno de los módulos Dongle, se ejecutará el comando </w:t>
      </w:r>
      <w:r>
        <w:rPr>
          <w:i/>
          <w:iCs/>
        </w:rPr>
        <w:t xml:space="preserve">ping &lt;arg&gt; </w:t>
      </w:r>
      <w:r>
        <w:t xml:space="preserve">en el módulo KTDG102 restante, siendo el argumento una de las direcciones IP que hemos visto del otro módulo KTDG102. </w:t>
      </w:r>
    </w:p>
    <w:p w14:paraId="2BC2E070" w14:textId="0ABA954F" w:rsidR="008B50B3" w:rsidRDefault="008B50B3" w:rsidP="00D643AA">
      <w:pPr>
        <w:jc w:val="both"/>
      </w:pPr>
      <w:r>
        <w:t>En el lado que se realiza el ping saldrán los siguientes Logs en KiTools:</w:t>
      </w:r>
    </w:p>
    <w:p w14:paraId="316A2911" w14:textId="5D830680" w:rsidR="008B50B3" w:rsidRDefault="008B50B3" w:rsidP="00D643AA">
      <w:pPr>
        <w:jc w:val="both"/>
      </w:pPr>
      <w:r>
        <w:rPr>
          <w:noProof/>
        </w:rPr>
        <w:drawing>
          <wp:inline distT="0" distB="0" distL="0" distR="0" wp14:anchorId="069D342C" wp14:editId="25B24707">
            <wp:extent cx="540004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609600"/>
                    </a:xfrm>
                    <a:prstGeom prst="rect">
                      <a:avLst/>
                    </a:prstGeom>
                  </pic:spPr>
                </pic:pic>
              </a:graphicData>
            </a:graphic>
          </wp:inline>
        </w:drawing>
      </w:r>
      <w:r>
        <w:t xml:space="preserve"> </w:t>
      </w:r>
    </w:p>
    <w:p w14:paraId="197AAC3C" w14:textId="0B8CE601" w:rsidR="008B50B3" w:rsidRDefault="008B50B3" w:rsidP="00D643AA">
      <w:pPr>
        <w:jc w:val="both"/>
      </w:pPr>
      <w:r>
        <w:t>En cambio en el KiTools del lado que recibimos el ping, saldrán los siguientes Logs:</w:t>
      </w:r>
    </w:p>
    <w:p w14:paraId="37606D9C" w14:textId="435B9343" w:rsidR="008B50B3" w:rsidRDefault="008B50B3" w:rsidP="00D643AA">
      <w:pPr>
        <w:jc w:val="both"/>
      </w:pPr>
      <w:r>
        <w:rPr>
          <w:noProof/>
        </w:rPr>
        <w:drawing>
          <wp:inline distT="0" distB="0" distL="0" distR="0" wp14:anchorId="737D1421" wp14:editId="40006110">
            <wp:extent cx="5400040" cy="504825"/>
            <wp:effectExtent l="0" t="0" r="0"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66"/>
                    <a:stretch>
                      <a:fillRect/>
                    </a:stretch>
                  </pic:blipFill>
                  <pic:spPr>
                    <a:xfrm>
                      <a:off x="0" y="0"/>
                      <a:ext cx="5400040" cy="504825"/>
                    </a:xfrm>
                    <a:prstGeom prst="rect">
                      <a:avLst/>
                    </a:prstGeom>
                  </pic:spPr>
                </pic:pic>
              </a:graphicData>
            </a:graphic>
          </wp:inline>
        </w:drawing>
      </w:r>
    </w:p>
    <w:p w14:paraId="2B2D4244" w14:textId="518A2B58" w:rsidR="008B50B3" w:rsidRDefault="008B50B3" w:rsidP="00D643AA">
      <w:pPr>
        <w:jc w:val="both"/>
      </w:pPr>
    </w:p>
    <w:p w14:paraId="75431638" w14:textId="1980A3DA" w:rsidR="00E637B1" w:rsidRDefault="00E637B1" w:rsidP="00E637B1">
      <w:pPr>
        <w:pStyle w:val="Ttulo3"/>
        <w:numPr>
          <w:ilvl w:val="2"/>
          <w:numId w:val="1"/>
        </w:numPr>
      </w:pPr>
      <w:r>
        <w:t>Envío de mensajes UDP a través de Sockets entre ambos nodos</w:t>
      </w:r>
    </w:p>
    <w:p w14:paraId="771AA4E1" w14:textId="54343EE7" w:rsidR="00E637B1" w:rsidRDefault="00E637B1" w:rsidP="00E637B1"/>
    <w:p w14:paraId="446BED43" w14:textId="0631F23B" w:rsidR="00E637B1" w:rsidRDefault="00E637B1" w:rsidP="00E637B1">
      <w:pPr>
        <w:jc w:val="both"/>
      </w:pPr>
      <w:r>
        <w:t>Una vez se ha comprobado que los dos nodos han tenido una primera comunicación básica mediante el comando ping, el siguiente paso es la prueba del envío de mensajes entre ellos vía Sockets UDP.</w:t>
      </w:r>
    </w:p>
    <w:p w14:paraId="45266EC4" w14:textId="5683344E" w:rsidR="0058659D" w:rsidRDefault="0058659D" w:rsidP="00E637B1">
      <w:pPr>
        <w:jc w:val="both"/>
      </w:pPr>
      <w:r>
        <w:t>Antes de poder enviar y/o recibir un socket, se deberán tener en cuenta dos cosas:</w:t>
      </w:r>
    </w:p>
    <w:p w14:paraId="3DD07F74" w14:textId="5A687C30" w:rsidR="0058659D" w:rsidRDefault="0058659D" w:rsidP="0058659D">
      <w:pPr>
        <w:pStyle w:val="Prrafodelista"/>
        <w:numPr>
          <w:ilvl w:val="0"/>
          <w:numId w:val="10"/>
        </w:numPr>
        <w:jc w:val="both"/>
      </w:pPr>
      <w:r>
        <w:t>A priori, no se puede saber la dirección IP que tendrá el nodo una vez conectado a la red. Por lo que convendrá ejecutar el comando de asignación de IP (en nuestro código llamado como WriteIP) con una dirección IP a elegida arbitrariamente. Este comando debe realizarse una vez se haya unido el nodo a la red. Esto convendrá de cara al posterior envío de los mensajes.</w:t>
      </w:r>
    </w:p>
    <w:p w14:paraId="5BC922B7" w14:textId="76E99E97" w:rsidR="0058659D" w:rsidRDefault="0058659D" w:rsidP="0058659D">
      <w:pPr>
        <w:pStyle w:val="Prrafodelista"/>
        <w:numPr>
          <w:ilvl w:val="0"/>
          <w:numId w:val="10"/>
        </w:numPr>
        <w:jc w:val="both"/>
      </w:pPr>
      <w:r>
        <w:t>En esta prueba, al no haber un nodo router como tal, deberá ejecutarse desde el nodo LEADER el comando ROUTE con dirección al nodo MED. Este creará el enlace para los propios mensajes.</w:t>
      </w:r>
      <w:r w:rsidR="00CD26EA">
        <w:t xml:space="preserve"> Debe ejecutarse antes del envío de los mensajes. Como se ha visto en la prueba </w:t>
      </w:r>
      <w:hyperlink w:anchor="_Ping_entre_nodos" w:history="1">
        <w:r w:rsidR="00CD26EA" w:rsidRPr="00CD26EA">
          <w:rPr>
            <w:rStyle w:val="Hipervnculo"/>
          </w:rPr>
          <w:t>Ping entre nodos</w:t>
        </w:r>
      </w:hyperlink>
      <w:r w:rsidR="00CD26EA">
        <w:t>, en este caso no hizo falta realizar el comando route, pero a la hora del envío de sockets no se consiguió recibir los mensajes sin este comando previo.</w:t>
      </w:r>
    </w:p>
    <w:p w14:paraId="6859A2A4" w14:textId="07918805" w:rsidR="00E637B1" w:rsidRDefault="00FA2D42" w:rsidP="00E637B1">
      <w:pPr>
        <w:jc w:val="both"/>
      </w:pPr>
      <w:r>
        <w:t>Para enviar un mensaje a través de sockets UDP, se debe:</w:t>
      </w:r>
    </w:p>
    <w:p w14:paraId="1F3258F7" w14:textId="6A74772D" w:rsidR="00FA2D42" w:rsidRDefault="00FA2D42" w:rsidP="00FA2D42">
      <w:pPr>
        <w:pStyle w:val="Prrafodelista"/>
        <w:numPr>
          <w:ilvl w:val="0"/>
          <w:numId w:val="2"/>
        </w:numPr>
        <w:jc w:val="both"/>
      </w:pPr>
      <w:r>
        <w:t>Abrir un socket en un puerto determinado (por cada nodo). El puerto asociado al socket puede ser diferente en cada nodo.</w:t>
      </w:r>
    </w:p>
    <w:p w14:paraId="110CE3E6" w14:textId="2EC0D208" w:rsidR="00FA2D42" w:rsidRDefault="00FA2D42" w:rsidP="00FA2D42">
      <w:pPr>
        <w:pStyle w:val="Prrafodelista"/>
        <w:numPr>
          <w:ilvl w:val="0"/>
          <w:numId w:val="2"/>
        </w:numPr>
        <w:jc w:val="both"/>
      </w:pPr>
      <w:r>
        <w:lastRenderedPageBreak/>
        <w:t>Enviar mensaje a través del puerto asignado al socket del propio nodo, al puerto y dirección IPv6 del nodo receptor.</w:t>
      </w:r>
    </w:p>
    <w:p w14:paraId="36464C2E" w14:textId="46B29ADA" w:rsidR="00FA2D42" w:rsidRDefault="00FA2D42" w:rsidP="00FA2D42">
      <w:pPr>
        <w:jc w:val="both"/>
      </w:pPr>
      <w:r>
        <w:t>Para recibir un mensaje a través de sockets UDP, bastará con tan solo abrir un socket en un puerto determinado, en caso de no haberlo abierto para un anterior envío.</w:t>
      </w:r>
    </w:p>
    <w:p w14:paraId="4CEB850C" w14:textId="4DFD36F3" w:rsidR="0058659D" w:rsidRPr="00E637B1" w:rsidRDefault="0058659D" w:rsidP="00FA2D42">
      <w:pPr>
        <w:jc w:val="both"/>
      </w:pPr>
      <w:r>
        <w:t>Para la lectura de los mensajes, se recogerá la notificación enviada por puerto UART al microcontrolador, ya que dispondremos de la información del remitente y del mensaje recibido, mientras que por la herramienta KiTools solo dispondremos de la dirección de origen o de destino del mensaje, según veamos la sesión de un nodo u otro.</w:t>
      </w:r>
    </w:p>
    <w:sectPr w:rsidR="0058659D" w:rsidRPr="00E637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4133C9"/>
    <w:multiLevelType w:val="hybridMultilevel"/>
    <w:tmpl w:val="0AF0E5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C2F5FD6"/>
    <w:multiLevelType w:val="hybridMultilevel"/>
    <w:tmpl w:val="B97420F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0"/>
  </w:num>
  <w:num w:numId="5">
    <w:abstractNumId w:val="1"/>
  </w:num>
  <w:num w:numId="6">
    <w:abstractNumId w:val="6"/>
  </w:num>
  <w:num w:numId="7">
    <w:abstractNumId w:val="9"/>
  </w:num>
  <w:num w:numId="8">
    <w:abstractNumId w:val="3"/>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02610"/>
    <w:rsid w:val="00031466"/>
    <w:rsid w:val="00057BDB"/>
    <w:rsid w:val="000B7CB9"/>
    <w:rsid w:val="000F0898"/>
    <w:rsid w:val="00131733"/>
    <w:rsid w:val="00134B18"/>
    <w:rsid w:val="00147D6B"/>
    <w:rsid w:val="001518FC"/>
    <w:rsid w:val="00193877"/>
    <w:rsid w:val="001A0390"/>
    <w:rsid w:val="001A05CB"/>
    <w:rsid w:val="001A0C31"/>
    <w:rsid w:val="001E4C1E"/>
    <w:rsid w:val="001F52B7"/>
    <w:rsid w:val="001F7420"/>
    <w:rsid w:val="00206483"/>
    <w:rsid w:val="00217E94"/>
    <w:rsid w:val="002719AF"/>
    <w:rsid w:val="0027271E"/>
    <w:rsid w:val="00277ED3"/>
    <w:rsid w:val="0028481F"/>
    <w:rsid w:val="002926EC"/>
    <w:rsid w:val="002928E0"/>
    <w:rsid w:val="002D6C50"/>
    <w:rsid w:val="002F2421"/>
    <w:rsid w:val="003126BF"/>
    <w:rsid w:val="00322C34"/>
    <w:rsid w:val="00322F1E"/>
    <w:rsid w:val="003239D9"/>
    <w:rsid w:val="00332B99"/>
    <w:rsid w:val="00350079"/>
    <w:rsid w:val="00380572"/>
    <w:rsid w:val="003A08EF"/>
    <w:rsid w:val="003B3FC3"/>
    <w:rsid w:val="00410048"/>
    <w:rsid w:val="00441AED"/>
    <w:rsid w:val="0044768C"/>
    <w:rsid w:val="004550AB"/>
    <w:rsid w:val="004B6FD6"/>
    <w:rsid w:val="004B7345"/>
    <w:rsid w:val="004C488A"/>
    <w:rsid w:val="004C7EA9"/>
    <w:rsid w:val="004F27CA"/>
    <w:rsid w:val="004F3328"/>
    <w:rsid w:val="004F65C2"/>
    <w:rsid w:val="005143FA"/>
    <w:rsid w:val="0052159E"/>
    <w:rsid w:val="00570376"/>
    <w:rsid w:val="005718D0"/>
    <w:rsid w:val="005809B7"/>
    <w:rsid w:val="0058659D"/>
    <w:rsid w:val="005B32F5"/>
    <w:rsid w:val="005B7591"/>
    <w:rsid w:val="005F592E"/>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5D4B"/>
    <w:rsid w:val="008B50B3"/>
    <w:rsid w:val="008C7494"/>
    <w:rsid w:val="008D209C"/>
    <w:rsid w:val="008E1724"/>
    <w:rsid w:val="009052FE"/>
    <w:rsid w:val="00923745"/>
    <w:rsid w:val="0092379C"/>
    <w:rsid w:val="0093774E"/>
    <w:rsid w:val="00992BDE"/>
    <w:rsid w:val="009B2A93"/>
    <w:rsid w:val="009D3043"/>
    <w:rsid w:val="009F3B38"/>
    <w:rsid w:val="00A0263E"/>
    <w:rsid w:val="00A052BA"/>
    <w:rsid w:val="00A1088C"/>
    <w:rsid w:val="00A2485E"/>
    <w:rsid w:val="00A325BC"/>
    <w:rsid w:val="00A4012D"/>
    <w:rsid w:val="00A40F35"/>
    <w:rsid w:val="00A54AB1"/>
    <w:rsid w:val="00A8316B"/>
    <w:rsid w:val="00AA038E"/>
    <w:rsid w:val="00AC3B97"/>
    <w:rsid w:val="00AE7F6F"/>
    <w:rsid w:val="00B1067D"/>
    <w:rsid w:val="00B1405C"/>
    <w:rsid w:val="00B629B1"/>
    <w:rsid w:val="00B839BF"/>
    <w:rsid w:val="00B9167F"/>
    <w:rsid w:val="00B951AC"/>
    <w:rsid w:val="00BC360E"/>
    <w:rsid w:val="00BD5165"/>
    <w:rsid w:val="00BE19E6"/>
    <w:rsid w:val="00BF55B8"/>
    <w:rsid w:val="00C0586F"/>
    <w:rsid w:val="00C12B35"/>
    <w:rsid w:val="00C27F71"/>
    <w:rsid w:val="00C60DBF"/>
    <w:rsid w:val="00C76069"/>
    <w:rsid w:val="00C8449A"/>
    <w:rsid w:val="00C97AB2"/>
    <w:rsid w:val="00CA464F"/>
    <w:rsid w:val="00CB5161"/>
    <w:rsid w:val="00CC036C"/>
    <w:rsid w:val="00CD26EA"/>
    <w:rsid w:val="00CE0DCE"/>
    <w:rsid w:val="00D22453"/>
    <w:rsid w:val="00D26308"/>
    <w:rsid w:val="00D3196A"/>
    <w:rsid w:val="00D43658"/>
    <w:rsid w:val="00D63B0F"/>
    <w:rsid w:val="00D643AA"/>
    <w:rsid w:val="00D678C5"/>
    <w:rsid w:val="00D802F2"/>
    <w:rsid w:val="00D83E35"/>
    <w:rsid w:val="00D84F68"/>
    <w:rsid w:val="00D8506E"/>
    <w:rsid w:val="00DF2E7D"/>
    <w:rsid w:val="00DF6F44"/>
    <w:rsid w:val="00E02E88"/>
    <w:rsid w:val="00E157D9"/>
    <w:rsid w:val="00E16075"/>
    <w:rsid w:val="00E25BD1"/>
    <w:rsid w:val="00E62C21"/>
    <w:rsid w:val="00E637B1"/>
    <w:rsid w:val="00E8327F"/>
    <w:rsid w:val="00E8365A"/>
    <w:rsid w:val="00E877FD"/>
    <w:rsid w:val="00E93A6C"/>
    <w:rsid w:val="00F21EA0"/>
    <w:rsid w:val="00F34F13"/>
    <w:rsid w:val="00F44520"/>
    <w:rsid w:val="00F45716"/>
    <w:rsid w:val="00F4600A"/>
    <w:rsid w:val="00F46E74"/>
    <w:rsid w:val="00F47ABE"/>
    <w:rsid w:val="00F51932"/>
    <w:rsid w:val="00F715C7"/>
    <w:rsid w:val="00F94E86"/>
    <w:rsid w:val="00F95235"/>
    <w:rsid w:val="00FA2D42"/>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hyperlink" Target="https://www.kirale.com/support/" TargetMode="External"/><Relationship Id="rId55" Type="http://schemas.openxmlformats.org/officeDocument/2006/relationships/hyperlink" Target="https://www.kirale.com/products/ktwm102/" TargetMode="External"/><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www.balena.io/etch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kirale.com/support/" TargetMode="External"/><Relationship Id="rId53" Type="http://schemas.openxmlformats.org/officeDocument/2006/relationships/image" Target="media/image32.png"/><Relationship Id="rId58" Type="http://schemas.openxmlformats.org/officeDocument/2006/relationships/hyperlink" Target="https://www.kirale.com/products/ktwm102/" TargetMode="External"/><Relationship Id="rId66"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hyperlink" Target="http://[IPv6]:800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fu-util.sourceforge.net/" TargetMode="External"/><Relationship Id="rId48" Type="http://schemas.openxmlformats.org/officeDocument/2006/relationships/image" Target="media/image29.png"/><Relationship Id="rId56" Type="http://schemas.openxmlformats.org/officeDocument/2006/relationships/hyperlink" Target="https://datatracker.ietf.org/doc/html/draft-ietf-pppext-cobs-00"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s://mobaxterm.mobatek.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zadig.akeo.ie/" TargetMode="Externa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hyperlink" Target="https://www.kirale.com/products/ktbrn1/" TargetMode="External"/><Relationship Id="rId31" Type="http://schemas.openxmlformats.org/officeDocument/2006/relationships/image" Target="media/image16.png"/><Relationship Id="rId44" Type="http://schemas.openxmlformats.org/officeDocument/2006/relationships/hyperlink" Target="https://brew.sh/" TargetMode="External"/><Relationship Id="rId52" Type="http://schemas.openxmlformats.org/officeDocument/2006/relationships/hyperlink" Target="https://www.kirale.com/products/ktwm102/" TargetMode="External"/><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hyperlink" Target="https://www.kirale.com/products/ktbrn1/" TargetMode="External"/><Relationship Id="rId13" Type="http://schemas.openxmlformats.org/officeDocument/2006/relationships/hyperlink" Target="https://zadig.akeo.ie/" TargetMode="External"/><Relationship Id="rId18" Type="http://schemas.openxmlformats.org/officeDocument/2006/relationships/hyperlink" Target="http://[IPv4]:8000" TargetMode="External"/><Relationship Id="rId3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ED8CBC-BB32-43B1-B352-65BC81FD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6098</Words>
  <Characters>33543</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29</cp:revision>
  <dcterms:created xsi:type="dcterms:W3CDTF">2021-05-26T15:44:00Z</dcterms:created>
  <dcterms:modified xsi:type="dcterms:W3CDTF">2021-06-08T17:24:00Z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