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B6606" w14:textId="77777777" w:rsidR="00B6054D" w:rsidRDefault="0094356E" w:rsidP="00002DFC">
      <w:pPr>
        <w:autoSpaceDE w:val="0"/>
        <w:autoSpaceDN w:val="0"/>
        <w:adjustRightInd w:val="0"/>
        <w:ind w:left="0"/>
        <w:rPr>
          <w:rFonts w:ascii="MyriadPro-Regular" w:hAnsi="MyriadPro-Regular" w:cs="MyriadPro-Regular"/>
          <w:color w:val="005696"/>
          <w:sz w:val="58"/>
          <w:szCs w:val="58"/>
        </w:rPr>
      </w:pPr>
      <w:bookmarkStart w:id="0" w:name="xgraphic"/>
      <w:bookmarkStart w:id="1" w:name="_GoBack"/>
      <w:bookmarkEnd w:id="1"/>
      <w:r>
        <w:rPr>
          <w:rFonts w:ascii="MyriadPro-Regular" w:hAnsi="MyriadPro-Regular" w:cs="MyriadPro-Regular"/>
          <w:noProof/>
          <w:color w:val="005696"/>
          <w:sz w:val="58"/>
          <w:szCs w:val="58"/>
          <w:lang w:eastAsia="en-AU"/>
        </w:rPr>
        <w:drawing>
          <wp:inline distT="0" distB="0" distL="0" distR="0" wp14:anchorId="590E5BF7" wp14:editId="16EB0406">
            <wp:extent cx="3415892" cy="592111"/>
            <wp:effectExtent l="1905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3416044" cy="592137"/>
                    </a:xfrm>
                    <a:prstGeom prst="rect">
                      <a:avLst/>
                    </a:prstGeom>
                    <a:noFill/>
                    <a:ln w="9525">
                      <a:noFill/>
                      <a:miter lim="800000"/>
                      <a:headEnd/>
                      <a:tailEnd/>
                    </a:ln>
                  </pic:spPr>
                </pic:pic>
              </a:graphicData>
            </a:graphic>
          </wp:inline>
        </w:drawing>
      </w:r>
      <w:r w:rsidR="007E29EE" w:rsidRPr="007E29EE" w:rsidDel="007E29EE">
        <w:rPr>
          <w:rFonts w:ascii="MyriadPro-Regular" w:hAnsi="MyriadPro-Regular" w:cs="MyriadPro-Regular"/>
          <w:color w:val="005696"/>
          <w:sz w:val="58"/>
          <w:szCs w:val="58"/>
        </w:rPr>
        <w:t xml:space="preserve"> </w:t>
      </w:r>
    </w:p>
    <w:p w14:paraId="6C25CAF2" w14:textId="77777777" w:rsidR="0000129E" w:rsidRDefault="0000129E" w:rsidP="00B6054D">
      <w:pPr>
        <w:autoSpaceDE w:val="0"/>
        <w:autoSpaceDN w:val="0"/>
        <w:adjustRightInd w:val="0"/>
        <w:ind w:left="0"/>
        <w:rPr>
          <w:rFonts w:ascii="MyriadPro-Regular" w:hAnsi="MyriadPro-Regular" w:cs="MyriadPro-Regular"/>
          <w:color w:val="005696"/>
          <w:sz w:val="58"/>
          <w:szCs w:val="58"/>
        </w:rPr>
      </w:pPr>
    </w:p>
    <w:p w14:paraId="00E78CCB" w14:textId="77777777" w:rsidR="00B6054D" w:rsidRDefault="00B6054D" w:rsidP="00002DFC">
      <w:pPr>
        <w:autoSpaceDE w:val="0"/>
        <w:autoSpaceDN w:val="0"/>
        <w:adjustRightInd w:val="0"/>
        <w:ind w:left="357"/>
        <w:rPr>
          <w:rFonts w:ascii="MyriadPro-Regular" w:hAnsi="MyriadPro-Regular" w:cs="MyriadPro-Regular"/>
          <w:color w:val="005696"/>
          <w:sz w:val="58"/>
          <w:szCs w:val="58"/>
        </w:rPr>
      </w:pPr>
      <w:bookmarkStart w:id="2" w:name="OLE_LINK1"/>
      <w:bookmarkStart w:id="3" w:name="OLE_LINK2"/>
      <w:r>
        <w:rPr>
          <w:rFonts w:ascii="MyriadPro-Regular" w:hAnsi="MyriadPro-Regular" w:cs="MyriadPro-Regular"/>
          <w:color w:val="005696"/>
          <w:sz w:val="58"/>
          <w:szCs w:val="58"/>
        </w:rPr>
        <w:t xml:space="preserve">NATIONAL GREENHOUSE </w:t>
      </w:r>
    </w:p>
    <w:p w14:paraId="4E110A5B" w14:textId="77777777" w:rsidR="00B6054D" w:rsidRDefault="00B6054D" w:rsidP="00002DFC">
      <w:pPr>
        <w:autoSpaceDE w:val="0"/>
        <w:autoSpaceDN w:val="0"/>
        <w:adjustRightInd w:val="0"/>
        <w:ind w:left="357"/>
        <w:rPr>
          <w:rFonts w:ascii="MyriadPro-Regular" w:hAnsi="MyriadPro-Regular" w:cs="MyriadPro-Regular"/>
          <w:color w:val="005696"/>
          <w:sz w:val="58"/>
          <w:szCs w:val="58"/>
        </w:rPr>
      </w:pPr>
      <w:r>
        <w:rPr>
          <w:rFonts w:ascii="MyriadPro-Regular" w:hAnsi="MyriadPro-Regular" w:cs="MyriadPro-Regular"/>
          <w:color w:val="005696"/>
          <w:sz w:val="58"/>
          <w:szCs w:val="58"/>
        </w:rPr>
        <w:t>ACCOUNTS FACTORS</w:t>
      </w:r>
    </w:p>
    <w:bookmarkEnd w:id="2"/>
    <w:bookmarkEnd w:id="3"/>
    <w:p w14:paraId="7EC73141" w14:textId="77777777" w:rsidR="00B6054D" w:rsidRDefault="00B6054D" w:rsidP="00002DFC">
      <w:pPr>
        <w:pStyle w:val="Covertitle"/>
        <w:ind w:left="357"/>
        <w:rPr>
          <w:color w:val="000000"/>
          <w:sz w:val="28"/>
          <w:szCs w:val="28"/>
        </w:rPr>
      </w:pPr>
      <w:r w:rsidRPr="00260A91">
        <w:rPr>
          <w:color w:val="000000"/>
          <w:sz w:val="28"/>
          <w:szCs w:val="28"/>
        </w:rPr>
        <w:t>Australian National Greenhouse Accounts</w:t>
      </w:r>
    </w:p>
    <w:p w14:paraId="3AB97B02" w14:textId="77777777" w:rsidR="00F93931" w:rsidRPr="00260A91" w:rsidRDefault="00F93931" w:rsidP="00B6054D">
      <w:pPr>
        <w:pStyle w:val="Covertitle"/>
        <w:rPr>
          <w:color w:val="000000"/>
          <w:sz w:val="28"/>
          <w:szCs w:val="28"/>
        </w:rPr>
      </w:pPr>
    </w:p>
    <w:p w14:paraId="78B0C0E2" w14:textId="77777777" w:rsidR="00B6054D" w:rsidRPr="00260A91" w:rsidRDefault="00F93931" w:rsidP="00F93931">
      <w:pPr>
        <w:pStyle w:val="Covertitle"/>
        <w:ind w:left="-2268"/>
        <w:rPr>
          <w:color w:val="000000"/>
          <w:sz w:val="28"/>
          <w:szCs w:val="28"/>
        </w:rPr>
      </w:pPr>
      <w:r>
        <w:rPr>
          <w:noProof/>
          <w:color w:val="000000"/>
          <w:sz w:val="28"/>
          <w:szCs w:val="28"/>
          <w:lang w:val="en-AU" w:eastAsia="en-AU"/>
        </w:rPr>
        <w:drawing>
          <wp:inline distT="0" distB="0" distL="0" distR="0" wp14:anchorId="5106263B" wp14:editId="73F58D48">
            <wp:extent cx="8139052" cy="425111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8139052" cy="4251114"/>
                    </a:xfrm>
                    <a:prstGeom prst="rect">
                      <a:avLst/>
                    </a:prstGeom>
                    <a:noFill/>
                    <a:ln w="9525">
                      <a:noFill/>
                      <a:miter lim="800000"/>
                      <a:headEnd/>
                      <a:tailEnd/>
                    </a:ln>
                  </pic:spPr>
                </pic:pic>
              </a:graphicData>
            </a:graphic>
          </wp:inline>
        </w:drawing>
      </w:r>
    </w:p>
    <w:p w14:paraId="2FE4910B" w14:textId="77777777" w:rsidR="00F93931" w:rsidRDefault="00F93931" w:rsidP="00B6054D">
      <w:pPr>
        <w:pStyle w:val="Coverdate"/>
        <w:rPr>
          <w:rFonts w:ascii="MyriadPro-Regular" w:hAnsi="MyriadPro-Regular" w:cs="MyriadPro-Regular"/>
          <w:color w:val="818385"/>
          <w:lang w:eastAsia="en-AU"/>
        </w:rPr>
      </w:pPr>
    </w:p>
    <w:p w14:paraId="6E9D1F0C" w14:textId="504E1D59" w:rsidR="00B6054D" w:rsidRPr="00A85595" w:rsidRDefault="00F12297" w:rsidP="00120517">
      <w:pPr>
        <w:pStyle w:val="Default"/>
        <w:rPr>
          <w:b/>
          <w:bCs/>
          <w:color w:val="1F497D" w:themeColor="text2"/>
          <w:sz w:val="36"/>
          <w:szCs w:val="36"/>
        </w:rPr>
      </w:pPr>
      <w:r>
        <w:rPr>
          <w:b/>
          <w:bCs/>
          <w:color w:val="1F497D" w:themeColor="text2"/>
          <w:sz w:val="36"/>
          <w:szCs w:val="36"/>
        </w:rPr>
        <w:t>July</w:t>
      </w:r>
      <w:r w:rsidR="00A855E9">
        <w:rPr>
          <w:b/>
          <w:bCs/>
          <w:color w:val="1F497D" w:themeColor="text2"/>
          <w:sz w:val="36"/>
          <w:szCs w:val="36"/>
        </w:rPr>
        <w:t xml:space="preserve"> </w:t>
      </w:r>
      <w:r>
        <w:rPr>
          <w:b/>
          <w:bCs/>
          <w:color w:val="1F497D" w:themeColor="text2"/>
          <w:sz w:val="36"/>
          <w:szCs w:val="36"/>
        </w:rPr>
        <w:t>2017</w:t>
      </w:r>
    </w:p>
    <w:p w14:paraId="1CBCF736" w14:textId="77777777" w:rsidR="00010E2E" w:rsidRPr="00002DFC" w:rsidRDefault="00B6054D" w:rsidP="00002DFC">
      <w:pPr>
        <w:ind w:left="0"/>
        <w:rPr>
          <w:b/>
          <w:bCs/>
          <w:color w:val="CCCE17"/>
          <w:sz w:val="36"/>
          <w:szCs w:val="36"/>
        </w:rPr>
      </w:pPr>
      <w:r>
        <w:rPr>
          <w:b/>
          <w:bCs/>
          <w:color w:val="CCCE17"/>
          <w:sz w:val="36"/>
          <w:szCs w:val="36"/>
        </w:rPr>
        <w:br w:type="page"/>
      </w:r>
      <w:r w:rsidR="00010E2E">
        <w:rPr>
          <w:rFonts w:ascii="Arial (W1)" w:hAnsi="Arial (W1)" w:cs="Arial"/>
          <w:b/>
          <w:i/>
          <w:iCs/>
          <w:color w:val="FFFFFF"/>
          <w:sz w:val="28"/>
        </w:rPr>
        <w:lastRenderedPageBreak/>
        <w:t>            </w:t>
      </w:r>
    </w:p>
    <w:p w14:paraId="1864A32B"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67D46636"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5A620B4B"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7E5828BD"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171FDB77"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3C3320FF"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1085BC64"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7599156D"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0CD7F348"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539CCE39" w14:textId="77777777" w:rsidR="00630DBC" w:rsidRDefault="00630DBC" w:rsidP="000C70FC">
      <w:pPr>
        <w:pStyle w:val="BodyText"/>
        <w:tabs>
          <w:tab w:val="left" w:pos="0"/>
          <w:tab w:val="left" w:pos="2250"/>
        </w:tabs>
        <w:spacing w:after="120" w:line="240" w:lineRule="auto"/>
        <w:ind w:left="0" w:right="-1758"/>
        <w:rPr>
          <w:rFonts w:ascii="Arial" w:hAnsi="Arial" w:cs="Arial"/>
          <w:sz w:val="18"/>
          <w:szCs w:val="18"/>
          <w:lang w:eastAsia="en-AU"/>
        </w:rPr>
      </w:pPr>
    </w:p>
    <w:p w14:paraId="41A03BF8" w14:textId="77777777" w:rsidR="000C70FC" w:rsidRDefault="000C70FC" w:rsidP="000C70FC">
      <w:pPr>
        <w:pStyle w:val="BodyText"/>
        <w:tabs>
          <w:tab w:val="left" w:pos="0"/>
          <w:tab w:val="left" w:pos="2250"/>
        </w:tabs>
        <w:spacing w:after="120" w:line="240" w:lineRule="auto"/>
        <w:ind w:left="0" w:right="-1758"/>
        <w:rPr>
          <w:rFonts w:ascii="Arial" w:hAnsi="Arial" w:cs="Arial"/>
          <w:sz w:val="18"/>
          <w:szCs w:val="18"/>
          <w:lang w:eastAsia="en-AU"/>
        </w:rPr>
      </w:pPr>
      <w:r w:rsidRPr="004A34C2">
        <w:rPr>
          <w:rFonts w:ascii="Arial" w:hAnsi="Arial" w:cs="Arial"/>
          <w:sz w:val="18"/>
          <w:szCs w:val="18"/>
          <w:lang w:eastAsia="en-AU"/>
        </w:rPr>
        <w:t xml:space="preserve">Published by the </w:t>
      </w:r>
      <w:r w:rsidR="00346C5A">
        <w:rPr>
          <w:rFonts w:ascii="Arial" w:hAnsi="Arial" w:cs="Arial"/>
          <w:sz w:val="18"/>
          <w:szCs w:val="18"/>
          <w:lang w:eastAsia="en-AU"/>
        </w:rPr>
        <w:t xml:space="preserve">Department of </w:t>
      </w:r>
      <w:r w:rsidR="00846FF2">
        <w:rPr>
          <w:rFonts w:ascii="Arial" w:hAnsi="Arial" w:cs="Arial"/>
          <w:sz w:val="18"/>
          <w:szCs w:val="18"/>
          <w:lang w:eastAsia="en-AU"/>
        </w:rPr>
        <w:t xml:space="preserve">the </w:t>
      </w:r>
      <w:r w:rsidR="00F95A62">
        <w:rPr>
          <w:rFonts w:ascii="Arial" w:hAnsi="Arial" w:cs="Arial"/>
          <w:sz w:val="18"/>
          <w:szCs w:val="18"/>
          <w:lang w:eastAsia="en-AU"/>
        </w:rPr>
        <w:t>Environment</w:t>
      </w:r>
      <w:r w:rsidR="007E29EE">
        <w:rPr>
          <w:rFonts w:ascii="Arial" w:hAnsi="Arial" w:cs="Arial"/>
          <w:sz w:val="18"/>
          <w:szCs w:val="18"/>
          <w:lang w:eastAsia="en-AU"/>
        </w:rPr>
        <w:t xml:space="preserve"> and Energy</w:t>
      </w:r>
      <w:r w:rsidRPr="004A34C2">
        <w:rPr>
          <w:rFonts w:ascii="Arial" w:hAnsi="Arial" w:cs="Arial"/>
          <w:sz w:val="18"/>
          <w:szCs w:val="18"/>
          <w:lang w:eastAsia="en-AU"/>
        </w:rPr>
        <w:t>.</w:t>
      </w:r>
    </w:p>
    <w:p w14:paraId="3B297C13" w14:textId="77777777" w:rsidR="000C70FC" w:rsidRDefault="005613D0" w:rsidP="000C70FC">
      <w:pPr>
        <w:pStyle w:val="BodyText"/>
        <w:tabs>
          <w:tab w:val="left" w:pos="0"/>
          <w:tab w:val="left" w:pos="2250"/>
        </w:tabs>
        <w:spacing w:after="120" w:line="240" w:lineRule="auto"/>
        <w:ind w:left="0" w:right="-1758"/>
        <w:rPr>
          <w:rFonts w:ascii="Arial" w:hAnsi="Arial" w:cs="Arial"/>
          <w:sz w:val="18"/>
          <w:szCs w:val="18"/>
          <w:lang w:eastAsia="en-AU"/>
        </w:rPr>
      </w:pPr>
      <w:r w:rsidRPr="004A74BF">
        <w:rPr>
          <w:rFonts w:ascii="Arial" w:hAnsi="Arial" w:cs="Arial"/>
          <w:sz w:val="18"/>
          <w:szCs w:val="18"/>
          <w:lang w:eastAsia="en-AU"/>
        </w:rPr>
        <w:t>www.</w:t>
      </w:r>
      <w:r w:rsidR="00B80F09" w:rsidRPr="00B80F09">
        <w:rPr>
          <w:rFonts w:ascii="Arial" w:hAnsi="Arial" w:cs="Arial"/>
          <w:sz w:val="18"/>
          <w:szCs w:val="18"/>
          <w:lang w:eastAsia="en-AU"/>
        </w:rPr>
        <w:t>environment</w:t>
      </w:r>
      <w:r w:rsidRPr="004A74BF">
        <w:rPr>
          <w:rFonts w:ascii="Arial" w:hAnsi="Arial" w:cs="Arial"/>
          <w:sz w:val="18"/>
          <w:szCs w:val="18"/>
          <w:lang w:eastAsia="en-AU"/>
        </w:rPr>
        <w:t>.gov.au</w:t>
      </w:r>
    </w:p>
    <w:p w14:paraId="4189BCB8" w14:textId="679523A7" w:rsidR="000C70FC" w:rsidRPr="00BD02B5" w:rsidRDefault="000C70FC" w:rsidP="000C70FC">
      <w:pPr>
        <w:pStyle w:val="BodyText"/>
        <w:tabs>
          <w:tab w:val="left" w:pos="0"/>
          <w:tab w:val="left" w:pos="2250"/>
        </w:tabs>
        <w:spacing w:after="120" w:line="240" w:lineRule="auto"/>
        <w:ind w:left="0" w:right="-901"/>
        <w:rPr>
          <w:rFonts w:ascii="Arial" w:hAnsi="Arial" w:cs="Arial"/>
          <w:sz w:val="18"/>
          <w:szCs w:val="18"/>
          <w:lang w:eastAsia="en-AU"/>
        </w:rPr>
      </w:pPr>
      <w:r w:rsidRPr="00BD02B5">
        <w:rPr>
          <w:rFonts w:ascii="Arial" w:hAnsi="Arial" w:cs="Arial"/>
          <w:sz w:val="18"/>
          <w:szCs w:val="18"/>
          <w:lang w:eastAsia="en-AU"/>
        </w:rPr>
        <w:t xml:space="preserve">© Commonwealth of Australia </w:t>
      </w:r>
      <w:r w:rsidR="00346C5A" w:rsidRPr="00BD02B5">
        <w:rPr>
          <w:rFonts w:ascii="Arial" w:hAnsi="Arial" w:cs="Arial"/>
          <w:sz w:val="18"/>
          <w:szCs w:val="18"/>
          <w:lang w:eastAsia="en-AU"/>
        </w:rPr>
        <w:t>201</w:t>
      </w:r>
      <w:r w:rsidR="00F12297">
        <w:rPr>
          <w:rFonts w:ascii="Arial" w:hAnsi="Arial" w:cs="Arial"/>
          <w:sz w:val="18"/>
          <w:szCs w:val="18"/>
          <w:lang w:eastAsia="en-AU"/>
        </w:rPr>
        <w:t>7</w:t>
      </w:r>
    </w:p>
    <w:p w14:paraId="5C19B430" w14:textId="77777777" w:rsidR="000C70FC" w:rsidRDefault="00FF39C2" w:rsidP="000C70FC">
      <w:pPr>
        <w:pStyle w:val="BodyText"/>
        <w:tabs>
          <w:tab w:val="left" w:pos="0"/>
          <w:tab w:val="left" w:pos="2250"/>
        </w:tabs>
        <w:spacing w:after="120" w:line="240" w:lineRule="auto"/>
        <w:ind w:left="0" w:right="-1758"/>
        <w:rPr>
          <w:rFonts w:ascii="Arial" w:hAnsi="Arial" w:cs="Arial"/>
          <w:sz w:val="18"/>
          <w:szCs w:val="18"/>
          <w:lang w:eastAsia="en-AU"/>
        </w:rPr>
      </w:pPr>
      <w:r w:rsidRPr="00DB323C">
        <w:rPr>
          <w:rFonts w:ascii="Arial" w:hAnsi="Arial" w:cs="Arial"/>
        </w:rPr>
        <w:t xml:space="preserve">ISSN:  </w:t>
      </w:r>
      <w:r w:rsidR="00B80F09" w:rsidRPr="00DB323C">
        <w:rPr>
          <w:rFonts w:ascii="Arial" w:hAnsi="Arial" w:cs="Arial"/>
        </w:rPr>
        <w:t>2202-333X</w:t>
      </w:r>
    </w:p>
    <w:tbl>
      <w:tblPr>
        <w:tblW w:w="3460" w:type="dxa"/>
        <w:tblInd w:w="108" w:type="dxa"/>
        <w:tblLook w:val="04A0" w:firstRow="1" w:lastRow="0" w:firstColumn="1" w:lastColumn="0" w:noHBand="0" w:noVBand="1"/>
      </w:tblPr>
      <w:tblGrid>
        <w:gridCol w:w="3460"/>
      </w:tblGrid>
      <w:tr w:rsidR="000C70FC" w:rsidRPr="00CF36F5" w14:paraId="006FEFD7" w14:textId="77777777" w:rsidTr="00D9432B">
        <w:trPr>
          <w:trHeight w:val="255"/>
        </w:trPr>
        <w:tc>
          <w:tcPr>
            <w:tcW w:w="3460" w:type="dxa"/>
            <w:tcBorders>
              <w:top w:val="nil"/>
              <w:left w:val="nil"/>
              <w:bottom w:val="nil"/>
              <w:right w:val="nil"/>
            </w:tcBorders>
            <w:shd w:val="clear" w:color="auto" w:fill="auto"/>
            <w:vAlign w:val="bottom"/>
            <w:hideMark/>
          </w:tcPr>
          <w:p w14:paraId="61226B01" w14:textId="77777777" w:rsidR="000C70FC" w:rsidRPr="00CF36F5" w:rsidRDefault="000C70FC" w:rsidP="00D9432B">
            <w:pPr>
              <w:ind w:left="0"/>
              <w:rPr>
                <w:rFonts w:ascii="Arial" w:hAnsi="Arial" w:cs="Arial"/>
                <w:lang w:eastAsia="en-AU"/>
              </w:rPr>
            </w:pPr>
          </w:p>
        </w:tc>
      </w:tr>
      <w:tr w:rsidR="000C70FC" w:rsidRPr="00CF36F5" w14:paraId="7250046D" w14:textId="77777777" w:rsidTr="00D9432B">
        <w:trPr>
          <w:trHeight w:val="255"/>
        </w:trPr>
        <w:tc>
          <w:tcPr>
            <w:tcW w:w="3460" w:type="dxa"/>
            <w:tcBorders>
              <w:top w:val="nil"/>
              <w:left w:val="nil"/>
              <w:bottom w:val="nil"/>
              <w:right w:val="nil"/>
            </w:tcBorders>
            <w:shd w:val="clear" w:color="auto" w:fill="auto"/>
            <w:vAlign w:val="bottom"/>
            <w:hideMark/>
          </w:tcPr>
          <w:p w14:paraId="6150C2DA" w14:textId="77777777" w:rsidR="000C70FC" w:rsidRPr="00CF36F5" w:rsidRDefault="000C70FC" w:rsidP="00D9432B">
            <w:pPr>
              <w:ind w:left="0"/>
              <w:rPr>
                <w:rFonts w:ascii="Arial" w:hAnsi="Arial" w:cs="Arial"/>
                <w:lang w:eastAsia="en-AU"/>
              </w:rPr>
            </w:pPr>
          </w:p>
        </w:tc>
      </w:tr>
      <w:tr w:rsidR="000C70FC" w:rsidRPr="00CF36F5" w14:paraId="202A045C" w14:textId="77777777" w:rsidTr="00D9432B">
        <w:trPr>
          <w:trHeight w:val="255"/>
        </w:trPr>
        <w:tc>
          <w:tcPr>
            <w:tcW w:w="3460" w:type="dxa"/>
            <w:tcBorders>
              <w:top w:val="nil"/>
              <w:left w:val="nil"/>
              <w:bottom w:val="nil"/>
              <w:right w:val="nil"/>
            </w:tcBorders>
            <w:shd w:val="clear" w:color="auto" w:fill="auto"/>
            <w:vAlign w:val="bottom"/>
            <w:hideMark/>
          </w:tcPr>
          <w:p w14:paraId="02C6D019" w14:textId="77777777" w:rsidR="000C70FC" w:rsidRPr="00CF36F5" w:rsidRDefault="000C70FC" w:rsidP="00D9432B">
            <w:pPr>
              <w:ind w:left="0"/>
              <w:rPr>
                <w:rFonts w:ascii="Arial" w:hAnsi="Arial" w:cs="Arial"/>
                <w:lang w:eastAsia="en-AU"/>
              </w:rPr>
            </w:pPr>
          </w:p>
        </w:tc>
      </w:tr>
    </w:tbl>
    <w:p w14:paraId="06F5F686" w14:textId="77777777" w:rsidR="000C70FC" w:rsidRDefault="000C70FC" w:rsidP="000C70FC">
      <w:pPr>
        <w:pStyle w:val="BodyText"/>
        <w:tabs>
          <w:tab w:val="left" w:pos="0"/>
          <w:tab w:val="left" w:pos="2250"/>
        </w:tabs>
        <w:spacing w:after="120" w:line="240" w:lineRule="auto"/>
        <w:ind w:left="0" w:right="-1758"/>
        <w:rPr>
          <w:rFonts w:ascii="Arial" w:hAnsi="Arial" w:cs="Arial"/>
          <w:sz w:val="18"/>
          <w:szCs w:val="18"/>
          <w:lang w:eastAsia="en-AU"/>
        </w:rPr>
      </w:pPr>
    </w:p>
    <w:p w14:paraId="24FF2688" w14:textId="6F1ECEF1" w:rsidR="000C70FC" w:rsidRPr="00E40558" w:rsidRDefault="000C70FC" w:rsidP="000C70FC">
      <w:pPr>
        <w:tabs>
          <w:tab w:val="left" w:pos="0"/>
          <w:tab w:val="left" w:pos="2250"/>
        </w:tabs>
        <w:autoSpaceDE w:val="0"/>
        <w:autoSpaceDN w:val="0"/>
        <w:adjustRightInd w:val="0"/>
        <w:ind w:left="0"/>
        <w:rPr>
          <w:rFonts w:ascii="Arial" w:hAnsi="Arial" w:cs="Arial"/>
          <w:sz w:val="18"/>
          <w:szCs w:val="18"/>
          <w:lang w:eastAsia="en-AU"/>
        </w:rPr>
      </w:pPr>
      <w:r w:rsidRPr="00E40558">
        <w:rPr>
          <w:rFonts w:ascii="Arial" w:hAnsi="Arial" w:cs="Arial"/>
          <w:sz w:val="18"/>
          <w:szCs w:val="18"/>
          <w:lang w:eastAsia="en-AU"/>
        </w:rPr>
        <w:t xml:space="preserve">© Commonwealth of Australia </w:t>
      </w:r>
      <w:r w:rsidR="00346C5A">
        <w:rPr>
          <w:rFonts w:ascii="Arial" w:hAnsi="Arial" w:cs="Arial"/>
          <w:sz w:val="18"/>
          <w:szCs w:val="18"/>
          <w:lang w:eastAsia="en-AU"/>
        </w:rPr>
        <w:t>201</w:t>
      </w:r>
      <w:r w:rsidR="00F12297">
        <w:rPr>
          <w:rFonts w:ascii="Arial" w:hAnsi="Arial" w:cs="Arial"/>
          <w:sz w:val="18"/>
          <w:szCs w:val="18"/>
          <w:lang w:eastAsia="en-AU"/>
        </w:rPr>
        <w:t>7</w:t>
      </w:r>
    </w:p>
    <w:p w14:paraId="6B75FD8E" w14:textId="77777777" w:rsidR="000C70FC" w:rsidRPr="00E40558" w:rsidRDefault="000C70FC" w:rsidP="000C70FC">
      <w:pPr>
        <w:tabs>
          <w:tab w:val="left" w:pos="0"/>
          <w:tab w:val="left" w:pos="2250"/>
        </w:tabs>
        <w:autoSpaceDE w:val="0"/>
        <w:autoSpaceDN w:val="0"/>
        <w:adjustRightInd w:val="0"/>
        <w:ind w:left="0"/>
        <w:rPr>
          <w:rFonts w:ascii="Arial" w:hAnsi="Arial" w:cs="Arial"/>
          <w:sz w:val="18"/>
          <w:szCs w:val="18"/>
          <w:lang w:eastAsia="en-AU"/>
        </w:rPr>
      </w:pPr>
      <w:r w:rsidRPr="00E40558">
        <w:rPr>
          <w:rFonts w:ascii="Arial" w:hAnsi="Arial" w:cs="Arial"/>
          <w:sz w:val="18"/>
          <w:szCs w:val="18"/>
          <w:lang w:eastAsia="en-AU"/>
        </w:rPr>
        <w:t xml:space="preserve">This work is licensed under the Creative Commons Attribution 3.0 Australia Licence. To view a copy of this license, visit http://creativecommons.org/licenses/by/3.0/au </w:t>
      </w:r>
    </w:p>
    <w:p w14:paraId="288D1BBC" w14:textId="77777777" w:rsidR="000C70FC" w:rsidRDefault="000C70FC" w:rsidP="000C70FC">
      <w:pPr>
        <w:tabs>
          <w:tab w:val="left" w:pos="0"/>
          <w:tab w:val="left" w:pos="2250"/>
        </w:tabs>
        <w:autoSpaceDE w:val="0"/>
        <w:autoSpaceDN w:val="0"/>
        <w:adjustRightInd w:val="0"/>
        <w:ind w:left="0"/>
        <w:rPr>
          <w:rFonts w:ascii="Arial" w:hAnsi="Arial" w:cs="Arial"/>
          <w:sz w:val="18"/>
          <w:szCs w:val="18"/>
          <w:lang w:eastAsia="en-AU"/>
        </w:rPr>
      </w:pPr>
      <w:r w:rsidRPr="00E40558">
        <w:rPr>
          <w:rFonts w:ascii="Arial" w:hAnsi="Arial" w:cs="Arial"/>
          <w:sz w:val="18"/>
          <w:szCs w:val="18"/>
          <w:lang w:eastAsia="en-AU"/>
        </w:rPr>
        <w:t xml:space="preserve">The </w:t>
      </w:r>
      <w:r w:rsidR="007011CE">
        <w:rPr>
          <w:rFonts w:ascii="Arial" w:hAnsi="Arial" w:cs="Arial"/>
          <w:sz w:val="18"/>
          <w:szCs w:val="18"/>
          <w:lang w:eastAsia="en-AU"/>
        </w:rPr>
        <w:t>Department of the Environment</w:t>
      </w:r>
      <w:r w:rsidR="007E29EE">
        <w:rPr>
          <w:rFonts w:ascii="Arial" w:hAnsi="Arial" w:cs="Arial"/>
          <w:sz w:val="18"/>
          <w:szCs w:val="18"/>
          <w:lang w:eastAsia="en-AU"/>
        </w:rPr>
        <w:t xml:space="preserve"> and Energy </w:t>
      </w:r>
      <w:r w:rsidRPr="00E40558">
        <w:rPr>
          <w:rFonts w:ascii="Arial" w:hAnsi="Arial" w:cs="Arial"/>
          <w:sz w:val="18"/>
          <w:szCs w:val="18"/>
          <w:lang w:eastAsia="en-AU"/>
        </w:rPr>
        <w:t>asserts the right to be recognised as author of the original material in the following manner:</w:t>
      </w:r>
      <w:r w:rsidRPr="006F5955">
        <w:rPr>
          <w:rFonts w:ascii="Arial" w:hAnsi="Arial" w:cs="Arial"/>
          <w:sz w:val="18"/>
          <w:szCs w:val="18"/>
          <w:lang w:eastAsia="en-AU"/>
        </w:rPr>
        <w:t xml:space="preserve"> </w:t>
      </w:r>
    </w:p>
    <w:p w14:paraId="486DCB8B" w14:textId="77777777" w:rsidR="000C70FC" w:rsidRPr="006F5955" w:rsidRDefault="000C70FC" w:rsidP="000C70FC">
      <w:pPr>
        <w:tabs>
          <w:tab w:val="left" w:pos="0"/>
          <w:tab w:val="left" w:pos="2250"/>
        </w:tabs>
        <w:autoSpaceDE w:val="0"/>
        <w:autoSpaceDN w:val="0"/>
        <w:adjustRightInd w:val="0"/>
        <w:ind w:left="0"/>
        <w:rPr>
          <w:rFonts w:ascii="Arial" w:hAnsi="Arial" w:cs="Arial"/>
          <w:sz w:val="18"/>
          <w:szCs w:val="18"/>
          <w:lang w:eastAsia="en-AU"/>
        </w:rPr>
      </w:pPr>
    </w:p>
    <w:p w14:paraId="372681F1" w14:textId="77777777" w:rsidR="000C70FC" w:rsidRPr="006F5955" w:rsidRDefault="0082790E" w:rsidP="000C70FC">
      <w:pPr>
        <w:tabs>
          <w:tab w:val="left" w:pos="0"/>
          <w:tab w:val="left" w:pos="2250"/>
        </w:tabs>
        <w:autoSpaceDE w:val="0"/>
        <w:autoSpaceDN w:val="0"/>
        <w:adjustRightInd w:val="0"/>
        <w:ind w:left="0"/>
        <w:rPr>
          <w:rFonts w:ascii="Arial" w:hAnsi="Arial" w:cs="Arial"/>
          <w:sz w:val="18"/>
          <w:szCs w:val="18"/>
          <w:lang w:eastAsia="en-AU"/>
        </w:rPr>
      </w:pPr>
      <w:r>
        <w:rPr>
          <w:noProof/>
          <w:lang w:eastAsia="en-AU"/>
        </w:rPr>
        <w:drawing>
          <wp:inline distT="0" distB="0" distL="0" distR="0" wp14:anchorId="2E39F9EB" wp14:editId="01358278">
            <wp:extent cx="838200" cy="295275"/>
            <wp:effectExtent l="1905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838200" cy="295275"/>
                    </a:xfrm>
                    <a:prstGeom prst="rect">
                      <a:avLst/>
                    </a:prstGeom>
                    <a:noFill/>
                    <a:ln w="9525">
                      <a:noFill/>
                      <a:miter lim="800000"/>
                      <a:headEnd/>
                      <a:tailEnd/>
                    </a:ln>
                  </pic:spPr>
                </pic:pic>
              </a:graphicData>
            </a:graphic>
          </wp:inline>
        </w:drawing>
      </w:r>
      <w:r w:rsidR="000C70FC">
        <w:t xml:space="preserve"> </w:t>
      </w:r>
      <w:r w:rsidR="000C70FC">
        <w:rPr>
          <w:rFonts w:ascii="Arial" w:hAnsi="Arial" w:cs="Arial"/>
          <w:sz w:val="18"/>
          <w:szCs w:val="18"/>
          <w:lang w:eastAsia="en-AU"/>
        </w:rPr>
        <w:t xml:space="preserve">or </w:t>
      </w:r>
      <w:r>
        <w:rPr>
          <w:noProof/>
          <w:lang w:eastAsia="en-AU"/>
        </w:rPr>
        <w:drawing>
          <wp:inline distT="0" distB="0" distL="0" distR="0" wp14:anchorId="7CDADDC0" wp14:editId="737A1CBD">
            <wp:extent cx="809625" cy="152400"/>
            <wp:effectExtent l="19050" t="0" r="9525" b="0"/>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809625" cy="152400"/>
                    </a:xfrm>
                    <a:prstGeom prst="rect">
                      <a:avLst/>
                    </a:prstGeom>
                    <a:noFill/>
                    <a:ln w="9525">
                      <a:noFill/>
                      <a:miter lim="800000"/>
                      <a:headEnd/>
                      <a:tailEnd/>
                    </a:ln>
                  </pic:spPr>
                </pic:pic>
              </a:graphicData>
            </a:graphic>
          </wp:inline>
        </w:drawing>
      </w:r>
    </w:p>
    <w:p w14:paraId="5B53CA59" w14:textId="7333D8B2" w:rsidR="000C70FC" w:rsidRPr="006F5955" w:rsidRDefault="000C70FC" w:rsidP="000C70FC">
      <w:pPr>
        <w:tabs>
          <w:tab w:val="left" w:pos="0"/>
          <w:tab w:val="left" w:pos="2250"/>
        </w:tabs>
        <w:autoSpaceDE w:val="0"/>
        <w:autoSpaceDN w:val="0"/>
        <w:adjustRightInd w:val="0"/>
        <w:ind w:left="0"/>
        <w:rPr>
          <w:rFonts w:ascii="Arial" w:hAnsi="Arial" w:cs="Arial"/>
          <w:sz w:val="18"/>
          <w:szCs w:val="18"/>
          <w:lang w:eastAsia="en-AU"/>
        </w:rPr>
      </w:pPr>
      <w:r w:rsidRPr="006F5955">
        <w:rPr>
          <w:rFonts w:ascii="Arial" w:hAnsi="Arial" w:cs="Arial"/>
          <w:sz w:val="18"/>
          <w:szCs w:val="18"/>
          <w:lang w:eastAsia="en-AU"/>
        </w:rPr>
        <w:t xml:space="preserve">© Commonwealth of Australia </w:t>
      </w:r>
      <w:r w:rsidR="00346C5A">
        <w:rPr>
          <w:rFonts w:ascii="Arial" w:hAnsi="Arial" w:cs="Arial"/>
          <w:sz w:val="18"/>
          <w:szCs w:val="18"/>
          <w:lang w:eastAsia="en-AU"/>
        </w:rPr>
        <w:t>201</w:t>
      </w:r>
      <w:r w:rsidR="00F12297">
        <w:rPr>
          <w:rFonts w:ascii="Arial" w:hAnsi="Arial" w:cs="Arial"/>
          <w:sz w:val="18"/>
          <w:szCs w:val="18"/>
          <w:lang w:eastAsia="en-AU"/>
        </w:rPr>
        <w:t>7</w:t>
      </w:r>
    </w:p>
    <w:p w14:paraId="3886A355" w14:textId="77777777" w:rsidR="000C70FC" w:rsidRDefault="000C70FC" w:rsidP="000C70FC">
      <w:pPr>
        <w:tabs>
          <w:tab w:val="left" w:pos="0"/>
          <w:tab w:val="left" w:pos="2250"/>
        </w:tabs>
        <w:autoSpaceDE w:val="0"/>
        <w:autoSpaceDN w:val="0"/>
        <w:adjustRightInd w:val="0"/>
        <w:ind w:left="0"/>
        <w:rPr>
          <w:rFonts w:ascii="Arial" w:hAnsi="Arial" w:cs="Arial"/>
          <w:sz w:val="18"/>
          <w:szCs w:val="18"/>
          <w:lang w:eastAsia="en-AU"/>
        </w:rPr>
      </w:pPr>
    </w:p>
    <w:p w14:paraId="2034B60B" w14:textId="77777777" w:rsidR="000C70FC" w:rsidRPr="000C2198" w:rsidRDefault="000C70FC" w:rsidP="000C70FC">
      <w:pPr>
        <w:tabs>
          <w:tab w:val="left" w:pos="0"/>
          <w:tab w:val="left" w:pos="2250"/>
        </w:tabs>
        <w:autoSpaceDE w:val="0"/>
        <w:autoSpaceDN w:val="0"/>
        <w:adjustRightInd w:val="0"/>
        <w:ind w:left="0"/>
        <w:rPr>
          <w:rFonts w:ascii="Arial" w:hAnsi="Arial" w:cs="Arial"/>
          <w:bCs/>
          <w:color w:val="006600"/>
          <w:sz w:val="18"/>
          <w:szCs w:val="18"/>
          <w:lang w:eastAsia="en-AU"/>
        </w:rPr>
      </w:pPr>
    </w:p>
    <w:p w14:paraId="21388663" w14:textId="77777777" w:rsidR="000C70FC" w:rsidRPr="000C2198" w:rsidRDefault="000C70FC" w:rsidP="000C70FC">
      <w:pPr>
        <w:tabs>
          <w:tab w:val="left" w:pos="0"/>
          <w:tab w:val="left" w:pos="2250"/>
        </w:tabs>
        <w:autoSpaceDE w:val="0"/>
        <w:autoSpaceDN w:val="0"/>
        <w:adjustRightInd w:val="0"/>
        <w:ind w:left="0"/>
        <w:rPr>
          <w:rFonts w:ascii="Arial" w:hAnsi="Arial" w:cs="Arial"/>
          <w:bCs/>
          <w:sz w:val="18"/>
          <w:szCs w:val="18"/>
          <w:lang w:eastAsia="en-AU"/>
        </w:rPr>
      </w:pPr>
      <w:r w:rsidRPr="000C2198">
        <w:rPr>
          <w:rFonts w:ascii="Arial" w:hAnsi="Arial" w:cs="Arial"/>
          <w:bCs/>
          <w:sz w:val="18"/>
          <w:szCs w:val="18"/>
          <w:lang w:eastAsia="en-AU"/>
        </w:rPr>
        <w:t>Disclaimer:</w:t>
      </w:r>
    </w:p>
    <w:p w14:paraId="108834E5" w14:textId="77777777" w:rsidR="000C70FC" w:rsidRPr="000C2198" w:rsidRDefault="000C70FC" w:rsidP="000C70FC">
      <w:pPr>
        <w:tabs>
          <w:tab w:val="left" w:pos="0"/>
          <w:tab w:val="left" w:pos="2250"/>
        </w:tabs>
        <w:autoSpaceDE w:val="0"/>
        <w:autoSpaceDN w:val="0"/>
        <w:adjustRightInd w:val="0"/>
        <w:ind w:left="0"/>
        <w:rPr>
          <w:rFonts w:ascii="Arial" w:hAnsi="Arial" w:cs="Arial"/>
          <w:bCs/>
          <w:sz w:val="18"/>
          <w:szCs w:val="18"/>
          <w:lang w:eastAsia="en-AU"/>
        </w:rPr>
      </w:pPr>
    </w:p>
    <w:p w14:paraId="5462001E" w14:textId="77777777" w:rsidR="000C70FC" w:rsidRPr="000C2198" w:rsidRDefault="000C70FC" w:rsidP="00B94645">
      <w:pPr>
        <w:tabs>
          <w:tab w:val="left" w:pos="0"/>
          <w:tab w:val="left" w:pos="2250"/>
        </w:tabs>
        <w:autoSpaceDE w:val="0"/>
        <w:autoSpaceDN w:val="0"/>
        <w:adjustRightInd w:val="0"/>
        <w:ind w:left="0"/>
        <w:rPr>
          <w:rFonts w:ascii="Arial" w:hAnsi="Arial" w:cs="Arial"/>
          <w:i/>
          <w:iCs/>
          <w:sz w:val="28"/>
        </w:rPr>
      </w:pPr>
      <w:r w:rsidRPr="000C2198">
        <w:rPr>
          <w:rFonts w:ascii="Arial" w:hAnsi="Arial" w:cs="Arial"/>
          <w:bCs/>
          <w:sz w:val="18"/>
          <w:szCs w:val="18"/>
          <w:lang w:eastAsia="en-AU"/>
        </w:rPr>
        <w:t>While reasonable efforts have been made to ensure that the contents of</w:t>
      </w:r>
      <w:r w:rsidR="00B94645">
        <w:rPr>
          <w:rFonts w:ascii="Arial" w:hAnsi="Arial" w:cs="Arial"/>
          <w:bCs/>
          <w:sz w:val="18"/>
          <w:szCs w:val="18"/>
          <w:lang w:eastAsia="en-AU"/>
        </w:rPr>
        <w:t xml:space="preserve"> </w:t>
      </w:r>
      <w:r w:rsidRPr="000C2198">
        <w:rPr>
          <w:rFonts w:ascii="Arial" w:hAnsi="Arial" w:cs="Arial"/>
          <w:bCs/>
          <w:sz w:val="18"/>
          <w:szCs w:val="18"/>
          <w:lang w:eastAsia="en-AU"/>
        </w:rPr>
        <w:t>this publication are factually correct, the Commonwealth does not accept responsibility for the accuracy or completeness of the contents, and shall not be liable for any loss or damage that may be occasioned directly or indirectly through the use of, or reliance on, the contents of this publication.</w:t>
      </w:r>
    </w:p>
    <w:p w14:paraId="4EAB7150" w14:textId="77777777" w:rsidR="000C70FC" w:rsidRPr="000C2198" w:rsidRDefault="000C70FC" w:rsidP="000C70FC">
      <w:pPr>
        <w:pStyle w:val="Signature"/>
        <w:tabs>
          <w:tab w:val="left" w:pos="0"/>
          <w:tab w:val="left" w:pos="2250"/>
        </w:tabs>
        <w:spacing w:before="120" w:line="312" w:lineRule="auto"/>
        <w:ind w:right="-1758"/>
        <w:rPr>
          <w:rFonts w:ascii="Arial" w:hAnsi="Arial" w:cs="Arial"/>
          <w:snapToGrid w:val="0"/>
          <w:sz w:val="18"/>
        </w:rPr>
        <w:sectPr w:rsidR="000C70FC" w:rsidRPr="000C2198" w:rsidSect="008E70EB">
          <w:headerReference w:type="even" r:id="rId13"/>
          <w:headerReference w:type="default" r:id="rId14"/>
          <w:footerReference w:type="even" r:id="rId15"/>
          <w:footerReference w:type="default" r:id="rId16"/>
          <w:headerReference w:type="first" r:id="rId17"/>
          <w:footerReference w:type="first" r:id="rId18"/>
          <w:type w:val="continuous"/>
          <w:pgSz w:w="11907" w:h="16840" w:code="9"/>
          <w:pgMar w:top="1440" w:right="1797" w:bottom="1440" w:left="1797" w:header="720" w:footer="958" w:gutter="0"/>
          <w:pgNumType w:start="1"/>
          <w:cols w:space="240"/>
          <w:titlePg/>
        </w:sectPr>
      </w:pPr>
    </w:p>
    <w:p w14:paraId="2226F1EA" w14:textId="77777777" w:rsidR="000C70FC" w:rsidRDefault="000C70FC">
      <w:pPr>
        <w:pStyle w:val="BodyText"/>
        <w:tabs>
          <w:tab w:val="left" w:pos="0"/>
          <w:tab w:val="left" w:pos="2250"/>
        </w:tabs>
        <w:spacing w:after="120" w:line="240" w:lineRule="auto"/>
        <w:ind w:left="0" w:right="-1758"/>
        <w:rPr>
          <w:rFonts w:ascii="Arial" w:hAnsi="Arial" w:cs="Arial"/>
          <w:sz w:val="18"/>
          <w:szCs w:val="18"/>
          <w:lang w:eastAsia="en-AU"/>
        </w:rPr>
      </w:pPr>
    </w:p>
    <w:p w14:paraId="4B1B6E68" w14:textId="77777777" w:rsidR="00010E2E" w:rsidRDefault="000C2198">
      <w:pPr>
        <w:pStyle w:val="zcontents"/>
        <w:tabs>
          <w:tab w:val="left" w:pos="0"/>
          <w:tab w:val="left" w:pos="2250"/>
        </w:tabs>
        <w:spacing w:before="120" w:after="0" w:line="312" w:lineRule="auto"/>
        <w:rPr>
          <w:rFonts w:ascii="Arial" w:hAnsi="Arial" w:cs="Arial"/>
          <w:b/>
          <w:bCs/>
          <w:sz w:val="36"/>
        </w:rPr>
      </w:pPr>
      <w:r>
        <w:rPr>
          <w:rFonts w:ascii="Arial" w:hAnsi="Arial" w:cs="Arial"/>
          <w:b/>
          <w:bCs/>
          <w:sz w:val="36"/>
        </w:rPr>
        <w:br w:type="page"/>
      </w:r>
      <w:r w:rsidR="00010E2E">
        <w:rPr>
          <w:rFonts w:ascii="Arial" w:hAnsi="Arial" w:cs="Arial"/>
          <w:b/>
          <w:bCs/>
          <w:sz w:val="36"/>
        </w:rPr>
        <w:lastRenderedPageBreak/>
        <w:t>Table of Contents</w:t>
      </w:r>
    </w:p>
    <w:p w14:paraId="766761CC" w14:textId="77777777" w:rsidR="00010E2E" w:rsidRDefault="00010E2E">
      <w:pPr>
        <w:pStyle w:val="TOC2"/>
        <w:tabs>
          <w:tab w:val="left" w:pos="0"/>
          <w:tab w:val="left" w:pos="2250"/>
        </w:tabs>
        <w:spacing w:line="312" w:lineRule="auto"/>
        <w:rPr>
          <w:rFonts w:ascii="Arial" w:hAnsi="Arial" w:cs="Arial"/>
        </w:rPr>
      </w:pPr>
    </w:p>
    <w:p w14:paraId="771FBD07" w14:textId="451A1DED" w:rsidR="008B6F3C" w:rsidRDefault="00DC52E0">
      <w:pPr>
        <w:pStyle w:val="TOC1"/>
        <w:rPr>
          <w:rFonts w:asciiTheme="minorHAnsi" w:eastAsiaTheme="minorEastAsia" w:hAnsiTheme="minorHAnsi" w:cstheme="minorBidi"/>
          <w:noProof/>
          <w:sz w:val="22"/>
          <w:szCs w:val="22"/>
          <w:lang w:eastAsia="en-AU"/>
        </w:rPr>
      </w:pPr>
      <w:r w:rsidRPr="00D2201F">
        <w:rPr>
          <w:noProof/>
          <w:szCs w:val="60"/>
        </w:rPr>
        <w:fldChar w:fldCharType="begin"/>
      </w:r>
      <w:r w:rsidR="00010E2E" w:rsidRPr="00D2201F">
        <w:rPr>
          <w:noProof/>
          <w:szCs w:val="60"/>
        </w:rPr>
        <w:instrText xml:space="preserve"> TOC \o "1-1" \u </w:instrText>
      </w:r>
      <w:r w:rsidRPr="00D2201F">
        <w:rPr>
          <w:noProof/>
          <w:szCs w:val="60"/>
        </w:rPr>
        <w:fldChar w:fldCharType="separate"/>
      </w:r>
      <w:r w:rsidR="008B6F3C" w:rsidRPr="00DD3A89">
        <w:rPr>
          <w:noProof/>
        </w:rPr>
        <w:t>1</w:t>
      </w:r>
      <w:r w:rsidR="008B6F3C">
        <w:rPr>
          <w:rFonts w:asciiTheme="minorHAnsi" w:eastAsiaTheme="minorEastAsia" w:hAnsiTheme="minorHAnsi" w:cstheme="minorBidi"/>
          <w:noProof/>
          <w:sz w:val="22"/>
          <w:szCs w:val="22"/>
          <w:lang w:eastAsia="en-AU"/>
        </w:rPr>
        <w:tab/>
      </w:r>
      <w:r w:rsidR="008B6F3C" w:rsidRPr="00DD3A89">
        <w:rPr>
          <w:noProof/>
        </w:rPr>
        <w:t>Key definitions and terms</w:t>
      </w:r>
      <w:r w:rsidR="008B6F3C">
        <w:rPr>
          <w:noProof/>
        </w:rPr>
        <w:tab/>
      </w:r>
      <w:r>
        <w:rPr>
          <w:noProof/>
        </w:rPr>
        <w:fldChar w:fldCharType="begin"/>
      </w:r>
      <w:r w:rsidR="008B6F3C">
        <w:rPr>
          <w:noProof/>
        </w:rPr>
        <w:instrText xml:space="preserve"> PAGEREF _Toc391646676 \h </w:instrText>
      </w:r>
      <w:r>
        <w:rPr>
          <w:noProof/>
        </w:rPr>
      </w:r>
      <w:r>
        <w:rPr>
          <w:noProof/>
        </w:rPr>
        <w:fldChar w:fldCharType="separate"/>
      </w:r>
      <w:r w:rsidR="004A1330">
        <w:rPr>
          <w:noProof/>
        </w:rPr>
        <w:t>6</w:t>
      </w:r>
      <w:r>
        <w:rPr>
          <w:noProof/>
        </w:rPr>
        <w:fldChar w:fldCharType="end"/>
      </w:r>
    </w:p>
    <w:p w14:paraId="17A3A15E" w14:textId="47124552" w:rsidR="008B6F3C" w:rsidRDefault="008B6F3C">
      <w:pPr>
        <w:pStyle w:val="TOC1"/>
        <w:rPr>
          <w:rFonts w:asciiTheme="minorHAnsi" w:eastAsiaTheme="minorEastAsia" w:hAnsiTheme="minorHAnsi" w:cstheme="minorBidi"/>
          <w:noProof/>
          <w:sz w:val="22"/>
          <w:szCs w:val="22"/>
          <w:lang w:eastAsia="en-AU"/>
        </w:rPr>
      </w:pPr>
      <w:r w:rsidRPr="00914552">
        <w:rPr>
          <w:noProof/>
        </w:rPr>
        <w:t>2</w:t>
      </w:r>
      <w:r>
        <w:rPr>
          <w:rFonts w:asciiTheme="minorHAnsi" w:eastAsiaTheme="minorEastAsia" w:hAnsiTheme="minorHAnsi" w:cstheme="minorBidi"/>
          <w:noProof/>
          <w:sz w:val="22"/>
          <w:szCs w:val="22"/>
          <w:lang w:eastAsia="en-AU"/>
        </w:rPr>
        <w:tab/>
      </w:r>
      <w:r w:rsidRPr="00914552">
        <w:rPr>
          <w:noProof/>
        </w:rPr>
        <w:t>Energy</w:t>
      </w:r>
      <w:r>
        <w:rPr>
          <w:noProof/>
        </w:rPr>
        <w:tab/>
      </w:r>
      <w:r w:rsidR="00DC52E0">
        <w:rPr>
          <w:noProof/>
        </w:rPr>
        <w:fldChar w:fldCharType="begin"/>
      </w:r>
      <w:r>
        <w:rPr>
          <w:noProof/>
        </w:rPr>
        <w:instrText xml:space="preserve"> PAGEREF _Toc391646677 \h </w:instrText>
      </w:r>
      <w:r w:rsidR="00DC52E0">
        <w:rPr>
          <w:noProof/>
        </w:rPr>
      </w:r>
      <w:r w:rsidR="00DC52E0">
        <w:rPr>
          <w:noProof/>
        </w:rPr>
        <w:fldChar w:fldCharType="separate"/>
      </w:r>
      <w:r w:rsidR="004A1330">
        <w:rPr>
          <w:noProof/>
        </w:rPr>
        <w:t>10</w:t>
      </w:r>
      <w:r w:rsidR="00DC52E0">
        <w:rPr>
          <w:noProof/>
        </w:rPr>
        <w:fldChar w:fldCharType="end"/>
      </w:r>
    </w:p>
    <w:p w14:paraId="7B72554F" w14:textId="691D05EE" w:rsidR="008B6F3C" w:rsidRDefault="008B6F3C">
      <w:pPr>
        <w:pStyle w:val="TOC1"/>
        <w:rPr>
          <w:rFonts w:asciiTheme="minorHAnsi" w:eastAsiaTheme="minorEastAsia" w:hAnsiTheme="minorHAnsi" w:cstheme="minorBidi"/>
          <w:noProof/>
          <w:sz w:val="22"/>
          <w:szCs w:val="22"/>
          <w:lang w:eastAsia="en-AU"/>
        </w:rPr>
      </w:pPr>
      <w:r w:rsidRPr="00DD3A89">
        <w:rPr>
          <w:noProof/>
        </w:rPr>
        <w:t>3</w:t>
      </w:r>
      <w:r>
        <w:rPr>
          <w:rFonts w:asciiTheme="minorHAnsi" w:eastAsiaTheme="minorEastAsia" w:hAnsiTheme="minorHAnsi" w:cstheme="minorBidi"/>
          <w:noProof/>
          <w:sz w:val="22"/>
          <w:szCs w:val="22"/>
          <w:lang w:eastAsia="en-AU"/>
        </w:rPr>
        <w:tab/>
      </w:r>
      <w:r w:rsidRPr="00DD3A89">
        <w:rPr>
          <w:noProof/>
        </w:rPr>
        <w:t>Industrial processes including use of synthetic gases</w:t>
      </w:r>
      <w:r>
        <w:rPr>
          <w:noProof/>
        </w:rPr>
        <w:tab/>
      </w:r>
      <w:r w:rsidR="00DC52E0">
        <w:rPr>
          <w:noProof/>
        </w:rPr>
        <w:fldChar w:fldCharType="begin"/>
      </w:r>
      <w:r>
        <w:rPr>
          <w:noProof/>
        </w:rPr>
        <w:instrText xml:space="preserve"> PAGEREF _Toc391646678 \h </w:instrText>
      </w:r>
      <w:r w:rsidR="00DC52E0">
        <w:rPr>
          <w:noProof/>
        </w:rPr>
      </w:r>
      <w:r w:rsidR="00DC52E0">
        <w:rPr>
          <w:noProof/>
        </w:rPr>
        <w:fldChar w:fldCharType="separate"/>
      </w:r>
      <w:r w:rsidR="004A1330">
        <w:rPr>
          <w:noProof/>
        </w:rPr>
        <w:t>34</w:t>
      </w:r>
      <w:r w:rsidR="00DC52E0">
        <w:rPr>
          <w:noProof/>
        </w:rPr>
        <w:fldChar w:fldCharType="end"/>
      </w:r>
    </w:p>
    <w:p w14:paraId="6C3FA072" w14:textId="35C5990D" w:rsidR="008B6F3C" w:rsidRDefault="008B6F3C">
      <w:pPr>
        <w:pStyle w:val="TOC1"/>
        <w:rPr>
          <w:rFonts w:asciiTheme="minorHAnsi" w:eastAsiaTheme="minorEastAsia" w:hAnsiTheme="minorHAnsi" w:cstheme="minorBidi"/>
          <w:noProof/>
          <w:sz w:val="22"/>
          <w:szCs w:val="22"/>
          <w:lang w:eastAsia="en-AU"/>
        </w:rPr>
      </w:pPr>
      <w:r w:rsidRPr="00914552">
        <w:rPr>
          <w:noProof/>
        </w:rPr>
        <w:t>4</w:t>
      </w:r>
      <w:r w:rsidRPr="00914552">
        <w:rPr>
          <w:noProof/>
        </w:rPr>
        <w:tab/>
        <w:t>Waste emissions</w:t>
      </w:r>
      <w:r>
        <w:rPr>
          <w:noProof/>
        </w:rPr>
        <w:tab/>
      </w:r>
      <w:r w:rsidR="00DC52E0">
        <w:rPr>
          <w:noProof/>
        </w:rPr>
        <w:fldChar w:fldCharType="begin"/>
      </w:r>
      <w:r>
        <w:rPr>
          <w:noProof/>
        </w:rPr>
        <w:instrText xml:space="preserve"> PAGEREF _Toc391646679 \h </w:instrText>
      </w:r>
      <w:r w:rsidR="00DC52E0">
        <w:rPr>
          <w:noProof/>
        </w:rPr>
      </w:r>
      <w:r w:rsidR="00DC52E0">
        <w:rPr>
          <w:noProof/>
        </w:rPr>
        <w:fldChar w:fldCharType="separate"/>
      </w:r>
      <w:r w:rsidR="004A1330">
        <w:rPr>
          <w:noProof/>
        </w:rPr>
        <w:t>51</w:t>
      </w:r>
      <w:r w:rsidR="00DC52E0">
        <w:rPr>
          <w:noProof/>
        </w:rPr>
        <w:fldChar w:fldCharType="end"/>
      </w:r>
    </w:p>
    <w:p w14:paraId="5FFB3338" w14:textId="4AA5D926" w:rsidR="008B6F3C" w:rsidRDefault="008B6F3C">
      <w:pPr>
        <w:pStyle w:val="TOC1"/>
        <w:rPr>
          <w:rFonts w:asciiTheme="minorHAnsi" w:eastAsiaTheme="minorEastAsia" w:hAnsiTheme="minorHAnsi" w:cstheme="minorBidi"/>
          <w:noProof/>
          <w:sz w:val="22"/>
          <w:szCs w:val="22"/>
          <w:lang w:eastAsia="en-AU"/>
        </w:rPr>
      </w:pPr>
      <w:r w:rsidRPr="00914552">
        <w:rPr>
          <w:noProof/>
        </w:rPr>
        <w:t>5</w:t>
      </w:r>
      <w:r w:rsidRPr="00914552">
        <w:rPr>
          <w:noProof/>
        </w:rPr>
        <w:tab/>
        <w:t>Agriculture</w:t>
      </w:r>
      <w:r>
        <w:rPr>
          <w:noProof/>
        </w:rPr>
        <w:tab/>
      </w:r>
      <w:r w:rsidR="00DC52E0">
        <w:rPr>
          <w:noProof/>
        </w:rPr>
        <w:fldChar w:fldCharType="begin"/>
      </w:r>
      <w:r>
        <w:rPr>
          <w:noProof/>
        </w:rPr>
        <w:instrText xml:space="preserve"> PAGEREF _Toc391646680 \h </w:instrText>
      </w:r>
      <w:r w:rsidR="00DC52E0">
        <w:rPr>
          <w:noProof/>
        </w:rPr>
      </w:r>
      <w:r w:rsidR="00DC52E0">
        <w:rPr>
          <w:noProof/>
        </w:rPr>
        <w:fldChar w:fldCharType="separate"/>
      </w:r>
      <w:r w:rsidR="004A1330">
        <w:rPr>
          <w:noProof/>
        </w:rPr>
        <w:t>56</w:t>
      </w:r>
      <w:r w:rsidR="00DC52E0">
        <w:rPr>
          <w:noProof/>
        </w:rPr>
        <w:fldChar w:fldCharType="end"/>
      </w:r>
    </w:p>
    <w:p w14:paraId="42E8C449" w14:textId="77777777" w:rsidR="008B6F3C" w:rsidRDefault="008B6F3C">
      <w:pPr>
        <w:pStyle w:val="TOC1"/>
        <w:rPr>
          <w:rFonts w:asciiTheme="minorHAnsi" w:eastAsiaTheme="minorEastAsia" w:hAnsiTheme="minorHAnsi" w:cstheme="minorBidi"/>
          <w:noProof/>
          <w:sz w:val="22"/>
          <w:szCs w:val="22"/>
          <w:lang w:eastAsia="en-AU"/>
        </w:rPr>
      </w:pPr>
      <w:r w:rsidRPr="00DD3A89">
        <w:rPr>
          <w:noProof/>
        </w:rPr>
        <w:t>6</w:t>
      </w:r>
      <w:r>
        <w:rPr>
          <w:rFonts w:asciiTheme="minorHAnsi" w:eastAsiaTheme="minorEastAsia" w:hAnsiTheme="minorHAnsi" w:cstheme="minorBidi"/>
          <w:noProof/>
          <w:sz w:val="22"/>
          <w:szCs w:val="22"/>
          <w:lang w:eastAsia="en-AU"/>
        </w:rPr>
        <w:tab/>
      </w:r>
      <w:r w:rsidRPr="00DD3A89">
        <w:rPr>
          <w:noProof/>
        </w:rPr>
        <w:t xml:space="preserve">Land </w:t>
      </w:r>
      <w:r w:rsidR="00D76245">
        <w:rPr>
          <w:noProof/>
        </w:rPr>
        <w:t>u</w:t>
      </w:r>
      <w:r w:rsidRPr="00DD3A89">
        <w:rPr>
          <w:noProof/>
        </w:rPr>
        <w:t xml:space="preserve">se, </w:t>
      </w:r>
      <w:r w:rsidR="00D76245">
        <w:rPr>
          <w:noProof/>
        </w:rPr>
        <w:t>l</w:t>
      </w:r>
      <w:r w:rsidRPr="00DD3A89">
        <w:rPr>
          <w:noProof/>
        </w:rPr>
        <w:t>and-</w:t>
      </w:r>
      <w:r w:rsidR="00D76245">
        <w:rPr>
          <w:noProof/>
        </w:rPr>
        <w:t>u</w:t>
      </w:r>
      <w:r w:rsidRPr="00DD3A89">
        <w:rPr>
          <w:noProof/>
        </w:rPr>
        <w:t xml:space="preserve">se </w:t>
      </w:r>
      <w:r w:rsidR="00D76245">
        <w:rPr>
          <w:noProof/>
        </w:rPr>
        <w:t>c</w:t>
      </w:r>
      <w:r w:rsidRPr="00DD3A89">
        <w:rPr>
          <w:noProof/>
        </w:rPr>
        <w:t xml:space="preserve">hange and </w:t>
      </w:r>
      <w:r w:rsidR="00D76245">
        <w:rPr>
          <w:noProof/>
        </w:rPr>
        <w:t>f</w:t>
      </w:r>
      <w:r w:rsidRPr="00DD3A89">
        <w:rPr>
          <w:noProof/>
        </w:rPr>
        <w:t>orestry</w:t>
      </w:r>
      <w:r>
        <w:rPr>
          <w:noProof/>
        </w:rPr>
        <w:tab/>
      </w:r>
      <w:r w:rsidR="00CD17A1">
        <w:rPr>
          <w:noProof/>
        </w:rPr>
        <w:t>55</w:t>
      </w:r>
    </w:p>
    <w:p w14:paraId="76BEEF4C" w14:textId="354C912B" w:rsidR="008B6F3C" w:rsidRDefault="008B6F3C">
      <w:pPr>
        <w:pStyle w:val="TOC1"/>
        <w:rPr>
          <w:rFonts w:asciiTheme="minorHAnsi" w:eastAsiaTheme="minorEastAsia" w:hAnsiTheme="minorHAnsi" w:cstheme="minorBidi"/>
          <w:noProof/>
          <w:sz w:val="22"/>
          <w:szCs w:val="22"/>
          <w:lang w:eastAsia="en-AU"/>
        </w:rPr>
      </w:pPr>
      <w:r w:rsidRPr="00DD3A89">
        <w:rPr>
          <w:noProof/>
        </w:rPr>
        <w:t xml:space="preserve">Appendix 1   Greenhouse </w:t>
      </w:r>
      <w:r w:rsidR="00D76245">
        <w:rPr>
          <w:noProof/>
        </w:rPr>
        <w:t>g</w:t>
      </w:r>
      <w:r w:rsidRPr="00DD3A89">
        <w:rPr>
          <w:noProof/>
        </w:rPr>
        <w:t xml:space="preserve">as </w:t>
      </w:r>
      <w:r w:rsidR="00D76245">
        <w:rPr>
          <w:noProof/>
        </w:rPr>
        <w:t>g</w:t>
      </w:r>
      <w:r w:rsidRPr="00DD3A89">
        <w:rPr>
          <w:noProof/>
        </w:rPr>
        <w:t xml:space="preserve">lobal </w:t>
      </w:r>
      <w:r w:rsidR="00D76245">
        <w:rPr>
          <w:noProof/>
        </w:rPr>
        <w:t>w</w:t>
      </w:r>
      <w:r w:rsidRPr="00DD3A89">
        <w:rPr>
          <w:noProof/>
        </w:rPr>
        <w:t xml:space="preserve">arming </w:t>
      </w:r>
      <w:r w:rsidR="00D76245">
        <w:rPr>
          <w:noProof/>
        </w:rPr>
        <w:t>p</w:t>
      </w:r>
      <w:r w:rsidRPr="00DD3A89">
        <w:rPr>
          <w:noProof/>
        </w:rPr>
        <w:t>otentials</w:t>
      </w:r>
      <w:r>
        <w:rPr>
          <w:noProof/>
        </w:rPr>
        <w:tab/>
      </w:r>
      <w:r w:rsidR="00DC52E0">
        <w:rPr>
          <w:noProof/>
        </w:rPr>
        <w:fldChar w:fldCharType="begin"/>
      </w:r>
      <w:r>
        <w:rPr>
          <w:noProof/>
        </w:rPr>
        <w:instrText xml:space="preserve"> PAGEREF _Toc391646682 \h </w:instrText>
      </w:r>
      <w:r w:rsidR="00DC52E0">
        <w:rPr>
          <w:noProof/>
        </w:rPr>
      </w:r>
      <w:r w:rsidR="00DC52E0">
        <w:rPr>
          <w:noProof/>
        </w:rPr>
        <w:fldChar w:fldCharType="separate"/>
      </w:r>
      <w:r w:rsidR="004A1330">
        <w:rPr>
          <w:noProof/>
        </w:rPr>
        <w:t>59</w:t>
      </w:r>
      <w:r w:rsidR="00DC52E0">
        <w:rPr>
          <w:noProof/>
        </w:rPr>
        <w:fldChar w:fldCharType="end"/>
      </w:r>
    </w:p>
    <w:p w14:paraId="15EF1B17" w14:textId="10D4CD50" w:rsidR="008B6F3C" w:rsidRDefault="008B6F3C">
      <w:pPr>
        <w:pStyle w:val="TOC1"/>
        <w:rPr>
          <w:rFonts w:asciiTheme="minorHAnsi" w:eastAsiaTheme="minorEastAsia" w:hAnsiTheme="minorHAnsi" w:cstheme="minorBidi"/>
          <w:noProof/>
          <w:sz w:val="22"/>
          <w:szCs w:val="22"/>
          <w:lang w:eastAsia="en-AU"/>
        </w:rPr>
      </w:pPr>
      <w:r w:rsidRPr="00914552">
        <w:rPr>
          <w:noProof/>
        </w:rPr>
        <w:t>Appendix 2</w:t>
      </w:r>
      <w:r w:rsidRPr="00DD3A89">
        <w:rPr>
          <w:rFonts w:ascii="Arial" w:hAnsi="Arial" w:cs="Arial"/>
          <w:noProof/>
        </w:rPr>
        <w:t xml:space="preserve">   </w:t>
      </w:r>
      <w:r w:rsidRPr="00914552">
        <w:rPr>
          <w:noProof/>
        </w:rPr>
        <w:t>Units and conversions</w:t>
      </w:r>
      <w:r>
        <w:rPr>
          <w:noProof/>
        </w:rPr>
        <w:tab/>
      </w:r>
      <w:r w:rsidR="00DC52E0">
        <w:rPr>
          <w:noProof/>
        </w:rPr>
        <w:fldChar w:fldCharType="begin"/>
      </w:r>
      <w:r>
        <w:rPr>
          <w:noProof/>
        </w:rPr>
        <w:instrText xml:space="preserve"> PAGEREF _Toc391646683 \h </w:instrText>
      </w:r>
      <w:r w:rsidR="00DC52E0">
        <w:rPr>
          <w:noProof/>
        </w:rPr>
      </w:r>
      <w:r w:rsidR="00DC52E0">
        <w:rPr>
          <w:noProof/>
        </w:rPr>
        <w:fldChar w:fldCharType="separate"/>
      </w:r>
      <w:r w:rsidR="004A1330">
        <w:rPr>
          <w:noProof/>
        </w:rPr>
        <w:t>61</w:t>
      </w:r>
      <w:r w:rsidR="00DC52E0">
        <w:rPr>
          <w:noProof/>
        </w:rPr>
        <w:fldChar w:fldCharType="end"/>
      </w:r>
    </w:p>
    <w:p w14:paraId="10EF0B2A" w14:textId="37669EB2" w:rsidR="008B6F3C" w:rsidRDefault="008B6F3C">
      <w:pPr>
        <w:pStyle w:val="TOC1"/>
        <w:rPr>
          <w:rFonts w:asciiTheme="minorHAnsi" w:eastAsiaTheme="minorEastAsia" w:hAnsiTheme="minorHAnsi" w:cstheme="minorBidi"/>
          <w:noProof/>
          <w:sz w:val="22"/>
          <w:szCs w:val="22"/>
          <w:lang w:eastAsia="en-AU"/>
        </w:rPr>
      </w:pPr>
      <w:r w:rsidRPr="00DD3A89">
        <w:rPr>
          <w:noProof/>
        </w:rPr>
        <w:t>Appendix 3   Carbon content factors for fuels</w:t>
      </w:r>
      <w:r>
        <w:rPr>
          <w:noProof/>
        </w:rPr>
        <w:tab/>
      </w:r>
      <w:r w:rsidR="00DC52E0">
        <w:rPr>
          <w:noProof/>
        </w:rPr>
        <w:fldChar w:fldCharType="begin"/>
      </w:r>
      <w:r>
        <w:rPr>
          <w:noProof/>
        </w:rPr>
        <w:instrText xml:space="preserve"> PAGEREF _Toc391646684 \h </w:instrText>
      </w:r>
      <w:r w:rsidR="00DC52E0">
        <w:rPr>
          <w:noProof/>
        </w:rPr>
      </w:r>
      <w:r w:rsidR="00DC52E0">
        <w:rPr>
          <w:noProof/>
        </w:rPr>
        <w:fldChar w:fldCharType="separate"/>
      </w:r>
      <w:r w:rsidR="004A1330">
        <w:rPr>
          <w:noProof/>
        </w:rPr>
        <w:t>63</w:t>
      </w:r>
      <w:r w:rsidR="00DC52E0">
        <w:rPr>
          <w:noProof/>
        </w:rPr>
        <w:fldChar w:fldCharType="end"/>
      </w:r>
    </w:p>
    <w:p w14:paraId="3D8BFA83" w14:textId="04E72726" w:rsidR="008B6F3C" w:rsidRDefault="008B6F3C">
      <w:pPr>
        <w:pStyle w:val="TOC1"/>
        <w:rPr>
          <w:rFonts w:asciiTheme="minorHAnsi" w:eastAsiaTheme="minorEastAsia" w:hAnsiTheme="minorHAnsi" w:cstheme="minorBidi"/>
          <w:noProof/>
          <w:sz w:val="22"/>
          <w:szCs w:val="22"/>
          <w:lang w:eastAsia="en-AU"/>
        </w:rPr>
      </w:pPr>
      <w:r w:rsidRPr="00914552">
        <w:rPr>
          <w:noProof/>
        </w:rPr>
        <w:t>Appendix</w:t>
      </w:r>
      <w:r w:rsidRPr="00DD3A89">
        <w:rPr>
          <w:rFonts w:ascii="Arial" w:hAnsi="Arial" w:cs="Arial"/>
          <w:noProof/>
        </w:rPr>
        <w:t xml:space="preserve"> 4   </w:t>
      </w:r>
      <w:r w:rsidRPr="00914552">
        <w:rPr>
          <w:noProof/>
        </w:rPr>
        <w:t>Scope 3 emission factors</w:t>
      </w:r>
      <w:r>
        <w:rPr>
          <w:noProof/>
        </w:rPr>
        <w:tab/>
      </w:r>
      <w:r w:rsidR="00DC52E0">
        <w:rPr>
          <w:noProof/>
        </w:rPr>
        <w:fldChar w:fldCharType="begin"/>
      </w:r>
      <w:r>
        <w:rPr>
          <w:noProof/>
        </w:rPr>
        <w:instrText xml:space="preserve"> PAGEREF _Toc391646685 \h </w:instrText>
      </w:r>
      <w:r w:rsidR="00DC52E0">
        <w:rPr>
          <w:noProof/>
        </w:rPr>
      </w:r>
      <w:r w:rsidR="00DC52E0">
        <w:rPr>
          <w:noProof/>
        </w:rPr>
        <w:fldChar w:fldCharType="separate"/>
      </w:r>
      <w:r w:rsidR="004A1330">
        <w:rPr>
          <w:noProof/>
        </w:rPr>
        <w:t>67</w:t>
      </w:r>
      <w:r w:rsidR="00DC52E0">
        <w:rPr>
          <w:noProof/>
        </w:rPr>
        <w:fldChar w:fldCharType="end"/>
      </w:r>
    </w:p>
    <w:p w14:paraId="3E164C88" w14:textId="2BA2C474" w:rsidR="008B6F3C" w:rsidRDefault="008B6F3C">
      <w:pPr>
        <w:pStyle w:val="TOC1"/>
        <w:rPr>
          <w:rFonts w:asciiTheme="minorHAnsi" w:eastAsiaTheme="minorEastAsia" w:hAnsiTheme="minorHAnsi" w:cstheme="minorBidi"/>
          <w:noProof/>
          <w:sz w:val="22"/>
          <w:szCs w:val="22"/>
          <w:lang w:eastAsia="en-AU"/>
        </w:rPr>
      </w:pPr>
      <w:r w:rsidRPr="00DD3A89">
        <w:rPr>
          <w:noProof/>
        </w:rPr>
        <w:t>Appendix 5   Revisions to factors from previous issue</w:t>
      </w:r>
      <w:r>
        <w:rPr>
          <w:noProof/>
        </w:rPr>
        <w:tab/>
      </w:r>
      <w:r w:rsidR="00DC52E0">
        <w:rPr>
          <w:noProof/>
        </w:rPr>
        <w:fldChar w:fldCharType="begin"/>
      </w:r>
      <w:r>
        <w:rPr>
          <w:noProof/>
        </w:rPr>
        <w:instrText xml:space="preserve"> PAGEREF _Toc391646686 \h </w:instrText>
      </w:r>
      <w:r w:rsidR="00DC52E0">
        <w:rPr>
          <w:noProof/>
        </w:rPr>
      </w:r>
      <w:r w:rsidR="00DC52E0">
        <w:rPr>
          <w:noProof/>
        </w:rPr>
        <w:fldChar w:fldCharType="separate"/>
      </w:r>
      <w:r w:rsidR="004A1330">
        <w:rPr>
          <w:noProof/>
        </w:rPr>
        <w:t>80</w:t>
      </w:r>
      <w:r w:rsidR="00DC52E0">
        <w:rPr>
          <w:noProof/>
        </w:rPr>
        <w:fldChar w:fldCharType="end"/>
      </w:r>
    </w:p>
    <w:p w14:paraId="7882C82E" w14:textId="77777777" w:rsidR="00010E2E" w:rsidRDefault="00DC52E0">
      <w:pPr>
        <w:pStyle w:val="BodyText"/>
        <w:tabs>
          <w:tab w:val="left" w:pos="0"/>
          <w:tab w:val="left" w:pos="2250"/>
        </w:tabs>
        <w:spacing w:before="120" w:after="0" w:line="312" w:lineRule="auto"/>
        <w:rPr>
          <w:rFonts w:ascii="Arial" w:hAnsi="Arial" w:cs="Arial"/>
          <w:b/>
          <w:spacing w:val="-4"/>
          <w:sz w:val="24"/>
          <w:szCs w:val="28"/>
        </w:rPr>
      </w:pPr>
      <w:r w:rsidRPr="00D2201F">
        <w:rPr>
          <w:rFonts w:ascii="Arial" w:hAnsi="Arial" w:cs="Arial"/>
          <w:b/>
          <w:bCs/>
          <w:noProof/>
          <w:szCs w:val="60"/>
        </w:rPr>
        <w:fldChar w:fldCharType="end"/>
      </w:r>
    </w:p>
    <w:p w14:paraId="4C46978D" w14:textId="77777777" w:rsidR="00010E2E" w:rsidRDefault="00010E2E">
      <w:pPr>
        <w:pStyle w:val="BodyText"/>
        <w:tabs>
          <w:tab w:val="left" w:pos="0"/>
          <w:tab w:val="left" w:pos="2250"/>
        </w:tabs>
        <w:spacing w:before="120" w:after="0" w:line="312" w:lineRule="auto"/>
        <w:rPr>
          <w:rFonts w:ascii="Arial" w:hAnsi="Arial" w:cs="Arial"/>
          <w:iCs/>
        </w:rPr>
      </w:pPr>
      <w:r>
        <w:rPr>
          <w:rFonts w:ascii="Arial" w:hAnsi="Arial" w:cs="Arial"/>
          <w:b/>
          <w:spacing w:val="-4"/>
          <w:sz w:val="24"/>
          <w:szCs w:val="28"/>
        </w:rPr>
        <w:br w:type="page"/>
      </w:r>
    </w:p>
    <w:p w14:paraId="4B30EC64" w14:textId="77777777" w:rsidR="00010E2E" w:rsidRPr="00BB121C" w:rsidRDefault="00010E2E">
      <w:pPr>
        <w:pStyle w:val="TableofFigures"/>
        <w:tabs>
          <w:tab w:val="left" w:pos="0"/>
          <w:tab w:val="left" w:pos="2250"/>
        </w:tabs>
        <w:spacing w:before="120" w:line="312" w:lineRule="auto"/>
        <w:ind w:left="426"/>
        <w:rPr>
          <w:rFonts w:ascii="Arial" w:hAnsi="Arial" w:cs="Arial"/>
          <w:iCs/>
          <w:sz w:val="32"/>
          <w:szCs w:val="32"/>
        </w:rPr>
      </w:pPr>
      <w:r>
        <w:rPr>
          <w:rFonts w:ascii="Arial" w:hAnsi="Arial" w:cs="Arial"/>
          <w:iCs/>
          <w:sz w:val="32"/>
          <w:szCs w:val="32"/>
        </w:rPr>
        <w:lastRenderedPageBreak/>
        <w:t xml:space="preserve">List of </w:t>
      </w:r>
      <w:r w:rsidRPr="00BB121C">
        <w:rPr>
          <w:rFonts w:ascii="Arial" w:hAnsi="Arial" w:cs="Arial"/>
          <w:iCs/>
          <w:sz w:val="32"/>
          <w:szCs w:val="32"/>
        </w:rPr>
        <w:t>Tables</w:t>
      </w:r>
    </w:p>
    <w:p w14:paraId="2EE98EF2" w14:textId="77777777" w:rsidR="00010E2E" w:rsidRPr="00BB121C" w:rsidRDefault="00010E2E">
      <w:pPr>
        <w:pStyle w:val="TableofFigures"/>
        <w:tabs>
          <w:tab w:val="clear" w:pos="6480"/>
          <w:tab w:val="left" w:pos="0"/>
          <w:tab w:val="left" w:pos="2250"/>
          <w:tab w:val="right" w:leader="dot" w:pos="8364"/>
        </w:tabs>
        <w:spacing w:before="120" w:line="312" w:lineRule="auto"/>
        <w:ind w:left="0" w:firstLine="0"/>
        <w:rPr>
          <w:rFonts w:ascii="Arial" w:hAnsi="Arial" w:cs="Arial"/>
        </w:rPr>
      </w:pPr>
    </w:p>
    <w:p w14:paraId="34A4BBB5" w14:textId="1C29CEA7" w:rsidR="00C23E3B" w:rsidRDefault="00DC52E0" w:rsidP="00914552">
      <w:pPr>
        <w:pStyle w:val="TableofFigures"/>
        <w:ind w:left="1008"/>
        <w:rPr>
          <w:rFonts w:asciiTheme="minorHAnsi" w:eastAsiaTheme="minorEastAsia" w:hAnsiTheme="minorHAnsi" w:cstheme="minorBidi"/>
          <w:noProof/>
          <w:sz w:val="22"/>
          <w:szCs w:val="22"/>
          <w:lang w:eastAsia="en-AU"/>
        </w:rPr>
      </w:pPr>
      <w:r w:rsidRPr="00BB121C">
        <w:rPr>
          <w:rStyle w:val="Hyperlink"/>
          <w:rFonts w:ascii="Arial" w:hAnsi="Arial"/>
          <w:noProof/>
        </w:rPr>
        <w:fldChar w:fldCharType="begin"/>
      </w:r>
      <w:r w:rsidR="00B80F09" w:rsidRPr="00BB121C">
        <w:rPr>
          <w:rStyle w:val="Hyperlink"/>
          <w:rFonts w:ascii="Arial" w:hAnsi="Arial"/>
          <w:noProof/>
        </w:rPr>
        <w:instrText xml:space="preserve"> TOC \h \z \c "Table" </w:instrText>
      </w:r>
      <w:r w:rsidRPr="00BB121C">
        <w:rPr>
          <w:rStyle w:val="Hyperlink"/>
          <w:rFonts w:ascii="Arial" w:hAnsi="Arial"/>
          <w:noProof/>
        </w:rPr>
        <w:fldChar w:fldCharType="separate"/>
      </w:r>
      <w:hyperlink w:anchor="_Toc485728109" w:history="1">
        <w:r w:rsidR="00C23E3B" w:rsidRPr="00F938B3">
          <w:rPr>
            <w:rStyle w:val="Hyperlink"/>
            <w:noProof/>
          </w:rPr>
          <w:t>Table 1: Fuel combustion emission factors - solid fuels and certain coal based products</w:t>
        </w:r>
        <w:r w:rsidR="00C23E3B">
          <w:rPr>
            <w:noProof/>
            <w:webHidden/>
          </w:rPr>
          <w:tab/>
        </w:r>
        <w:r w:rsidR="00C23E3B">
          <w:rPr>
            <w:noProof/>
            <w:webHidden/>
          </w:rPr>
          <w:fldChar w:fldCharType="begin"/>
        </w:r>
        <w:r w:rsidR="00C23E3B">
          <w:rPr>
            <w:noProof/>
            <w:webHidden/>
          </w:rPr>
          <w:instrText xml:space="preserve"> PAGEREF _Toc485728109 \h </w:instrText>
        </w:r>
        <w:r w:rsidR="00C23E3B">
          <w:rPr>
            <w:noProof/>
            <w:webHidden/>
          </w:rPr>
        </w:r>
        <w:r w:rsidR="00C23E3B">
          <w:rPr>
            <w:noProof/>
            <w:webHidden/>
          </w:rPr>
          <w:fldChar w:fldCharType="separate"/>
        </w:r>
        <w:r w:rsidR="004A1330">
          <w:rPr>
            <w:noProof/>
            <w:webHidden/>
          </w:rPr>
          <w:t>11</w:t>
        </w:r>
        <w:r w:rsidR="00C23E3B">
          <w:rPr>
            <w:noProof/>
            <w:webHidden/>
          </w:rPr>
          <w:fldChar w:fldCharType="end"/>
        </w:r>
      </w:hyperlink>
    </w:p>
    <w:p w14:paraId="2EC1E898" w14:textId="0AE9A25B"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0" w:history="1">
        <w:r w:rsidR="00C23E3B" w:rsidRPr="00F938B3">
          <w:rPr>
            <w:rStyle w:val="Hyperlink"/>
            <w:noProof/>
          </w:rPr>
          <w:t>Table 2: Emission factors for the consumption of natural gas</w:t>
        </w:r>
        <w:r w:rsidR="00C23E3B">
          <w:rPr>
            <w:noProof/>
            <w:webHidden/>
          </w:rPr>
          <w:tab/>
        </w:r>
        <w:r w:rsidR="00C23E3B">
          <w:rPr>
            <w:noProof/>
            <w:webHidden/>
          </w:rPr>
          <w:fldChar w:fldCharType="begin"/>
        </w:r>
        <w:r w:rsidR="00C23E3B">
          <w:rPr>
            <w:noProof/>
            <w:webHidden/>
          </w:rPr>
          <w:instrText xml:space="preserve"> PAGEREF _Toc485728110 \h </w:instrText>
        </w:r>
        <w:r w:rsidR="00C23E3B">
          <w:rPr>
            <w:noProof/>
            <w:webHidden/>
          </w:rPr>
        </w:r>
        <w:r w:rsidR="00C23E3B">
          <w:rPr>
            <w:noProof/>
            <w:webHidden/>
          </w:rPr>
          <w:fldChar w:fldCharType="separate"/>
        </w:r>
        <w:r w:rsidR="004A1330">
          <w:rPr>
            <w:noProof/>
            <w:webHidden/>
          </w:rPr>
          <w:t>13</w:t>
        </w:r>
        <w:r w:rsidR="00C23E3B">
          <w:rPr>
            <w:noProof/>
            <w:webHidden/>
          </w:rPr>
          <w:fldChar w:fldCharType="end"/>
        </w:r>
      </w:hyperlink>
    </w:p>
    <w:p w14:paraId="6004E0E4" w14:textId="40062DB0"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1" w:history="1">
        <w:r w:rsidR="00C23E3B" w:rsidRPr="00F938B3">
          <w:rPr>
            <w:rStyle w:val="Hyperlink"/>
            <w:noProof/>
          </w:rPr>
          <w:t>Table 3:  Fuel combustion emission factors - liquid fuels for stationary energy purposes</w:t>
        </w:r>
        <w:r w:rsidR="00C23E3B">
          <w:rPr>
            <w:noProof/>
            <w:webHidden/>
          </w:rPr>
          <w:tab/>
        </w:r>
        <w:r w:rsidR="00C23E3B">
          <w:rPr>
            <w:noProof/>
            <w:webHidden/>
          </w:rPr>
          <w:fldChar w:fldCharType="begin"/>
        </w:r>
        <w:r w:rsidR="00C23E3B">
          <w:rPr>
            <w:noProof/>
            <w:webHidden/>
          </w:rPr>
          <w:instrText xml:space="preserve"> PAGEREF _Toc485728111 \h </w:instrText>
        </w:r>
        <w:r w:rsidR="00C23E3B">
          <w:rPr>
            <w:noProof/>
            <w:webHidden/>
          </w:rPr>
        </w:r>
        <w:r w:rsidR="00C23E3B">
          <w:rPr>
            <w:noProof/>
            <w:webHidden/>
          </w:rPr>
          <w:fldChar w:fldCharType="separate"/>
        </w:r>
        <w:r w:rsidR="004A1330">
          <w:rPr>
            <w:noProof/>
            <w:webHidden/>
          </w:rPr>
          <w:t>15</w:t>
        </w:r>
        <w:r w:rsidR="00C23E3B">
          <w:rPr>
            <w:noProof/>
            <w:webHidden/>
          </w:rPr>
          <w:fldChar w:fldCharType="end"/>
        </w:r>
      </w:hyperlink>
    </w:p>
    <w:p w14:paraId="36346438" w14:textId="48138E5B"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2" w:history="1">
        <w:r w:rsidR="00C23E3B" w:rsidRPr="00F938B3">
          <w:rPr>
            <w:rStyle w:val="Hyperlink"/>
            <w:noProof/>
          </w:rPr>
          <w:t>Table 4:  Fuel combustion emission factors - fuels used for transport energy purposes</w:t>
        </w:r>
        <w:r w:rsidR="00C23E3B">
          <w:rPr>
            <w:noProof/>
            <w:webHidden/>
          </w:rPr>
          <w:tab/>
        </w:r>
        <w:r w:rsidR="00C23E3B">
          <w:rPr>
            <w:noProof/>
            <w:webHidden/>
          </w:rPr>
          <w:fldChar w:fldCharType="begin"/>
        </w:r>
        <w:r w:rsidR="00C23E3B">
          <w:rPr>
            <w:noProof/>
            <w:webHidden/>
          </w:rPr>
          <w:instrText xml:space="preserve"> PAGEREF _Toc485728112 \h </w:instrText>
        </w:r>
        <w:r w:rsidR="00C23E3B">
          <w:rPr>
            <w:noProof/>
            <w:webHidden/>
          </w:rPr>
        </w:r>
        <w:r w:rsidR="00C23E3B">
          <w:rPr>
            <w:noProof/>
            <w:webHidden/>
          </w:rPr>
          <w:fldChar w:fldCharType="separate"/>
        </w:r>
        <w:r w:rsidR="004A1330">
          <w:rPr>
            <w:noProof/>
            <w:webHidden/>
          </w:rPr>
          <w:t>17</w:t>
        </w:r>
        <w:r w:rsidR="00C23E3B">
          <w:rPr>
            <w:noProof/>
            <w:webHidden/>
          </w:rPr>
          <w:fldChar w:fldCharType="end"/>
        </w:r>
      </w:hyperlink>
    </w:p>
    <w:p w14:paraId="12F58692" w14:textId="31491599" w:rsidR="00C23E3B" w:rsidRPr="004A1330" w:rsidRDefault="00CA4FB8" w:rsidP="004A1330">
      <w:pPr>
        <w:pStyle w:val="TableofFigures"/>
        <w:ind w:left="1008"/>
        <w:rPr>
          <w:rStyle w:val="Hyperlink"/>
        </w:rPr>
      </w:pPr>
      <w:hyperlink w:anchor="_Toc485728113" w:history="1">
        <w:r w:rsidR="00C23E3B" w:rsidRPr="00F938B3">
          <w:rPr>
            <w:rStyle w:val="Hyperlink"/>
            <w:noProof/>
          </w:rPr>
          <w:t>Table 5 : Indirect (scope 2) emission factors for consumption of electricity from the grid</w:t>
        </w:r>
        <w:r w:rsidR="00C23E3B" w:rsidRPr="004A1330">
          <w:rPr>
            <w:rStyle w:val="Hyperlink"/>
            <w:webHidden/>
          </w:rPr>
          <w:tab/>
        </w:r>
        <w:r w:rsidR="00C23E3B" w:rsidRPr="004A1330">
          <w:rPr>
            <w:rStyle w:val="Hyperlink"/>
            <w:webHidden/>
          </w:rPr>
          <w:fldChar w:fldCharType="begin"/>
        </w:r>
        <w:r w:rsidR="00C23E3B" w:rsidRPr="004A1330">
          <w:rPr>
            <w:rStyle w:val="Hyperlink"/>
            <w:webHidden/>
          </w:rPr>
          <w:instrText xml:space="preserve"> PAGEREF _Toc485728113 \h </w:instrText>
        </w:r>
        <w:r w:rsidR="00C23E3B" w:rsidRPr="004A1330">
          <w:rPr>
            <w:rStyle w:val="Hyperlink"/>
            <w:webHidden/>
          </w:rPr>
        </w:r>
        <w:r w:rsidR="00C23E3B" w:rsidRPr="004A1330">
          <w:rPr>
            <w:rStyle w:val="Hyperlink"/>
            <w:webHidden/>
          </w:rPr>
          <w:fldChar w:fldCharType="separate"/>
        </w:r>
        <w:r w:rsidR="004A1330" w:rsidRPr="004A1330">
          <w:rPr>
            <w:rStyle w:val="Hyperlink"/>
            <w:webHidden/>
          </w:rPr>
          <w:t>20</w:t>
        </w:r>
        <w:r w:rsidR="00C23E3B" w:rsidRPr="004A1330">
          <w:rPr>
            <w:rStyle w:val="Hyperlink"/>
            <w:webHidden/>
          </w:rPr>
          <w:fldChar w:fldCharType="end"/>
        </w:r>
      </w:hyperlink>
    </w:p>
    <w:p w14:paraId="70385ACA" w14:textId="5BCE4E92"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4" w:history="1">
        <w:r w:rsidR="00C23E3B" w:rsidRPr="00F938B3">
          <w:rPr>
            <w:rStyle w:val="Hyperlink"/>
            <w:noProof/>
          </w:rPr>
          <w:t>Table 6 : Indirect (scope 2) emissions factors for electricity grids</w:t>
        </w:r>
        <w:r w:rsidR="00C23E3B">
          <w:rPr>
            <w:noProof/>
            <w:webHidden/>
          </w:rPr>
          <w:tab/>
        </w:r>
        <w:r w:rsidR="00C23E3B">
          <w:rPr>
            <w:noProof/>
            <w:webHidden/>
          </w:rPr>
          <w:fldChar w:fldCharType="begin"/>
        </w:r>
        <w:r w:rsidR="00C23E3B">
          <w:rPr>
            <w:noProof/>
            <w:webHidden/>
          </w:rPr>
          <w:instrText xml:space="preserve"> PAGEREF _Toc485728114 \h </w:instrText>
        </w:r>
        <w:r w:rsidR="00C23E3B">
          <w:rPr>
            <w:noProof/>
            <w:webHidden/>
          </w:rPr>
        </w:r>
        <w:r w:rsidR="00C23E3B">
          <w:rPr>
            <w:noProof/>
            <w:webHidden/>
          </w:rPr>
          <w:fldChar w:fldCharType="separate"/>
        </w:r>
        <w:r w:rsidR="004A1330">
          <w:rPr>
            <w:noProof/>
            <w:webHidden/>
          </w:rPr>
          <w:t>21</w:t>
        </w:r>
        <w:r w:rsidR="00C23E3B">
          <w:rPr>
            <w:noProof/>
            <w:webHidden/>
          </w:rPr>
          <w:fldChar w:fldCharType="end"/>
        </w:r>
      </w:hyperlink>
    </w:p>
    <w:p w14:paraId="3CFFE9B9" w14:textId="14A91587"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5" w:history="1">
        <w:r w:rsidR="00C23E3B" w:rsidRPr="00F938B3">
          <w:rPr>
            <w:rStyle w:val="Hyperlink"/>
            <w:noProof/>
          </w:rPr>
          <w:t>Table 7: Post-mining activities—emission factors</w:t>
        </w:r>
        <w:r w:rsidR="00C23E3B">
          <w:rPr>
            <w:noProof/>
            <w:webHidden/>
          </w:rPr>
          <w:tab/>
        </w:r>
        <w:r w:rsidR="00C23E3B">
          <w:rPr>
            <w:noProof/>
            <w:webHidden/>
          </w:rPr>
          <w:fldChar w:fldCharType="begin"/>
        </w:r>
        <w:r w:rsidR="00C23E3B">
          <w:rPr>
            <w:noProof/>
            <w:webHidden/>
          </w:rPr>
          <w:instrText xml:space="preserve"> PAGEREF _Toc485728115 \h </w:instrText>
        </w:r>
        <w:r w:rsidR="00C23E3B">
          <w:rPr>
            <w:noProof/>
            <w:webHidden/>
          </w:rPr>
        </w:r>
        <w:r w:rsidR="00C23E3B">
          <w:rPr>
            <w:noProof/>
            <w:webHidden/>
          </w:rPr>
          <w:fldChar w:fldCharType="separate"/>
        </w:r>
        <w:r w:rsidR="004A1330">
          <w:rPr>
            <w:noProof/>
            <w:webHidden/>
          </w:rPr>
          <w:t>22</w:t>
        </w:r>
        <w:r w:rsidR="00C23E3B">
          <w:rPr>
            <w:noProof/>
            <w:webHidden/>
          </w:rPr>
          <w:fldChar w:fldCharType="end"/>
        </w:r>
      </w:hyperlink>
    </w:p>
    <w:p w14:paraId="40B63F3D" w14:textId="35AB9165"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6" w:history="1">
        <w:r w:rsidR="00C23E3B" w:rsidRPr="00F938B3">
          <w:rPr>
            <w:rStyle w:val="Hyperlink"/>
            <w:noProof/>
          </w:rPr>
          <w:t>Table 8:  Emission factors for the production of coal (fugitive) - Open cut</w:t>
        </w:r>
        <w:r w:rsidR="00C23E3B">
          <w:rPr>
            <w:noProof/>
            <w:webHidden/>
          </w:rPr>
          <w:tab/>
        </w:r>
        <w:r w:rsidR="00C23E3B">
          <w:rPr>
            <w:noProof/>
            <w:webHidden/>
          </w:rPr>
          <w:fldChar w:fldCharType="begin"/>
        </w:r>
        <w:r w:rsidR="00C23E3B">
          <w:rPr>
            <w:noProof/>
            <w:webHidden/>
          </w:rPr>
          <w:instrText xml:space="preserve"> PAGEREF _Toc485728116 \h </w:instrText>
        </w:r>
        <w:r w:rsidR="00C23E3B">
          <w:rPr>
            <w:noProof/>
            <w:webHidden/>
          </w:rPr>
        </w:r>
        <w:r w:rsidR="00C23E3B">
          <w:rPr>
            <w:noProof/>
            <w:webHidden/>
          </w:rPr>
          <w:fldChar w:fldCharType="separate"/>
        </w:r>
        <w:r w:rsidR="004A1330">
          <w:rPr>
            <w:noProof/>
            <w:webHidden/>
          </w:rPr>
          <w:t>22</w:t>
        </w:r>
        <w:r w:rsidR="00C23E3B">
          <w:rPr>
            <w:noProof/>
            <w:webHidden/>
          </w:rPr>
          <w:fldChar w:fldCharType="end"/>
        </w:r>
      </w:hyperlink>
    </w:p>
    <w:p w14:paraId="2AA4E99E" w14:textId="11F58FC2"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7" w:history="1">
        <w:r w:rsidR="00C23E3B" w:rsidRPr="00F938B3">
          <w:rPr>
            <w:rStyle w:val="Hyperlink"/>
            <w:noProof/>
          </w:rPr>
          <w:t>Table 9: Oil and gas exploration-flared emission factors</w:t>
        </w:r>
        <w:r w:rsidR="00C23E3B">
          <w:rPr>
            <w:noProof/>
            <w:webHidden/>
          </w:rPr>
          <w:tab/>
        </w:r>
        <w:r w:rsidR="00C23E3B">
          <w:rPr>
            <w:noProof/>
            <w:webHidden/>
          </w:rPr>
          <w:fldChar w:fldCharType="begin"/>
        </w:r>
        <w:r w:rsidR="00C23E3B">
          <w:rPr>
            <w:noProof/>
            <w:webHidden/>
          </w:rPr>
          <w:instrText xml:space="preserve"> PAGEREF _Toc485728117 \h </w:instrText>
        </w:r>
        <w:r w:rsidR="00C23E3B">
          <w:rPr>
            <w:noProof/>
            <w:webHidden/>
          </w:rPr>
        </w:r>
        <w:r w:rsidR="00C23E3B">
          <w:rPr>
            <w:noProof/>
            <w:webHidden/>
          </w:rPr>
          <w:fldChar w:fldCharType="separate"/>
        </w:r>
        <w:r w:rsidR="004A1330">
          <w:rPr>
            <w:noProof/>
            <w:webHidden/>
          </w:rPr>
          <w:t>24</w:t>
        </w:r>
        <w:r w:rsidR="00C23E3B">
          <w:rPr>
            <w:noProof/>
            <w:webHidden/>
          </w:rPr>
          <w:fldChar w:fldCharType="end"/>
        </w:r>
      </w:hyperlink>
    </w:p>
    <w:p w14:paraId="13A31FCD" w14:textId="1498C492"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8" w:history="1">
        <w:r w:rsidR="00C23E3B" w:rsidRPr="00F938B3">
          <w:rPr>
            <w:rStyle w:val="Hyperlink"/>
            <w:noProof/>
          </w:rPr>
          <w:t>Table 10: Oil production (other than venting and flaring) emission factors</w:t>
        </w:r>
        <w:r w:rsidR="00C23E3B">
          <w:rPr>
            <w:noProof/>
            <w:webHidden/>
          </w:rPr>
          <w:tab/>
        </w:r>
        <w:r w:rsidR="00C23E3B">
          <w:rPr>
            <w:noProof/>
            <w:webHidden/>
          </w:rPr>
          <w:fldChar w:fldCharType="begin"/>
        </w:r>
        <w:r w:rsidR="00C23E3B">
          <w:rPr>
            <w:noProof/>
            <w:webHidden/>
          </w:rPr>
          <w:instrText xml:space="preserve"> PAGEREF _Toc485728118 \h </w:instrText>
        </w:r>
        <w:r w:rsidR="00C23E3B">
          <w:rPr>
            <w:noProof/>
            <w:webHidden/>
          </w:rPr>
        </w:r>
        <w:r w:rsidR="00C23E3B">
          <w:rPr>
            <w:noProof/>
            <w:webHidden/>
          </w:rPr>
          <w:fldChar w:fldCharType="separate"/>
        </w:r>
        <w:r w:rsidR="004A1330">
          <w:rPr>
            <w:noProof/>
            <w:webHidden/>
          </w:rPr>
          <w:t>25</w:t>
        </w:r>
        <w:r w:rsidR="00C23E3B">
          <w:rPr>
            <w:noProof/>
            <w:webHidden/>
          </w:rPr>
          <w:fldChar w:fldCharType="end"/>
        </w:r>
      </w:hyperlink>
    </w:p>
    <w:p w14:paraId="7407C74C" w14:textId="43B9C644"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19" w:history="1">
        <w:r w:rsidR="00C23E3B" w:rsidRPr="00F938B3">
          <w:rPr>
            <w:rStyle w:val="Hyperlink"/>
            <w:noProof/>
          </w:rPr>
          <w:t>Table 11: Crude oil production (flared emissions) emission factors</w:t>
        </w:r>
        <w:r w:rsidR="00C23E3B">
          <w:rPr>
            <w:noProof/>
            <w:webHidden/>
          </w:rPr>
          <w:tab/>
        </w:r>
        <w:r w:rsidR="00C23E3B">
          <w:rPr>
            <w:noProof/>
            <w:webHidden/>
          </w:rPr>
          <w:fldChar w:fldCharType="begin"/>
        </w:r>
        <w:r w:rsidR="00C23E3B">
          <w:rPr>
            <w:noProof/>
            <w:webHidden/>
          </w:rPr>
          <w:instrText xml:space="preserve"> PAGEREF _Toc485728119 \h </w:instrText>
        </w:r>
        <w:r w:rsidR="00C23E3B">
          <w:rPr>
            <w:noProof/>
            <w:webHidden/>
          </w:rPr>
        </w:r>
        <w:r w:rsidR="00C23E3B">
          <w:rPr>
            <w:noProof/>
            <w:webHidden/>
          </w:rPr>
          <w:fldChar w:fldCharType="separate"/>
        </w:r>
        <w:r w:rsidR="004A1330">
          <w:rPr>
            <w:noProof/>
            <w:webHidden/>
          </w:rPr>
          <w:t>26</w:t>
        </w:r>
        <w:r w:rsidR="00C23E3B">
          <w:rPr>
            <w:noProof/>
            <w:webHidden/>
          </w:rPr>
          <w:fldChar w:fldCharType="end"/>
        </w:r>
      </w:hyperlink>
    </w:p>
    <w:p w14:paraId="6975A7EB" w14:textId="48F80581"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0" w:history="1">
        <w:r w:rsidR="00C23E3B" w:rsidRPr="00F938B3">
          <w:rPr>
            <w:rStyle w:val="Hyperlink"/>
            <w:noProof/>
          </w:rPr>
          <w:t>Table 12: Oil transport emission factors</w:t>
        </w:r>
        <w:r w:rsidR="00C23E3B">
          <w:rPr>
            <w:noProof/>
            <w:webHidden/>
          </w:rPr>
          <w:tab/>
        </w:r>
        <w:r w:rsidR="00C23E3B">
          <w:rPr>
            <w:noProof/>
            <w:webHidden/>
          </w:rPr>
          <w:fldChar w:fldCharType="begin"/>
        </w:r>
        <w:r w:rsidR="00C23E3B">
          <w:rPr>
            <w:noProof/>
            <w:webHidden/>
          </w:rPr>
          <w:instrText xml:space="preserve"> PAGEREF _Toc485728120 \h </w:instrText>
        </w:r>
        <w:r w:rsidR="00C23E3B">
          <w:rPr>
            <w:noProof/>
            <w:webHidden/>
          </w:rPr>
        </w:r>
        <w:r w:rsidR="00C23E3B">
          <w:rPr>
            <w:noProof/>
            <w:webHidden/>
          </w:rPr>
          <w:fldChar w:fldCharType="separate"/>
        </w:r>
        <w:r w:rsidR="004A1330">
          <w:rPr>
            <w:noProof/>
            <w:webHidden/>
          </w:rPr>
          <w:t>28</w:t>
        </w:r>
        <w:r w:rsidR="00C23E3B">
          <w:rPr>
            <w:noProof/>
            <w:webHidden/>
          </w:rPr>
          <w:fldChar w:fldCharType="end"/>
        </w:r>
      </w:hyperlink>
    </w:p>
    <w:p w14:paraId="61B7BF35" w14:textId="6DF807CB"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1" w:history="1">
        <w:r w:rsidR="00C23E3B" w:rsidRPr="00F938B3">
          <w:rPr>
            <w:rStyle w:val="Hyperlink"/>
            <w:noProof/>
          </w:rPr>
          <w:t>Table 13: Oil refining and storage emission factors</w:t>
        </w:r>
        <w:r w:rsidR="00C23E3B">
          <w:rPr>
            <w:noProof/>
            <w:webHidden/>
          </w:rPr>
          <w:tab/>
        </w:r>
        <w:r w:rsidR="00C23E3B">
          <w:rPr>
            <w:noProof/>
            <w:webHidden/>
          </w:rPr>
          <w:fldChar w:fldCharType="begin"/>
        </w:r>
        <w:r w:rsidR="00C23E3B">
          <w:rPr>
            <w:noProof/>
            <w:webHidden/>
          </w:rPr>
          <w:instrText xml:space="preserve"> PAGEREF _Toc485728121 \h </w:instrText>
        </w:r>
        <w:r w:rsidR="00C23E3B">
          <w:rPr>
            <w:noProof/>
            <w:webHidden/>
          </w:rPr>
        </w:r>
        <w:r w:rsidR="00C23E3B">
          <w:rPr>
            <w:noProof/>
            <w:webHidden/>
          </w:rPr>
          <w:fldChar w:fldCharType="separate"/>
        </w:r>
        <w:r w:rsidR="004A1330">
          <w:rPr>
            <w:noProof/>
            <w:webHidden/>
          </w:rPr>
          <w:t>29</w:t>
        </w:r>
        <w:r w:rsidR="00C23E3B">
          <w:rPr>
            <w:noProof/>
            <w:webHidden/>
          </w:rPr>
          <w:fldChar w:fldCharType="end"/>
        </w:r>
      </w:hyperlink>
    </w:p>
    <w:p w14:paraId="612F301D" w14:textId="5F4FE018"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2" w:history="1">
        <w:r w:rsidR="00C23E3B" w:rsidRPr="00F938B3">
          <w:rPr>
            <w:rStyle w:val="Hyperlink"/>
            <w:noProof/>
          </w:rPr>
          <w:t>Table 14: Refinery gas flaring emission factors</w:t>
        </w:r>
        <w:r w:rsidR="00C23E3B">
          <w:rPr>
            <w:noProof/>
            <w:webHidden/>
          </w:rPr>
          <w:tab/>
        </w:r>
        <w:r w:rsidR="00C23E3B">
          <w:rPr>
            <w:noProof/>
            <w:webHidden/>
          </w:rPr>
          <w:fldChar w:fldCharType="begin"/>
        </w:r>
        <w:r w:rsidR="00C23E3B">
          <w:rPr>
            <w:noProof/>
            <w:webHidden/>
          </w:rPr>
          <w:instrText xml:space="preserve"> PAGEREF _Toc485728122 \h </w:instrText>
        </w:r>
        <w:r w:rsidR="00C23E3B">
          <w:rPr>
            <w:noProof/>
            <w:webHidden/>
          </w:rPr>
        </w:r>
        <w:r w:rsidR="00C23E3B">
          <w:rPr>
            <w:noProof/>
            <w:webHidden/>
          </w:rPr>
          <w:fldChar w:fldCharType="separate"/>
        </w:r>
        <w:r w:rsidR="004A1330">
          <w:rPr>
            <w:noProof/>
            <w:webHidden/>
          </w:rPr>
          <w:t>30</w:t>
        </w:r>
        <w:r w:rsidR="00C23E3B">
          <w:rPr>
            <w:noProof/>
            <w:webHidden/>
          </w:rPr>
          <w:fldChar w:fldCharType="end"/>
        </w:r>
      </w:hyperlink>
    </w:p>
    <w:p w14:paraId="6A55BCE6" w14:textId="1654E18C"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3" w:history="1">
        <w:r w:rsidR="00C23E3B" w:rsidRPr="00F938B3">
          <w:rPr>
            <w:rStyle w:val="Hyperlink"/>
            <w:noProof/>
          </w:rPr>
          <w:t>Table 15: Natural gas production and processing  flared) emission factors</w:t>
        </w:r>
        <w:r w:rsidR="00C23E3B">
          <w:rPr>
            <w:noProof/>
            <w:webHidden/>
          </w:rPr>
          <w:tab/>
        </w:r>
        <w:r w:rsidR="00C23E3B">
          <w:rPr>
            <w:noProof/>
            <w:webHidden/>
          </w:rPr>
          <w:fldChar w:fldCharType="begin"/>
        </w:r>
        <w:r w:rsidR="00C23E3B">
          <w:rPr>
            <w:noProof/>
            <w:webHidden/>
          </w:rPr>
          <w:instrText xml:space="preserve"> PAGEREF _Toc485728123 \h </w:instrText>
        </w:r>
        <w:r w:rsidR="00C23E3B">
          <w:rPr>
            <w:noProof/>
            <w:webHidden/>
          </w:rPr>
        </w:r>
        <w:r w:rsidR="00C23E3B">
          <w:rPr>
            <w:noProof/>
            <w:webHidden/>
          </w:rPr>
          <w:fldChar w:fldCharType="separate"/>
        </w:r>
        <w:r w:rsidR="004A1330">
          <w:rPr>
            <w:noProof/>
            <w:webHidden/>
          </w:rPr>
          <w:t>31</w:t>
        </w:r>
        <w:r w:rsidR="00C23E3B">
          <w:rPr>
            <w:noProof/>
            <w:webHidden/>
          </w:rPr>
          <w:fldChar w:fldCharType="end"/>
        </w:r>
      </w:hyperlink>
    </w:p>
    <w:p w14:paraId="763CA0C3" w14:textId="515D6FC1"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4" w:history="1">
        <w:r w:rsidR="00C23E3B" w:rsidRPr="00F938B3">
          <w:rPr>
            <w:rStyle w:val="Hyperlink"/>
            <w:noProof/>
          </w:rPr>
          <w:t>Table 16: Natural gas transmission emission factors</w:t>
        </w:r>
        <w:r w:rsidR="00C23E3B">
          <w:rPr>
            <w:noProof/>
            <w:webHidden/>
          </w:rPr>
          <w:tab/>
        </w:r>
        <w:r w:rsidR="00C23E3B">
          <w:rPr>
            <w:noProof/>
            <w:webHidden/>
          </w:rPr>
          <w:fldChar w:fldCharType="begin"/>
        </w:r>
        <w:r w:rsidR="00C23E3B">
          <w:rPr>
            <w:noProof/>
            <w:webHidden/>
          </w:rPr>
          <w:instrText xml:space="preserve"> PAGEREF _Toc485728124 \h </w:instrText>
        </w:r>
        <w:r w:rsidR="00C23E3B">
          <w:rPr>
            <w:noProof/>
            <w:webHidden/>
          </w:rPr>
        </w:r>
        <w:r w:rsidR="00C23E3B">
          <w:rPr>
            <w:noProof/>
            <w:webHidden/>
          </w:rPr>
          <w:fldChar w:fldCharType="separate"/>
        </w:r>
        <w:r w:rsidR="004A1330">
          <w:rPr>
            <w:noProof/>
            <w:webHidden/>
          </w:rPr>
          <w:t>31</w:t>
        </w:r>
        <w:r w:rsidR="00C23E3B">
          <w:rPr>
            <w:noProof/>
            <w:webHidden/>
          </w:rPr>
          <w:fldChar w:fldCharType="end"/>
        </w:r>
      </w:hyperlink>
    </w:p>
    <w:p w14:paraId="0EF0578C" w14:textId="08952C4A"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5" w:history="1">
        <w:r w:rsidR="00C23E3B" w:rsidRPr="00F938B3">
          <w:rPr>
            <w:rStyle w:val="Hyperlink"/>
            <w:noProof/>
          </w:rPr>
          <w:t>Table 17: Natural gas leakage factors</w:t>
        </w:r>
        <w:r w:rsidR="00C23E3B">
          <w:rPr>
            <w:noProof/>
            <w:webHidden/>
          </w:rPr>
          <w:tab/>
        </w:r>
        <w:r w:rsidR="00C23E3B">
          <w:rPr>
            <w:noProof/>
            <w:webHidden/>
          </w:rPr>
          <w:fldChar w:fldCharType="begin"/>
        </w:r>
        <w:r w:rsidR="00C23E3B">
          <w:rPr>
            <w:noProof/>
            <w:webHidden/>
          </w:rPr>
          <w:instrText xml:space="preserve"> PAGEREF _Toc485728125 \h </w:instrText>
        </w:r>
        <w:r w:rsidR="00C23E3B">
          <w:rPr>
            <w:noProof/>
            <w:webHidden/>
          </w:rPr>
        </w:r>
        <w:r w:rsidR="00C23E3B">
          <w:rPr>
            <w:noProof/>
            <w:webHidden/>
          </w:rPr>
          <w:fldChar w:fldCharType="separate"/>
        </w:r>
        <w:r w:rsidR="004A1330">
          <w:rPr>
            <w:noProof/>
            <w:webHidden/>
          </w:rPr>
          <w:t>32</w:t>
        </w:r>
        <w:r w:rsidR="00C23E3B">
          <w:rPr>
            <w:noProof/>
            <w:webHidden/>
          </w:rPr>
          <w:fldChar w:fldCharType="end"/>
        </w:r>
      </w:hyperlink>
    </w:p>
    <w:p w14:paraId="355B4F55" w14:textId="5DD0B8F2"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6" w:history="1">
        <w:r w:rsidR="00C23E3B" w:rsidRPr="00F938B3">
          <w:rPr>
            <w:rStyle w:val="Hyperlink"/>
            <w:noProof/>
          </w:rPr>
          <w:t>Table 18: Flaring emission factors</w:t>
        </w:r>
        <w:r w:rsidR="00C23E3B">
          <w:rPr>
            <w:noProof/>
            <w:webHidden/>
          </w:rPr>
          <w:tab/>
        </w:r>
        <w:r w:rsidR="00C23E3B">
          <w:rPr>
            <w:noProof/>
            <w:webHidden/>
          </w:rPr>
          <w:fldChar w:fldCharType="begin"/>
        </w:r>
        <w:r w:rsidR="00C23E3B">
          <w:rPr>
            <w:noProof/>
            <w:webHidden/>
          </w:rPr>
          <w:instrText xml:space="preserve"> PAGEREF _Toc485728126 \h </w:instrText>
        </w:r>
        <w:r w:rsidR="00C23E3B">
          <w:rPr>
            <w:noProof/>
            <w:webHidden/>
          </w:rPr>
        </w:r>
        <w:r w:rsidR="00C23E3B">
          <w:rPr>
            <w:noProof/>
            <w:webHidden/>
          </w:rPr>
          <w:fldChar w:fldCharType="separate"/>
        </w:r>
        <w:r w:rsidR="004A1330">
          <w:rPr>
            <w:noProof/>
            <w:webHidden/>
          </w:rPr>
          <w:t>34</w:t>
        </w:r>
        <w:r w:rsidR="00C23E3B">
          <w:rPr>
            <w:noProof/>
            <w:webHidden/>
          </w:rPr>
          <w:fldChar w:fldCharType="end"/>
        </w:r>
      </w:hyperlink>
    </w:p>
    <w:p w14:paraId="0AFF2F92" w14:textId="2B54003F"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7" w:history="1">
        <w:r w:rsidR="00C23E3B" w:rsidRPr="00F938B3">
          <w:rPr>
            <w:rStyle w:val="Hyperlink"/>
            <w:noProof/>
          </w:rPr>
          <w:t>Table 19: Clinker production emission factors</w:t>
        </w:r>
        <w:r w:rsidR="00C23E3B">
          <w:rPr>
            <w:noProof/>
            <w:webHidden/>
          </w:rPr>
          <w:tab/>
        </w:r>
        <w:r w:rsidR="00C23E3B">
          <w:rPr>
            <w:noProof/>
            <w:webHidden/>
          </w:rPr>
          <w:fldChar w:fldCharType="begin"/>
        </w:r>
        <w:r w:rsidR="00C23E3B">
          <w:rPr>
            <w:noProof/>
            <w:webHidden/>
          </w:rPr>
          <w:instrText xml:space="preserve"> PAGEREF _Toc485728127 \h </w:instrText>
        </w:r>
        <w:r w:rsidR="00C23E3B">
          <w:rPr>
            <w:noProof/>
            <w:webHidden/>
          </w:rPr>
        </w:r>
        <w:r w:rsidR="00C23E3B">
          <w:rPr>
            <w:noProof/>
            <w:webHidden/>
          </w:rPr>
          <w:fldChar w:fldCharType="separate"/>
        </w:r>
        <w:r w:rsidR="004A1330">
          <w:rPr>
            <w:noProof/>
            <w:webHidden/>
          </w:rPr>
          <w:t>34</w:t>
        </w:r>
        <w:r w:rsidR="00C23E3B">
          <w:rPr>
            <w:noProof/>
            <w:webHidden/>
          </w:rPr>
          <w:fldChar w:fldCharType="end"/>
        </w:r>
      </w:hyperlink>
    </w:p>
    <w:p w14:paraId="7AD0B6A6" w14:textId="509A2CAE"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8" w:history="1">
        <w:r w:rsidR="00C23E3B" w:rsidRPr="00F938B3">
          <w:rPr>
            <w:rStyle w:val="Hyperlink"/>
            <w:noProof/>
          </w:rPr>
          <w:t>Table 20: Lime production emission factors</w:t>
        </w:r>
        <w:r w:rsidR="00C23E3B">
          <w:rPr>
            <w:noProof/>
            <w:webHidden/>
          </w:rPr>
          <w:tab/>
        </w:r>
        <w:r w:rsidR="00C23E3B">
          <w:rPr>
            <w:noProof/>
            <w:webHidden/>
          </w:rPr>
          <w:fldChar w:fldCharType="begin"/>
        </w:r>
        <w:r w:rsidR="00C23E3B">
          <w:rPr>
            <w:noProof/>
            <w:webHidden/>
          </w:rPr>
          <w:instrText xml:space="preserve"> PAGEREF _Toc485728128 \h </w:instrText>
        </w:r>
        <w:r w:rsidR="00C23E3B">
          <w:rPr>
            <w:noProof/>
            <w:webHidden/>
          </w:rPr>
        </w:r>
        <w:r w:rsidR="00C23E3B">
          <w:rPr>
            <w:noProof/>
            <w:webHidden/>
          </w:rPr>
          <w:fldChar w:fldCharType="separate"/>
        </w:r>
        <w:r w:rsidR="004A1330">
          <w:rPr>
            <w:noProof/>
            <w:webHidden/>
          </w:rPr>
          <w:t>35</w:t>
        </w:r>
        <w:r w:rsidR="00C23E3B">
          <w:rPr>
            <w:noProof/>
            <w:webHidden/>
          </w:rPr>
          <w:fldChar w:fldCharType="end"/>
        </w:r>
      </w:hyperlink>
    </w:p>
    <w:p w14:paraId="33FBEA81" w14:textId="45B0E71A"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29" w:history="1">
        <w:r w:rsidR="00C23E3B" w:rsidRPr="00F938B3">
          <w:rPr>
            <w:rStyle w:val="Hyperlink"/>
            <w:noProof/>
          </w:rPr>
          <w:t>Table 21: Calcination of carbonates emission factors</w:t>
        </w:r>
        <w:r w:rsidR="00C23E3B">
          <w:rPr>
            <w:noProof/>
            <w:webHidden/>
          </w:rPr>
          <w:tab/>
        </w:r>
        <w:r w:rsidR="00C23E3B">
          <w:rPr>
            <w:noProof/>
            <w:webHidden/>
          </w:rPr>
          <w:fldChar w:fldCharType="begin"/>
        </w:r>
        <w:r w:rsidR="00C23E3B">
          <w:rPr>
            <w:noProof/>
            <w:webHidden/>
          </w:rPr>
          <w:instrText xml:space="preserve"> PAGEREF _Toc485728129 \h </w:instrText>
        </w:r>
        <w:r w:rsidR="00C23E3B">
          <w:rPr>
            <w:noProof/>
            <w:webHidden/>
          </w:rPr>
        </w:r>
        <w:r w:rsidR="00C23E3B">
          <w:rPr>
            <w:noProof/>
            <w:webHidden/>
          </w:rPr>
          <w:fldChar w:fldCharType="separate"/>
        </w:r>
        <w:r w:rsidR="004A1330">
          <w:rPr>
            <w:noProof/>
            <w:webHidden/>
          </w:rPr>
          <w:t>36</w:t>
        </w:r>
        <w:r w:rsidR="00C23E3B">
          <w:rPr>
            <w:noProof/>
            <w:webHidden/>
          </w:rPr>
          <w:fldChar w:fldCharType="end"/>
        </w:r>
      </w:hyperlink>
    </w:p>
    <w:p w14:paraId="6260156D" w14:textId="2E9EACC2"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0" w:history="1">
        <w:r w:rsidR="00C23E3B" w:rsidRPr="00F938B3">
          <w:rPr>
            <w:rStyle w:val="Hyperlink"/>
            <w:noProof/>
          </w:rPr>
          <w:t>Table 22: Soda ash consumption emission factor</w:t>
        </w:r>
        <w:r w:rsidR="00C23E3B">
          <w:rPr>
            <w:noProof/>
            <w:webHidden/>
          </w:rPr>
          <w:tab/>
        </w:r>
        <w:r w:rsidR="00C23E3B">
          <w:rPr>
            <w:noProof/>
            <w:webHidden/>
          </w:rPr>
          <w:fldChar w:fldCharType="begin"/>
        </w:r>
        <w:r w:rsidR="00C23E3B">
          <w:rPr>
            <w:noProof/>
            <w:webHidden/>
          </w:rPr>
          <w:instrText xml:space="preserve"> PAGEREF _Toc485728130 \h </w:instrText>
        </w:r>
        <w:r w:rsidR="00C23E3B">
          <w:rPr>
            <w:noProof/>
            <w:webHidden/>
          </w:rPr>
        </w:r>
        <w:r w:rsidR="00C23E3B">
          <w:rPr>
            <w:noProof/>
            <w:webHidden/>
          </w:rPr>
          <w:fldChar w:fldCharType="separate"/>
        </w:r>
        <w:r w:rsidR="004A1330">
          <w:rPr>
            <w:noProof/>
            <w:webHidden/>
          </w:rPr>
          <w:t>37</w:t>
        </w:r>
        <w:r w:rsidR="00C23E3B">
          <w:rPr>
            <w:noProof/>
            <w:webHidden/>
          </w:rPr>
          <w:fldChar w:fldCharType="end"/>
        </w:r>
      </w:hyperlink>
    </w:p>
    <w:p w14:paraId="1B22EA24" w14:textId="18565FED"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1" w:history="1">
        <w:r w:rsidR="00C23E3B" w:rsidRPr="00F938B3">
          <w:rPr>
            <w:rStyle w:val="Hyperlink"/>
            <w:noProof/>
          </w:rPr>
          <w:t>Table 23: Nitric acid production emission factors</w:t>
        </w:r>
        <w:r w:rsidR="00C23E3B">
          <w:rPr>
            <w:noProof/>
            <w:webHidden/>
          </w:rPr>
          <w:tab/>
        </w:r>
        <w:r w:rsidR="00C23E3B">
          <w:rPr>
            <w:noProof/>
            <w:webHidden/>
          </w:rPr>
          <w:fldChar w:fldCharType="begin"/>
        </w:r>
        <w:r w:rsidR="00C23E3B">
          <w:rPr>
            <w:noProof/>
            <w:webHidden/>
          </w:rPr>
          <w:instrText xml:space="preserve"> PAGEREF _Toc485728131 \h </w:instrText>
        </w:r>
        <w:r w:rsidR="00C23E3B">
          <w:rPr>
            <w:noProof/>
            <w:webHidden/>
          </w:rPr>
        </w:r>
        <w:r w:rsidR="00C23E3B">
          <w:rPr>
            <w:noProof/>
            <w:webHidden/>
          </w:rPr>
          <w:fldChar w:fldCharType="separate"/>
        </w:r>
        <w:r w:rsidR="004A1330">
          <w:rPr>
            <w:noProof/>
            <w:webHidden/>
          </w:rPr>
          <w:t>40</w:t>
        </w:r>
        <w:r w:rsidR="00C23E3B">
          <w:rPr>
            <w:noProof/>
            <w:webHidden/>
          </w:rPr>
          <w:fldChar w:fldCharType="end"/>
        </w:r>
      </w:hyperlink>
    </w:p>
    <w:p w14:paraId="257D1E01" w14:textId="44AACB95"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2" w:history="1">
        <w:r w:rsidR="00C23E3B" w:rsidRPr="00F938B3">
          <w:rPr>
            <w:rStyle w:val="Hyperlink"/>
            <w:noProof/>
          </w:rPr>
          <w:t>Table 24: Aluminium perfluoronated carbon compound emission factors</w:t>
        </w:r>
        <w:r w:rsidR="00C23E3B">
          <w:rPr>
            <w:noProof/>
            <w:webHidden/>
          </w:rPr>
          <w:tab/>
        </w:r>
        <w:r w:rsidR="00C23E3B">
          <w:rPr>
            <w:noProof/>
            <w:webHidden/>
          </w:rPr>
          <w:fldChar w:fldCharType="begin"/>
        </w:r>
        <w:r w:rsidR="00C23E3B">
          <w:rPr>
            <w:noProof/>
            <w:webHidden/>
          </w:rPr>
          <w:instrText xml:space="preserve"> PAGEREF _Toc485728132 \h </w:instrText>
        </w:r>
        <w:r w:rsidR="00C23E3B">
          <w:rPr>
            <w:noProof/>
            <w:webHidden/>
          </w:rPr>
        </w:r>
        <w:r w:rsidR="00C23E3B">
          <w:rPr>
            <w:noProof/>
            <w:webHidden/>
          </w:rPr>
          <w:fldChar w:fldCharType="separate"/>
        </w:r>
        <w:r w:rsidR="004A1330">
          <w:rPr>
            <w:noProof/>
            <w:webHidden/>
          </w:rPr>
          <w:t>49</w:t>
        </w:r>
        <w:r w:rsidR="00C23E3B">
          <w:rPr>
            <w:noProof/>
            <w:webHidden/>
          </w:rPr>
          <w:fldChar w:fldCharType="end"/>
        </w:r>
      </w:hyperlink>
    </w:p>
    <w:p w14:paraId="4BF4C54F" w14:textId="6750EDB7"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3" w:history="1">
        <w:r w:rsidR="00C23E3B" w:rsidRPr="00F938B3">
          <w:rPr>
            <w:rStyle w:val="Hyperlink"/>
            <w:noProof/>
          </w:rPr>
          <w:t>Table 25: Leakage rates for synthetic gases</w:t>
        </w:r>
        <w:r w:rsidR="00C23E3B">
          <w:rPr>
            <w:noProof/>
            <w:webHidden/>
          </w:rPr>
          <w:tab/>
        </w:r>
        <w:r w:rsidR="00C23E3B">
          <w:rPr>
            <w:noProof/>
            <w:webHidden/>
          </w:rPr>
          <w:fldChar w:fldCharType="begin"/>
        </w:r>
        <w:r w:rsidR="00C23E3B">
          <w:rPr>
            <w:noProof/>
            <w:webHidden/>
          </w:rPr>
          <w:instrText xml:space="preserve"> PAGEREF _Toc485728133 \h </w:instrText>
        </w:r>
        <w:r w:rsidR="00C23E3B">
          <w:rPr>
            <w:noProof/>
            <w:webHidden/>
          </w:rPr>
        </w:r>
        <w:r w:rsidR="00C23E3B">
          <w:rPr>
            <w:noProof/>
            <w:webHidden/>
          </w:rPr>
          <w:fldChar w:fldCharType="separate"/>
        </w:r>
        <w:r w:rsidR="004A1330">
          <w:rPr>
            <w:noProof/>
            <w:webHidden/>
          </w:rPr>
          <w:t>50</w:t>
        </w:r>
        <w:r w:rsidR="00C23E3B">
          <w:rPr>
            <w:noProof/>
            <w:webHidden/>
          </w:rPr>
          <w:fldChar w:fldCharType="end"/>
        </w:r>
      </w:hyperlink>
    </w:p>
    <w:p w14:paraId="08424357" w14:textId="26BC7679"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4" w:history="1">
        <w:r w:rsidR="00C23E3B" w:rsidRPr="00F938B3">
          <w:rPr>
            <w:rStyle w:val="Hyperlink"/>
            <w:noProof/>
          </w:rPr>
          <w:t>Table 26: Default industrial wastewater treatment parameters by commodity type</w:t>
        </w:r>
        <w:r w:rsidR="00C23E3B">
          <w:rPr>
            <w:noProof/>
            <w:webHidden/>
          </w:rPr>
          <w:tab/>
        </w:r>
        <w:r w:rsidR="00C23E3B">
          <w:rPr>
            <w:noProof/>
            <w:webHidden/>
          </w:rPr>
          <w:fldChar w:fldCharType="begin"/>
        </w:r>
        <w:r w:rsidR="00C23E3B">
          <w:rPr>
            <w:noProof/>
            <w:webHidden/>
          </w:rPr>
          <w:instrText xml:space="preserve"> PAGEREF _Toc485728134 \h </w:instrText>
        </w:r>
        <w:r w:rsidR="00C23E3B">
          <w:rPr>
            <w:noProof/>
            <w:webHidden/>
          </w:rPr>
        </w:r>
        <w:r w:rsidR="00C23E3B">
          <w:rPr>
            <w:noProof/>
            <w:webHidden/>
          </w:rPr>
          <w:fldChar w:fldCharType="separate"/>
        </w:r>
        <w:r w:rsidR="004A1330">
          <w:rPr>
            <w:noProof/>
            <w:webHidden/>
          </w:rPr>
          <w:t>54</w:t>
        </w:r>
        <w:r w:rsidR="00C23E3B">
          <w:rPr>
            <w:noProof/>
            <w:webHidden/>
          </w:rPr>
          <w:fldChar w:fldCharType="end"/>
        </w:r>
      </w:hyperlink>
    </w:p>
    <w:p w14:paraId="711E19B3" w14:textId="2719D680"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5" w:history="1">
        <w:r w:rsidR="00C23E3B" w:rsidRPr="00F938B3">
          <w:rPr>
            <w:rStyle w:val="Hyperlink"/>
            <w:noProof/>
          </w:rPr>
          <w:t>Table 27:  Global Warming Potentials</w:t>
        </w:r>
        <w:r w:rsidR="00C23E3B">
          <w:rPr>
            <w:noProof/>
            <w:webHidden/>
          </w:rPr>
          <w:tab/>
        </w:r>
        <w:r w:rsidR="00C23E3B">
          <w:rPr>
            <w:noProof/>
            <w:webHidden/>
          </w:rPr>
          <w:fldChar w:fldCharType="begin"/>
        </w:r>
        <w:r w:rsidR="00C23E3B">
          <w:rPr>
            <w:noProof/>
            <w:webHidden/>
          </w:rPr>
          <w:instrText xml:space="preserve"> PAGEREF _Toc485728135 \h </w:instrText>
        </w:r>
        <w:r w:rsidR="00C23E3B">
          <w:rPr>
            <w:noProof/>
            <w:webHidden/>
          </w:rPr>
        </w:r>
        <w:r w:rsidR="00C23E3B">
          <w:rPr>
            <w:noProof/>
            <w:webHidden/>
          </w:rPr>
          <w:fldChar w:fldCharType="separate"/>
        </w:r>
        <w:r w:rsidR="004A1330">
          <w:rPr>
            <w:noProof/>
            <w:webHidden/>
          </w:rPr>
          <w:t>59</w:t>
        </w:r>
        <w:r w:rsidR="00C23E3B">
          <w:rPr>
            <w:noProof/>
            <w:webHidden/>
          </w:rPr>
          <w:fldChar w:fldCharType="end"/>
        </w:r>
      </w:hyperlink>
    </w:p>
    <w:p w14:paraId="2ACCD19A" w14:textId="2546BE79"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6" w:history="1">
        <w:r w:rsidR="00C23E3B" w:rsidRPr="00F938B3">
          <w:rPr>
            <w:rStyle w:val="Hyperlink"/>
            <w:noProof/>
          </w:rPr>
          <w:t>Table 28: Metric prefixes</w:t>
        </w:r>
        <w:r w:rsidR="00C23E3B">
          <w:rPr>
            <w:noProof/>
            <w:webHidden/>
          </w:rPr>
          <w:tab/>
        </w:r>
        <w:r w:rsidR="00C23E3B">
          <w:rPr>
            <w:noProof/>
            <w:webHidden/>
          </w:rPr>
          <w:fldChar w:fldCharType="begin"/>
        </w:r>
        <w:r w:rsidR="00C23E3B">
          <w:rPr>
            <w:noProof/>
            <w:webHidden/>
          </w:rPr>
          <w:instrText xml:space="preserve"> PAGEREF _Toc485728136 \h </w:instrText>
        </w:r>
        <w:r w:rsidR="00C23E3B">
          <w:rPr>
            <w:noProof/>
            <w:webHidden/>
          </w:rPr>
        </w:r>
        <w:r w:rsidR="00C23E3B">
          <w:rPr>
            <w:noProof/>
            <w:webHidden/>
          </w:rPr>
          <w:fldChar w:fldCharType="separate"/>
        </w:r>
        <w:r w:rsidR="004A1330">
          <w:rPr>
            <w:noProof/>
            <w:webHidden/>
          </w:rPr>
          <w:t>61</w:t>
        </w:r>
        <w:r w:rsidR="00C23E3B">
          <w:rPr>
            <w:noProof/>
            <w:webHidden/>
          </w:rPr>
          <w:fldChar w:fldCharType="end"/>
        </w:r>
      </w:hyperlink>
    </w:p>
    <w:p w14:paraId="0E91D83D" w14:textId="2605F6DC"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7" w:history="1">
        <w:r w:rsidR="00C23E3B" w:rsidRPr="00F938B3">
          <w:rPr>
            <w:rStyle w:val="Hyperlink"/>
            <w:noProof/>
          </w:rPr>
          <w:t>Table 29:  Unit equivalences</w:t>
        </w:r>
        <w:r w:rsidR="00C23E3B">
          <w:rPr>
            <w:noProof/>
            <w:webHidden/>
          </w:rPr>
          <w:tab/>
        </w:r>
        <w:r w:rsidR="00C23E3B">
          <w:rPr>
            <w:noProof/>
            <w:webHidden/>
          </w:rPr>
          <w:fldChar w:fldCharType="begin"/>
        </w:r>
        <w:r w:rsidR="00C23E3B">
          <w:rPr>
            <w:noProof/>
            <w:webHidden/>
          </w:rPr>
          <w:instrText xml:space="preserve"> PAGEREF _Toc485728137 \h </w:instrText>
        </w:r>
        <w:r w:rsidR="00C23E3B">
          <w:rPr>
            <w:noProof/>
            <w:webHidden/>
          </w:rPr>
        </w:r>
        <w:r w:rsidR="00C23E3B">
          <w:rPr>
            <w:noProof/>
            <w:webHidden/>
          </w:rPr>
          <w:fldChar w:fldCharType="separate"/>
        </w:r>
        <w:r w:rsidR="004A1330">
          <w:rPr>
            <w:noProof/>
            <w:webHidden/>
          </w:rPr>
          <w:t>61</w:t>
        </w:r>
        <w:r w:rsidR="00C23E3B">
          <w:rPr>
            <w:noProof/>
            <w:webHidden/>
          </w:rPr>
          <w:fldChar w:fldCharType="end"/>
        </w:r>
      </w:hyperlink>
    </w:p>
    <w:p w14:paraId="0C216718" w14:textId="4DDC13AA"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8" w:history="1">
        <w:r w:rsidR="00C23E3B" w:rsidRPr="00F938B3">
          <w:rPr>
            <w:rStyle w:val="Hyperlink"/>
            <w:noProof/>
          </w:rPr>
          <w:t>Table 30: Energy conversion factors</w:t>
        </w:r>
        <w:r w:rsidR="00C23E3B">
          <w:rPr>
            <w:noProof/>
            <w:webHidden/>
          </w:rPr>
          <w:tab/>
        </w:r>
        <w:r w:rsidR="00C23E3B">
          <w:rPr>
            <w:noProof/>
            <w:webHidden/>
          </w:rPr>
          <w:fldChar w:fldCharType="begin"/>
        </w:r>
        <w:r w:rsidR="00C23E3B">
          <w:rPr>
            <w:noProof/>
            <w:webHidden/>
          </w:rPr>
          <w:instrText xml:space="preserve"> PAGEREF _Toc485728138 \h </w:instrText>
        </w:r>
        <w:r w:rsidR="00C23E3B">
          <w:rPr>
            <w:noProof/>
            <w:webHidden/>
          </w:rPr>
        </w:r>
        <w:r w:rsidR="00C23E3B">
          <w:rPr>
            <w:noProof/>
            <w:webHidden/>
          </w:rPr>
          <w:fldChar w:fldCharType="separate"/>
        </w:r>
        <w:r w:rsidR="004A1330">
          <w:rPr>
            <w:noProof/>
            <w:webHidden/>
          </w:rPr>
          <w:t>62</w:t>
        </w:r>
        <w:r w:rsidR="00C23E3B">
          <w:rPr>
            <w:noProof/>
            <w:webHidden/>
          </w:rPr>
          <w:fldChar w:fldCharType="end"/>
        </w:r>
      </w:hyperlink>
    </w:p>
    <w:p w14:paraId="787CA968" w14:textId="0EEB2E03"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39" w:history="1">
        <w:r w:rsidR="00C23E3B" w:rsidRPr="00F938B3">
          <w:rPr>
            <w:rStyle w:val="Hyperlink"/>
            <w:noProof/>
          </w:rPr>
          <w:t>Table 31: Municipal solid waste volume to weight conversion factors</w:t>
        </w:r>
        <w:r w:rsidR="00C23E3B">
          <w:rPr>
            <w:noProof/>
            <w:webHidden/>
          </w:rPr>
          <w:tab/>
        </w:r>
        <w:r w:rsidR="00C23E3B">
          <w:rPr>
            <w:noProof/>
            <w:webHidden/>
          </w:rPr>
          <w:fldChar w:fldCharType="begin"/>
        </w:r>
        <w:r w:rsidR="00C23E3B">
          <w:rPr>
            <w:noProof/>
            <w:webHidden/>
          </w:rPr>
          <w:instrText xml:space="preserve"> PAGEREF _Toc485728139 \h </w:instrText>
        </w:r>
        <w:r w:rsidR="00C23E3B">
          <w:rPr>
            <w:noProof/>
            <w:webHidden/>
          </w:rPr>
        </w:r>
        <w:r w:rsidR="00C23E3B">
          <w:rPr>
            <w:noProof/>
            <w:webHidden/>
          </w:rPr>
          <w:fldChar w:fldCharType="separate"/>
        </w:r>
        <w:r w:rsidR="004A1330">
          <w:rPr>
            <w:noProof/>
            <w:webHidden/>
          </w:rPr>
          <w:t>62</w:t>
        </w:r>
        <w:r w:rsidR="00C23E3B">
          <w:rPr>
            <w:noProof/>
            <w:webHidden/>
          </w:rPr>
          <w:fldChar w:fldCharType="end"/>
        </w:r>
      </w:hyperlink>
    </w:p>
    <w:p w14:paraId="617BE2A1" w14:textId="6F50E6FA"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0" w:history="1">
        <w:r w:rsidR="00C23E3B" w:rsidRPr="00F938B3">
          <w:rPr>
            <w:rStyle w:val="Hyperlink"/>
            <w:noProof/>
          </w:rPr>
          <w:t>Table 32: Carbon content factors - Solid fuels and certain coal based products</w:t>
        </w:r>
        <w:r w:rsidR="00C23E3B">
          <w:rPr>
            <w:noProof/>
            <w:webHidden/>
          </w:rPr>
          <w:tab/>
        </w:r>
        <w:r w:rsidR="00C23E3B">
          <w:rPr>
            <w:noProof/>
            <w:webHidden/>
          </w:rPr>
          <w:fldChar w:fldCharType="begin"/>
        </w:r>
        <w:r w:rsidR="00C23E3B">
          <w:rPr>
            <w:noProof/>
            <w:webHidden/>
          </w:rPr>
          <w:instrText xml:space="preserve"> PAGEREF _Toc485728140 \h </w:instrText>
        </w:r>
        <w:r w:rsidR="00C23E3B">
          <w:rPr>
            <w:noProof/>
            <w:webHidden/>
          </w:rPr>
        </w:r>
        <w:r w:rsidR="00C23E3B">
          <w:rPr>
            <w:noProof/>
            <w:webHidden/>
          </w:rPr>
          <w:fldChar w:fldCharType="separate"/>
        </w:r>
        <w:r w:rsidR="004A1330">
          <w:rPr>
            <w:noProof/>
            <w:webHidden/>
          </w:rPr>
          <w:t>63</w:t>
        </w:r>
        <w:r w:rsidR="00C23E3B">
          <w:rPr>
            <w:noProof/>
            <w:webHidden/>
          </w:rPr>
          <w:fldChar w:fldCharType="end"/>
        </w:r>
      </w:hyperlink>
    </w:p>
    <w:p w14:paraId="68B23166" w14:textId="0DBA0660"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1" w:history="1">
        <w:r w:rsidR="00C23E3B" w:rsidRPr="00F938B3">
          <w:rPr>
            <w:rStyle w:val="Hyperlink"/>
            <w:noProof/>
          </w:rPr>
          <w:t>Table 33: Carbon content factors - Gaseous fuels</w:t>
        </w:r>
        <w:r w:rsidR="00C23E3B">
          <w:rPr>
            <w:noProof/>
            <w:webHidden/>
          </w:rPr>
          <w:tab/>
        </w:r>
        <w:r w:rsidR="00C23E3B">
          <w:rPr>
            <w:noProof/>
            <w:webHidden/>
          </w:rPr>
          <w:fldChar w:fldCharType="begin"/>
        </w:r>
        <w:r w:rsidR="00C23E3B">
          <w:rPr>
            <w:noProof/>
            <w:webHidden/>
          </w:rPr>
          <w:instrText xml:space="preserve"> PAGEREF _Toc485728141 \h </w:instrText>
        </w:r>
        <w:r w:rsidR="00C23E3B">
          <w:rPr>
            <w:noProof/>
            <w:webHidden/>
          </w:rPr>
        </w:r>
        <w:r w:rsidR="00C23E3B">
          <w:rPr>
            <w:noProof/>
            <w:webHidden/>
          </w:rPr>
          <w:fldChar w:fldCharType="separate"/>
        </w:r>
        <w:r w:rsidR="004A1330">
          <w:rPr>
            <w:noProof/>
            <w:webHidden/>
          </w:rPr>
          <w:t>64</w:t>
        </w:r>
        <w:r w:rsidR="00C23E3B">
          <w:rPr>
            <w:noProof/>
            <w:webHidden/>
          </w:rPr>
          <w:fldChar w:fldCharType="end"/>
        </w:r>
      </w:hyperlink>
    </w:p>
    <w:p w14:paraId="171DFA03" w14:textId="3493469A"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2" w:history="1">
        <w:r w:rsidR="00C23E3B" w:rsidRPr="00F938B3">
          <w:rPr>
            <w:rStyle w:val="Hyperlink"/>
            <w:noProof/>
          </w:rPr>
          <w:t>Table 34: Carbon content factors - Liquid fuels and certain petroleum based products</w:t>
        </w:r>
        <w:r w:rsidR="00C23E3B">
          <w:rPr>
            <w:noProof/>
            <w:webHidden/>
          </w:rPr>
          <w:tab/>
        </w:r>
        <w:r w:rsidR="00C23E3B">
          <w:rPr>
            <w:noProof/>
            <w:webHidden/>
          </w:rPr>
          <w:fldChar w:fldCharType="begin"/>
        </w:r>
        <w:r w:rsidR="00C23E3B">
          <w:rPr>
            <w:noProof/>
            <w:webHidden/>
          </w:rPr>
          <w:instrText xml:space="preserve"> PAGEREF _Toc485728142 \h </w:instrText>
        </w:r>
        <w:r w:rsidR="00C23E3B">
          <w:rPr>
            <w:noProof/>
            <w:webHidden/>
          </w:rPr>
        </w:r>
        <w:r w:rsidR="00C23E3B">
          <w:rPr>
            <w:noProof/>
            <w:webHidden/>
          </w:rPr>
          <w:fldChar w:fldCharType="separate"/>
        </w:r>
        <w:r w:rsidR="004A1330">
          <w:rPr>
            <w:noProof/>
            <w:webHidden/>
          </w:rPr>
          <w:t>64</w:t>
        </w:r>
        <w:r w:rsidR="00C23E3B">
          <w:rPr>
            <w:noProof/>
            <w:webHidden/>
          </w:rPr>
          <w:fldChar w:fldCharType="end"/>
        </w:r>
      </w:hyperlink>
    </w:p>
    <w:p w14:paraId="740D0467" w14:textId="11083E7E"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3" w:history="1">
        <w:r w:rsidR="00C23E3B" w:rsidRPr="00F938B3">
          <w:rPr>
            <w:rStyle w:val="Hyperlink"/>
            <w:noProof/>
          </w:rPr>
          <w:t>Table 35: Carbon content factors - Petroleum feedstocks and products</w:t>
        </w:r>
        <w:r w:rsidR="00C23E3B">
          <w:rPr>
            <w:noProof/>
            <w:webHidden/>
          </w:rPr>
          <w:tab/>
        </w:r>
        <w:r w:rsidR="00C23E3B">
          <w:rPr>
            <w:noProof/>
            <w:webHidden/>
          </w:rPr>
          <w:fldChar w:fldCharType="begin"/>
        </w:r>
        <w:r w:rsidR="00C23E3B">
          <w:rPr>
            <w:noProof/>
            <w:webHidden/>
          </w:rPr>
          <w:instrText xml:space="preserve"> PAGEREF _Toc485728143 \h </w:instrText>
        </w:r>
        <w:r w:rsidR="00C23E3B">
          <w:rPr>
            <w:noProof/>
            <w:webHidden/>
          </w:rPr>
        </w:r>
        <w:r w:rsidR="00C23E3B">
          <w:rPr>
            <w:noProof/>
            <w:webHidden/>
          </w:rPr>
          <w:fldChar w:fldCharType="separate"/>
        </w:r>
        <w:r w:rsidR="004A1330">
          <w:rPr>
            <w:noProof/>
            <w:webHidden/>
          </w:rPr>
          <w:t>65</w:t>
        </w:r>
        <w:r w:rsidR="00C23E3B">
          <w:rPr>
            <w:noProof/>
            <w:webHidden/>
          </w:rPr>
          <w:fldChar w:fldCharType="end"/>
        </w:r>
      </w:hyperlink>
    </w:p>
    <w:p w14:paraId="326ECFEA" w14:textId="04521243"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4" w:history="1">
        <w:r w:rsidR="00C23E3B" w:rsidRPr="00F938B3">
          <w:rPr>
            <w:rStyle w:val="Hyperlink"/>
            <w:noProof/>
          </w:rPr>
          <w:t>Table 36: Carbon content factors – carbonates</w:t>
        </w:r>
        <w:r w:rsidR="00C23E3B">
          <w:rPr>
            <w:noProof/>
            <w:webHidden/>
          </w:rPr>
          <w:tab/>
        </w:r>
        <w:r w:rsidR="00C23E3B">
          <w:rPr>
            <w:noProof/>
            <w:webHidden/>
          </w:rPr>
          <w:fldChar w:fldCharType="begin"/>
        </w:r>
        <w:r w:rsidR="00C23E3B">
          <w:rPr>
            <w:noProof/>
            <w:webHidden/>
          </w:rPr>
          <w:instrText xml:space="preserve"> PAGEREF _Toc485728144 \h </w:instrText>
        </w:r>
        <w:r w:rsidR="00C23E3B">
          <w:rPr>
            <w:noProof/>
            <w:webHidden/>
          </w:rPr>
        </w:r>
        <w:r w:rsidR="00C23E3B">
          <w:rPr>
            <w:noProof/>
            <w:webHidden/>
          </w:rPr>
          <w:fldChar w:fldCharType="separate"/>
        </w:r>
        <w:r w:rsidR="004A1330">
          <w:rPr>
            <w:noProof/>
            <w:webHidden/>
          </w:rPr>
          <w:t>66</w:t>
        </w:r>
        <w:r w:rsidR="00C23E3B">
          <w:rPr>
            <w:noProof/>
            <w:webHidden/>
          </w:rPr>
          <w:fldChar w:fldCharType="end"/>
        </w:r>
      </w:hyperlink>
    </w:p>
    <w:p w14:paraId="602B1E72" w14:textId="5B934771"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5" w:history="1">
        <w:r w:rsidR="00C23E3B" w:rsidRPr="00F938B3">
          <w:rPr>
            <w:rStyle w:val="Hyperlink"/>
            <w:noProof/>
          </w:rPr>
          <w:t>Table 37: Scope 3 emission factors –solid fuels and certain coal based products</w:t>
        </w:r>
        <w:r w:rsidR="00C23E3B">
          <w:rPr>
            <w:noProof/>
            <w:webHidden/>
          </w:rPr>
          <w:tab/>
        </w:r>
        <w:r w:rsidR="00C23E3B">
          <w:rPr>
            <w:noProof/>
            <w:webHidden/>
          </w:rPr>
          <w:fldChar w:fldCharType="begin"/>
        </w:r>
        <w:r w:rsidR="00C23E3B">
          <w:rPr>
            <w:noProof/>
            <w:webHidden/>
          </w:rPr>
          <w:instrText xml:space="preserve"> PAGEREF _Toc485728145 \h </w:instrText>
        </w:r>
        <w:r w:rsidR="00C23E3B">
          <w:rPr>
            <w:noProof/>
            <w:webHidden/>
          </w:rPr>
        </w:r>
        <w:r w:rsidR="00C23E3B">
          <w:rPr>
            <w:noProof/>
            <w:webHidden/>
          </w:rPr>
          <w:fldChar w:fldCharType="separate"/>
        </w:r>
        <w:r w:rsidR="004A1330">
          <w:rPr>
            <w:noProof/>
            <w:webHidden/>
          </w:rPr>
          <w:t>67</w:t>
        </w:r>
        <w:r w:rsidR="00C23E3B">
          <w:rPr>
            <w:noProof/>
            <w:webHidden/>
          </w:rPr>
          <w:fldChar w:fldCharType="end"/>
        </w:r>
      </w:hyperlink>
    </w:p>
    <w:p w14:paraId="713BDE77" w14:textId="3C288F3F"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6" w:history="1">
        <w:r w:rsidR="00C23E3B" w:rsidRPr="00F938B3">
          <w:rPr>
            <w:rStyle w:val="Hyperlink"/>
            <w:noProof/>
          </w:rPr>
          <w:t>Table 38: Scope 3 emission factors – natural gas for a product that is not ethane</w:t>
        </w:r>
        <w:r w:rsidR="00C23E3B">
          <w:rPr>
            <w:noProof/>
            <w:webHidden/>
          </w:rPr>
          <w:tab/>
        </w:r>
        <w:r w:rsidR="00C23E3B">
          <w:rPr>
            <w:noProof/>
            <w:webHidden/>
          </w:rPr>
          <w:fldChar w:fldCharType="begin"/>
        </w:r>
        <w:r w:rsidR="00C23E3B">
          <w:rPr>
            <w:noProof/>
            <w:webHidden/>
          </w:rPr>
          <w:instrText xml:space="preserve"> PAGEREF _Toc485728146 \h </w:instrText>
        </w:r>
        <w:r w:rsidR="00C23E3B">
          <w:rPr>
            <w:noProof/>
            <w:webHidden/>
          </w:rPr>
        </w:r>
        <w:r w:rsidR="00C23E3B">
          <w:rPr>
            <w:noProof/>
            <w:webHidden/>
          </w:rPr>
          <w:fldChar w:fldCharType="separate"/>
        </w:r>
        <w:r w:rsidR="004A1330">
          <w:rPr>
            <w:noProof/>
            <w:webHidden/>
          </w:rPr>
          <w:t>69</w:t>
        </w:r>
        <w:r w:rsidR="00C23E3B">
          <w:rPr>
            <w:noProof/>
            <w:webHidden/>
          </w:rPr>
          <w:fldChar w:fldCharType="end"/>
        </w:r>
      </w:hyperlink>
    </w:p>
    <w:p w14:paraId="20D28061" w14:textId="7B0C2B84"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7" w:history="1">
        <w:r w:rsidR="00C23E3B" w:rsidRPr="00F938B3">
          <w:rPr>
            <w:rStyle w:val="Hyperlink"/>
            <w:noProof/>
          </w:rPr>
          <w:t>Table 39: Scope 3 emission factors – ethane</w:t>
        </w:r>
        <w:r w:rsidR="00C23E3B">
          <w:rPr>
            <w:noProof/>
            <w:webHidden/>
          </w:rPr>
          <w:tab/>
        </w:r>
        <w:r w:rsidR="00C23E3B">
          <w:rPr>
            <w:noProof/>
            <w:webHidden/>
          </w:rPr>
          <w:fldChar w:fldCharType="begin"/>
        </w:r>
        <w:r w:rsidR="00C23E3B">
          <w:rPr>
            <w:noProof/>
            <w:webHidden/>
          </w:rPr>
          <w:instrText xml:space="preserve"> PAGEREF _Toc485728147 \h </w:instrText>
        </w:r>
        <w:r w:rsidR="00C23E3B">
          <w:rPr>
            <w:noProof/>
            <w:webHidden/>
          </w:rPr>
        </w:r>
        <w:r w:rsidR="00C23E3B">
          <w:rPr>
            <w:noProof/>
            <w:webHidden/>
          </w:rPr>
          <w:fldChar w:fldCharType="separate"/>
        </w:r>
        <w:r w:rsidR="004A1330">
          <w:rPr>
            <w:noProof/>
            <w:webHidden/>
          </w:rPr>
          <w:t>69</w:t>
        </w:r>
        <w:r w:rsidR="00C23E3B">
          <w:rPr>
            <w:noProof/>
            <w:webHidden/>
          </w:rPr>
          <w:fldChar w:fldCharType="end"/>
        </w:r>
      </w:hyperlink>
    </w:p>
    <w:p w14:paraId="4693DA89" w14:textId="1CEE59AC"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8" w:history="1">
        <w:r w:rsidR="00C23E3B" w:rsidRPr="00F938B3">
          <w:rPr>
            <w:rStyle w:val="Hyperlink"/>
            <w:noProof/>
          </w:rPr>
          <w:t>Table 40: Scope 3 emission factors – liquid fuels and certain petroleum based products</w:t>
        </w:r>
        <w:r w:rsidR="00C23E3B">
          <w:rPr>
            <w:noProof/>
            <w:webHidden/>
          </w:rPr>
          <w:tab/>
        </w:r>
        <w:r w:rsidR="00C23E3B">
          <w:rPr>
            <w:noProof/>
            <w:webHidden/>
          </w:rPr>
          <w:fldChar w:fldCharType="begin"/>
        </w:r>
        <w:r w:rsidR="00C23E3B">
          <w:rPr>
            <w:noProof/>
            <w:webHidden/>
          </w:rPr>
          <w:instrText xml:space="preserve"> PAGEREF _Toc485728148 \h </w:instrText>
        </w:r>
        <w:r w:rsidR="00C23E3B">
          <w:rPr>
            <w:noProof/>
            <w:webHidden/>
          </w:rPr>
        </w:r>
        <w:r w:rsidR="00C23E3B">
          <w:rPr>
            <w:noProof/>
            <w:webHidden/>
          </w:rPr>
          <w:fldChar w:fldCharType="separate"/>
        </w:r>
        <w:r w:rsidR="004A1330">
          <w:rPr>
            <w:noProof/>
            <w:webHidden/>
          </w:rPr>
          <w:t>70</w:t>
        </w:r>
        <w:r w:rsidR="00C23E3B">
          <w:rPr>
            <w:noProof/>
            <w:webHidden/>
          </w:rPr>
          <w:fldChar w:fldCharType="end"/>
        </w:r>
      </w:hyperlink>
    </w:p>
    <w:p w14:paraId="313396AF" w14:textId="7EF2D28E"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49" w:history="1">
        <w:r w:rsidR="00C23E3B" w:rsidRPr="00F938B3">
          <w:rPr>
            <w:rStyle w:val="Hyperlink"/>
            <w:noProof/>
          </w:rPr>
          <w:t>Table 41: Scope 2 and 3 emissions factors - consumption of purchased electricity</w:t>
        </w:r>
        <w:r w:rsidR="00C23E3B">
          <w:rPr>
            <w:noProof/>
            <w:webHidden/>
          </w:rPr>
          <w:tab/>
        </w:r>
        <w:r w:rsidR="00C23E3B">
          <w:rPr>
            <w:noProof/>
            <w:webHidden/>
          </w:rPr>
          <w:fldChar w:fldCharType="begin"/>
        </w:r>
        <w:r w:rsidR="00C23E3B">
          <w:rPr>
            <w:noProof/>
            <w:webHidden/>
          </w:rPr>
          <w:instrText xml:space="preserve"> PAGEREF _Toc485728149 \h </w:instrText>
        </w:r>
        <w:r w:rsidR="00C23E3B">
          <w:rPr>
            <w:noProof/>
            <w:webHidden/>
          </w:rPr>
        </w:r>
        <w:r w:rsidR="00C23E3B">
          <w:rPr>
            <w:noProof/>
            <w:webHidden/>
          </w:rPr>
          <w:fldChar w:fldCharType="separate"/>
        </w:r>
        <w:r w:rsidR="004A1330">
          <w:rPr>
            <w:noProof/>
            <w:webHidden/>
          </w:rPr>
          <w:t>71</w:t>
        </w:r>
        <w:r w:rsidR="00C23E3B">
          <w:rPr>
            <w:noProof/>
            <w:webHidden/>
          </w:rPr>
          <w:fldChar w:fldCharType="end"/>
        </w:r>
      </w:hyperlink>
    </w:p>
    <w:p w14:paraId="2328740B" w14:textId="44847ED5"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50" w:history="1">
        <w:r w:rsidR="00C23E3B" w:rsidRPr="00F938B3">
          <w:rPr>
            <w:rStyle w:val="Hyperlink"/>
            <w:noProof/>
          </w:rPr>
          <w:t>Table 42:  Waste mix methane conversion factors</w:t>
        </w:r>
        <w:r w:rsidR="00C23E3B">
          <w:rPr>
            <w:noProof/>
            <w:webHidden/>
          </w:rPr>
          <w:tab/>
        </w:r>
        <w:r w:rsidR="00C23E3B">
          <w:rPr>
            <w:noProof/>
            <w:webHidden/>
          </w:rPr>
          <w:fldChar w:fldCharType="begin"/>
        </w:r>
        <w:r w:rsidR="00C23E3B">
          <w:rPr>
            <w:noProof/>
            <w:webHidden/>
          </w:rPr>
          <w:instrText xml:space="preserve"> PAGEREF _Toc485728150 \h </w:instrText>
        </w:r>
        <w:r w:rsidR="00C23E3B">
          <w:rPr>
            <w:noProof/>
            <w:webHidden/>
          </w:rPr>
        </w:r>
        <w:r w:rsidR="00C23E3B">
          <w:rPr>
            <w:noProof/>
            <w:webHidden/>
          </w:rPr>
          <w:fldChar w:fldCharType="separate"/>
        </w:r>
        <w:r w:rsidR="004A1330">
          <w:rPr>
            <w:noProof/>
            <w:webHidden/>
          </w:rPr>
          <w:t>75</w:t>
        </w:r>
        <w:r w:rsidR="00C23E3B">
          <w:rPr>
            <w:noProof/>
            <w:webHidden/>
          </w:rPr>
          <w:fldChar w:fldCharType="end"/>
        </w:r>
      </w:hyperlink>
    </w:p>
    <w:p w14:paraId="61F893E0" w14:textId="2A0284ED"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51" w:history="1">
        <w:r w:rsidR="00C23E3B" w:rsidRPr="00F938B3">
          <w:rPr>
            <w:rStyle w:val="Hyperlink"/>
            <w:noProof/>
          </w:rPr>
          <w:t>Table 43:  Waste variables and default values</w:t>
        </w:r>
        <w:r w:rsidR="00C23E3B">
          <w:rPr>
            <w:noProof/>
            <w:webHidden/>
          </w:rPr>
          <w:tab/>
        </w:r>
        <w:r w:rsidR="00C23E3B">
          <w:rPr>
            <w:noProof/>
            <w:webHidden/>
          </w:rPr>
          <w:fldChar w:fldCharType="begin"/>
        </w:r>
        <w:r w:rsidR="00C23E3B">
          <w:rPr>
            <w:noProof/>
            <w:webHidden/>
          </w:rPr>
          <w:instrText xml:space="preserve"> PAGEREF _Toc485728151 \h </w:instrText>
        </w:r>
        <w:r w:rsidR="00C23E3B">
          <w:rPr>
            <w:noProof/>
            <w:webHidden/>
          </w:rPr>
        </w:r>
        <w:r w:rsidR="00C23E3B">
          <w:rPr>
            <w:noProof/>
            <w:webHidden/>
          </w:rPr>
          <w:fldChar w:fldCharType="separate"/>
        </w:r>
        <w:r w:rsidR="004A1330">
          <w:rPr>
            <w:noProof/>
            <w:webHidden/>
          </w:rPr>
          <w:t>76</w:t>
        </w:r>
        <w:r w:rsidR="00C23E3B">
          <w:rPr>
            <w:noProof/>
            <w:webHidden/>
          </w:rPr>
          <w:fldChar w:fldCharType="end"/>
        </w:r>
      </w:hyperlink>
    </w:p>
    <w:p w14:paraId="184DD5F7" w14:textId="3DB23FE1"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52" w:history="1">
        <w:r w:rsidR="00C23E3B" w:rsidRPr="00F938B3">
          <w:rPr>
            <w:rStyle w:val="Hyperlink"/>
            <w:noProof/>
          </w:rPr>
          <w:t>Table 44: Waste emission factors for total waste disposed to landfill</w:t>
        </w:r>
        <w:r w:rsidR="00C23E3B">
          <w:rPr>
            <w:noProof/>
            <w:webHidden/>
          </w:rPr>
          <w:tab/>
        </w:r>
        <w:r w:rsidR="00C23E3B">
          <w:rPr>
            <w:noProof/>
            <w:webHidden/>
          </w:rPr>
          <w:fldChar w:fldCharType="begin"/>
        </w:r>
        <w:r w:rsidR="00C23E3B">
          <w:rPr>
            <w:noProof/>
            <w:webHidden/>
          </w:rPr>
          <w:instrText xml:space="preserve"> PAGEREF _Toc485728152 \h </w:instrText>
        </w:r>
        <w:r w:rsidR="00C23E3B">
          <w:rPr>
            <w:noProof/>
            <w:webHidden/>
          </w:rPr>
        </w:r>
        <w:r w:rsidR="00C23E3B">
          <w:rPr>
            <w:noProof/>
            <w:webHidden/>
          </w:rPr>
          <w:fldChar w:fldCharType="separate"/>
        </w:r>
        <w:r w:rsidR="004A1330">
          <w:rPr>
            <w:noProof/>
            <w:webHidden/>
          </w:rPr>
          <w:t>77</w:t>
        </w:r>
        <w:r w:rsidR="00C23E3B">
          <w:rPr>
            <w:noProof/>
            <w:webHidden/>
          </w:rPr>
          <w:fldChar w:fldCharType="end"/>
        </w:r>
      </w:hyperlink>
    </w:p>
    <w:p w14:paraId="7D16132F" w14:textId="7A497506" w:rsidR="00C23E3B" w:rsidRDefault="00CA4FB8" w:rsidP="00914552">
      <w:pPr>
        <w:pStyle w:val="TableofFigures"/>
        <w:ind w:left="1008"/>
        <w:rPr>
          <w:rFonts w:asciiTheme="minorHAnsi" w:eastAsiaTheme="minorEastAsia" w:hAnsiTheme="minorHAnsi" w:cstheme="minorBidi"/>
          <w:noProof/>
          <w:sz w:val="22"/>
          <w:szCs w:val="22"/>
          <w:lang w:eastAsia="en-AU"/>
        </w:rPr>
      </w:pPr>
      <w:hyperlink w:anchor="_Toc485728153" w:history="1">
        <w:r w:rsidR="00C23E3B" w:rsidRPr="00F938B3">
          <w:rPr>
            <w:rStyle w:val="Hyperlink"/>
            <w:noProof/>
          </w:rPr>
          <w:t>Table 45:  Municipal waste variables and default values</w:t>
        </w:r>
        <w:r w:rsidR="00C23E3B">
          <w:rPr>
            <w:noProof/>
            <w:webHidden/>
          </w:rPr>
          <w:tab/>
        </w:r>
        <w:r w:rsidR="00C23E3B">
          <w:rPr>
            <w:noProof/>
            <w:webHidden/>
          </w:rPr>
          <w:fldChar w:fldCharType="begin"/>
        </w:r>
        <w:r w:rsidR="00C23E3B">
          <w:rPr>
            <w:noProof/>
            <w:webHidden/>
          </w:rPr>
          <w:instrText xml:space="preserve"> PAGEREF _Toc485728153 \h </w:instrText>
        </w:r>
        <w:r w:rsidR="00C23E3B">
          <w:rPr>
            <w:noProof/>
            <w:webHidden/>
          </w:rPr>
        </w:r>
        <w:r w:rsidR="00C23E3B">
          <w:rPr>
            <w:noProof/>
            <w:webHidden/>
          </w:rPr>
          <w:fldChar w:fldCharType="separate"/>
        </w:r>
        <w:r w:rsidR="004A1330">
          <w:rPr>
            <w:noProof/>
            <w:webHidden/>
          </w:rPr>
          <w:t>78</w:t>
        </w:r>
        <w:r w:rsidR="00C23E3B">
          <w:rPr>
            <w:noProof/>
            <w:webHidden/>
          </w:rPr>
          <w:fldChar w:fldCharType="end"/>
        </w:r>
      </w:hyperlink>
    </w:p>
    <w:p w14:paraId="1E6385BF" w14:textId="77777777" w:rsidR="00010E2E" w:rsidRPr="00BB121C" w:rsidRDefault="00DC52E0" w:rsidP="00C23E3B">
      <w:pPr>
        <w:pStyle w:val="TableofFigures"/>
        <w:ind w:left="0" w:right="-57" w:firstLine="0"/>
        <w:rPr>
          <w:rStyle w:val="Hyperlink"/>
          <w:rFonts w:ascii="Arial" w:hAnsi="Arial" w:cs="Arial"/>
          <w:noProof/>
        </w:rPr>
        <w:sectPr w:rsidR="00010E2E" w:rsidRPr="00BB121C" w:rsidSect="008E70EB">
          <w:headerReference w:type="default" r:id="rId19"/>
          <w:footerReference w:type="default" r:id="rId20"/>
          <w:type w:val="continuous"/>
          <w:pgSz w:w="11907" w:h="16840" w:code="9"/>
          <w:pgMar w:top="1440" w:right="1800" w:bottom="1440" w:left="1800" w:header="720" w:footer="792" w:gutter="0"/>
          <w:pgNumType w:start="1"/>
          <w:cols w:space="240"/>
        </w:sectPr>
      </w:pPr>
      <w:r w:rsidRPr="00BB121C">
        <w:rPr>
          <w:rStyle w:val="Hyperlink"/>
          <w:rFonts w:ascii="Arial" w:hAnsi="Arial"/>
          <w:noProof/>
        </w:rPr>
        <w:fldChar w:fldCharType="end"/>
      </w:r>
    </w:p>
    <w:bookmarkEnd w:id="0"/>
    <w:p w14:paraId="6B0EB4DE" w14:textId="77777777" w:rsidR="00010E2E" w:rsidRDefault="00010E2E">
      <w:pPr>
        <w:pStyle w:val="ChapterTitle"/>
        <w:tabs>
          <w:tab w:val="left" w:pos="0"/>
          <w:tab w:val="left" w:pos="2250"/>
        </w:tabs>
        <w:spacing w:before="120" w:after="0" w:line="312" w:lineRule="auto"/>
        <w:ind w:left="0"/>
        <w:rPr>
          <w:rFonts w:ascii="Arial" w:hAnsi="Arial" w:cs="Arial"/>
        </w:rPr>
      </w:pPr>
      <w:r>
        <w:rPr>
          <w:rFonts w:ascii="Arial" w:hAnsi="Arial" w:cs="Arial"/>
        </w:rPr>
        <w:t>Introduction</w:t>
      </w:r>
    </w:p>
    <w:p w14:paraId="2E3DA99A" w14:textId="77777777" w:rsidR="00BB6CA9" w:rsidRDefault="00010E2E" w:rsidP="00BB6CA9">
      <w:pPr>
        <w:pStyle w:val="BodyText"/>
        <w:tabs>
          <w:tab w:val="left" w:pos="0"/>
          <w:tab w:val="left" w:pos="2250"/>
        </w:tabs>
        <w:spacing w:before="120" w:after="0" w:line="312" w:lineRule="auto"/>
        <w:ind w:left="0"/>
        <w:rPr>
          <w:rFonts w:ascii="Arial" w:hAnsi="Arial" w:cs="Arial"/>
        </w:rPr>
      </w:pPr>
      <w:r>
        <w:rPr>
          <w:rFonts w:ascii="Arial" w:hAnsi="Arial" w:cs="Arial"/>
        </w:rPr>
        <w:t xml:space="preserve">The </w:t>
      </w:r>
      <w:r>
        <w:rPr>
          <w:rFonts w:ascii="Arial" w:hAnsi="Arial" w:cs="Arial"/>
          <w:i/>
        </w:rPr>
        <w:t>National Greenhouse Accounts (NGA) Factors</w:t>
      </w:r>
      <w:r>
        <w:rPr>
          <w:rFonts w:ascii="Arial" w:hAnsi="Arial" w:cs="Arial"/>
        </w:rPr>
        <w:t xml:space="preserve"> has been prepared by the </w:t>
      </w:r>
      <w:r w:rsidR="007011CE">
        <w:rPr>
          <w:rFonts w:ascii="Arial" w:hAnsi="Arial" w:cs="Arial"/>
        </w:rPr>
        <w:t>Department of the Environment</w:t>
      </w:r>
      <w:r w:rsidR="007E29EE">
        <w:rPr>
          <w:rFonts w:ascii="Arial" w:hAnsi="Arial" w:cs="Arial"/>
        </w:rPr>
        <w:t xml:space="preserve"> and Energy</w:t>
      </w:r>
      <w:r w:rsidR="004E5A19">
        <w:rPr>
          <w:rFonts w:ascii="Arial" w:hAnsi="Arial" w:cs="Arial"/>
        </w:rPr>
        <w:t xml:space="preserve"> </w:t>
      </w:r>
      <w:r>
        <w:rPr>
          <w:rFonts w:ascii="Arial" w:hAnsi="Arial" w:cs="Arial"/>
        </w:rPr>
        <w:t>and is designed for use by companies and individuals to estimate greenhouse gas emissions</w:t>
      </w:r>
      <w:r w:rsidR="00BB6CA9">
        <w:rPr>
          <w:rFonts w:ascii="Arial" w:hAnsi="Arial" w:cs="Arial"/>
        </w:rPr>
        <w:t xml:space="preserve">. </w:t>
      </w:r>
      <w:r>
        <w:rPr>
          <w:rFonts w:ascii="Arial" w:hAnsi="Arial" w:cs="Arial"/>
        </w:rPr>
        <w:t xml:space="preserve"> </w:t>
      </w:r>
      <w:r w:rsidR="00BB6CA9">
        <w:rPr>
          <w:rFonts w:ascii="Arial" w:hAnsi="Arial" w:cs="Arial"/>
        </w:rPr>
        <w:t xml:space="preserve">The </w:t>
      </w:r>
      <w:r w:rsidR="00BB6CA9" w:rsidRPr="00BB6CA9">
        <w:rPr>
          <w:rFonts w:ascii="Arial" w:hAnsi="Arial" w:cs="Arial"/>
          <w:i/>
        </w:rPr>
        <w:t xml:space="preserve">NGA Factors </w:t>
      </w:r>
      <w:r w:rsidR="00BB6CA9">
        <w:rPr>
          <w:rFonts w:ascii="Arial" w:hAnsi="Arial" w:cs="Arial"/>
        </w:rPr>
        <w:t xml:space="preserve">is not published for the purposes of reporting under the </w:t>
      </w:r>
      <w:r w:rsidR="00BB6CA9">
        <w:rPr>
          <w:rFonts w:ascii="Arial" w:hAnsi="Arial" w:cs="Arial"/>
          <w:i/>
        </w:rPr>
        <w:t xml:space="preserve">National Greenhouse and Energy Reporting Act 2007 (the NGER Act). </w:t>
      </w:r>
      <w:r w:rsidR="00BB6CA9">
        <w:rPr>
          <w:rFonts w:ascii="Arial" w:hAnsi="Arial" w:cs="Arial"/>
        </w:rPr>
        <w:t xml:space="preserve">While drawing on the </w:t>
      </w:r>
      <w:r w:rsidR="00BB6CA9" w:rsidRPr="009F7B0E">
        <w:rPr>
          <w:rFonts w:ascii="Arial" w:hAnsi="Arial" w:cs="Arial"/>
          <w:i/>
        </w:rPr>
        <w:t>National Greenhouse and Energy Reporting (Measurement) Determination 2008</w:t>
      </w:r>
      <w:r w:rsidR="00BB6CA9">
        <w:rPr>
          <w:rFonts w:ascii="Arial" w:hAnsi="Arial" w:cs="Arial"/>
          <w:i/>
        </w:rPr>
        <w:t>,</w:t>
      </w:r>
      <w:r w:rsidR="00BB6CA9">
        <w:rPr>
          <w:rFonts w:ascii="Arial" w:hAnsi="Arial" w:cs="Arial"/>
        </w:rPr>
        <w:t xml:space="preserve"> the methods described in the </w:t>
      </w:r>
      <w:r w:rsidR="00BB6CA9">
        <w:rPr>
          <w:rFonts w:ascii="Arial" w:hAnsi="Arial" w:cs="Arial"/>
          <w:i/>
        </w:rPr>
        <w:t>NGA Factors</w:t>
      </w:r>
      <w:r w:rsidR="00BB6CA9">
        <w:rPr>
          <w:rFonts w:ascii="Arial" w:hAnsi="Arial" w:cs="Arial"/>
        </w:rPr>
        <w:t xml:space="preserve"> have a general application to the estimation of a broader range of greenhouse emissions inventories.</w:t>
      </w:r>
    </w:p>
    <w:p w14:paraId="0EA043A7" w14:textId="2C82D343" w:rsidR="00010E2E" w:rsidRPr="000731CD" w:rsidRDefault="00010E2E">
      <w:pPr>
        <w:pStyle w:val="BodyText"/>
        <w:tabs>
          <w:tab w:val="left" w:pos="0"/>
          <w:tab w:val="left" w:pos="2250"/>
        </w:tabs>
        <w:spacing w:before="120" w:after="0" w:line="312" w:lineRule="auto"/>
        <w:ind w:left="0"/>
        <w:rPr>
          <w:rFonts w:ascii="Arial" w:hAnsi="Arial" w:cs="Arial"/>
        </w:rPr>
      </w:pPr>
      <w:r w:rsidRPr="00AB30D9">
        <w:rPr>
          <w:rFonts w:ascii="Arial" w:hAnsi="Arial" w:cs="Arial"/>
        </w:rPr>
        <w:t>Unless otherwise stated, the methods for calculating emissions listed in this document are “Method 1” from the</w:t>
      </w:r>
      <w:r w:rsidRPr="00AB30D9">
        <w:rPr>
          <w:rFonts w:ascii="Arial" w:hAnsi="Arial" w:cs="Arial"/>
          <w:i/>
        </w:rPr>
        <w:t xml:space="preserve"> National Greenhouse and Energy Reporting (Measurement) Determination 2008 </w:t>
      </w:r>
      <w:r w:rsidR="00035B0F" w:rsidRPr="00AB30D9">
        <w:rPr>
          <w:rFonts w:ascii="Arial" w:hAnsi="Arial" w:cs="Arial"/>
        </w:rPr>
        <w:t>incorporating</w:t>
      </w:r>
      <w:r w:rsidR="000B79B3" w:rsidRPr="00AB30D9">
        <w:rPr>
          <w:rFonts w:ascii="Arial" w:hAnsi="Arial" w:cs="Arial"/>
        </w:rPr>
        <w:t xml:space="preserve"> the</w:t>
      </w:r>
      <w:r w:rsidR="00035B0F" w:rsidRPr="00AB30D9">
        <w:rPr>
          <w:rFonts w:ascii="Arial" w:hAnsi="Arial" w:cs="Arial"/>
          <w:i/>
        </w:rPr>
        <w:t xml:space="preserve"> </w:t>
      </w:r>
      <w:r w:rsidR="00E466B1" w:rsidRPr="00AB30D9">
        <w:rPr>
          <w:rFonts w:ascii="Arial" w:hAnsi="Arial" w:cs="Arial"/>
          <w:i/>
        </w:rPr>
        <w:t xml:space="preserve">National Greenhouse and Energy Reporting (Measurement) Amendment </w:t>
      </w:r>
      <w:r w:rsidR="00AE19F6">
        <w:rPr>
          <w:rFonts w:ascii="Arial" w:hAnsi="Arial" w:cs="Arial"/>
          <w:i/>
        </w:rPr>
        <w:t xml:space="preserve">(Energy) </w:t>
      </w:r>
      <w:r w:rsidR="00E466B1" w:rsidRPr="00AB30D9">
        <w:rPr>
          <w:rFonts w:ascii="Arial" w:hAnsi="Arial" w:cs="Arial"/>
          <w:i/>
        </w:rPr>
        <w:t xml:space="preserve">Determination </w:t>
      </w:r>
      <w:r w:rsidR="00346C5A" w:rsidRPr="00AB30D9">
        <w:rPr>
          <w:rFonts w:ascii="Arial" w:hAnsi="Arial" w:cs="Arial"/>
          <w:i/>
        </w:rPr>
        <w:t>201</w:t>
      </w:r>
      <w:r w:rsidR="00AB30D9" w:rsidRPr="00AB30D9">
        <w:rPr>
          <w:rFonts w:ascii="Arial" w:hAnsi="Arial" w:cs="Arial"/>
          <w:i/>
        </w:rPr>
        <w:t>7</w:t>
      </w:r>
      <w:r w:rsidR="00F24267" w:rsidRPr="00AB30D9">
        <w:rPr>
          <w:rFonts w:ascii="Arial" w:hAnsi="Arial" w:cs="Arial"/>
          <w:i/>
        </w:rPr>
        <w:t>.</w:t>
      </w:r>
      <w:r w:rsidR="00345E7B" w:rsidRPr="00AB30D9">
        <w:rPr>
          <w:rFonts w:ascii="Arial" w:hAnsi="Arial" w:cs="Arial"/>
          <w:i/>
        </w:rPr>
        <w:t xml:space="preserve"> </w:t>
      </w:r>
    </w:p>
    <w:p w14:paraId="355014D1" w14:textId="3974D334" w:rsidR="00010E2E" w:rsidRDefault="00010E2E">
      <w:pPr>
        <w:pStyle w:val="Text"/>
        <w:spacing w:before="120"/>
        <w:rPr>
          <w:rFonts w:ascii="Arial" w:hAnsi="Arial" w:cs="Arial"/>
        </w:rPr>
      </w:pPr>
      <w:r w:rsidRPr="000731CD">
        <w:rPr>
          <w:rFonts w:ascii="Arial" w:hAnsi="Arial" w:cs="Arial"/>
        </w:rPr>
        <w:t>The default emission factors listed</w:t>
      </w:r>
      <w:r>
        <w:rPr>
          <w:rFonts w:ascii="Arial" w:hAnsi="Arial" w:cs="Arial"/>
        </w:rPr>
        <w:t xml:space="preserve"> have been estimated by the </w:t>
      </w:r>
      <w:r w:rsidR="007011CE">
        <w:rPr>
          <w:rFonts w:ascii="Arial" w:hAnsi="Arial" w:cs="Arial"/>
        </w:rPr>
        <w:t>Department of the Environment</w:t>
      </w:r>
      <w:r w:rsidR="007E29EE">
        <w:rPr>
          <w:rFonts w:ascii="Arial" w:hAnsi="Arial" w:cs="Arial"/>
        </w:rPr>
        <w:t xml:space="preserve"> and Energy</w:t>
      </w:r>
      <w:r w:rsidR="004E5A19">
        <w:rPr>
          <w:rFonts w:ascii="Arial" w:hAnsi="Arial" w:cs="Arial"/>
        </w:rPr>
        <w:t xml:space="preserve"> </w:t>
      </w:r>
      <w:r>
        <w:rPr>
          <w:rFonts w:ascii="Arial" w:hAnsi="Arial" w:cs="Arial"/>
        </w:rPr>
        <w:t xml:space="preserve">using the </w:t>
      </w:r>
      <w:r>
        <w:rPr>
          <w:rFonts w:ascii="Arial" w:hAnsi="Arial" w:cs="Arial"/>
          <w:iCs/>
        </w:rPr>
        <w:t>Australian Greenhouse Emissions Information System</w:t>
      </w:r>
      <w:r>
        <w:rPr>
          <w:rFonts w:ascii="Arial" w:hAnsi="Arial" w:cs="Arial"/>
          <w:i/>
        </w:rPr>
        <w:t xml:space="preserve"> </w:t>
      </w:r>
      <w:r>
        <w:rPr>
          <w:rFonts w:ascii="Arial" w:hAnsi="Arial" w:cs="Arial"/>
          <w:iCs/>
        </w:rPr>
        <w:t>(AGEIS)</w:t>
      </w:r>
      <w:r>
        <w:rPr>
          <w:rFonts w:ascii="Arial" w:hAnsi="Arial" w:cs="Arial"/>
        </w:rPr>
        <w:t xml:space="preserve"> and are determined simultaneously with the production of </w:t>
      </w:r>
      <w:r>
        <w:rPr>
          <w:rFonts w:ascii="Arial" w:hAnsi="Arial" w:cs="Arial"/>
          <w:iCs/>
        </w:rPr>
        <w:t>Australia’s National Greenhouse Accounts</w:t>
      </w:r>
      <w:r>
        <w:rPr>
          <w:rFonts w:ascii="Arial" w:hAnsi="Arial" w:cs="Arial"/>
          <w:i/>
        </w:rPr>
        <w:t xml:space="preserve">. </w:t>
      </w:r>
      <w:r>
        <w:rPr>
          <w:rFonts w:ascii="Arial" w:hAnsi="Arial" w:cs="Arial"/>
        </w:rPr>
        <w:t xml:space="preserve">This </w:t>
      </w:r>
      <w:r w:rsidR="00990E77">
        <w:rPr>
          <w:rFonts w:ascii="Arial" w:hAnsi="Arial" w:cs="Arial"/>
        </w:rPr>
        <w:t>promotes</w:t>
      </w:r>
      <w:r>
        <w:rPr>
          <w:rFonts w:ascii="Arial" w:hAnsi="Arial" w:cs="Arial"/>
        </w:rPr>
        <w:t xml:space="preserve"> consistency between inventories at company or facility level and the emission estimates presented in the </w:t>
      </w:r>
      <w:r>
        <w:rPr>
          <w:rFonts w:ascii="Arial" w:hAnsi="Arial" w:cs="Arial"/>
          <w:iCs/>
        </w:rPr>
        <w:t>National Greenhouse Accounts</w:t>
      </w:r>
      <w:r>
        <w:rPr>
          <w:rFonts w:ascii="Arial" w:hAnsi="Arial" w:cs="Arial"/>
        </w:rPr>
        <w:t xml:space="preserve">. The emission factors are referred to in this document as NGA default emission factors.  </w:t>
      </w:r>
    </w:p>
    <w:p w14:paraId="5C3B63C6" w14:textId="4019C293" w:rsidR="00FD3D48" w:rsidRDefault="00010E2E">
      <w:pPr>
        <w:pStyle w:val="Text"/>
        <w:spacing w:before="120"/>
        <w:rPr>
          <w:rFonts w:ascii="Arial" w:hAnsi="Arial" w:cs="Arial"/>
        </w:rPr>
      </w:pPr>
      <w:r>
        <w:rPr>
          <w:rFonts w:ascii="Arial" w:hAnsi="Arial" w:cs="Arial"/>
        </w:rPr>
        <w:t xml:space="preserve">More information on the estimation methods employed in the National Greenhouse Accounts is available in the </w:t>
      </w:r>
      <w:r w:rsidR="00E25CFC">
        <w:rPr>
          <w:rFonts w:ascii="Arial" w:hAnsi="Arial" w:cs="Arial"/>
          <w:i/>
        </w:rPr>
        <w:t>National Inventory Report 20</w:t>
      </w:r>
      <w:r w:rsidR="002B2E60">
        <w:rPr>
          <w:rFonts w:ascii="Arial" w:hAnsi="Arial" w:cs="Arial"/>
          <w:i/>
        </w:rPr>
        <w:t>1</w:t>
      </w:r>
      <w:r w:rsidR="00E04880">
        <w:rPr>
          <w:rFonts w:ascii="Arial" w:hAnsi="Arial" w:cs="Arial"/>
          <w:i/>
        </w:rPr>
        <w:t>5</w:t>
      </w:r>
      <w:r>
        <w:rPr>
          <w:rFonts w:ascii="Arial" w:hAnsi="Arial" w:cs="Arial"/>
        </w:rPr>
        <w:t xml:space="preserve">.  The methods used at the national level, and reflected in the factors reported here, are consistent with international guidelines and are subject to international expert </w:t>
      </w:r>
      <w:r w:rsidRPr="00C01050">
        <w:rPr>
          <w:rFonts w:ascii="Arial" w:hAnsi="Arial" w:cs="Arial"/>
        </w:rPr>
        <w:t>review each year.</w:t>
      </w:r>
      <w:r w:rsidR="00FD3D48">
        <w:rPr>
          <w:rFonts w:ascii="Arial" w:hAnsi="Arial" w:cs="Arial"/>
        </w:rPr>
        <w:t xml:space="preserve">  </w:t>
      </w:r>
    </w:p>
    <w:p w14:paraId="6D6F9891" w14:textId="77777777" w:rsidR="009843AA" w:rsidRPr="00F122D0" w:rsidRDefault="009843AA" w:rsidP="009843AA">
      <w:pPr>
        <w:pStyle w:val="Heading2"/>
        <w:numPr>
          <w:ilvl w:val="0"/>
          <w:numId w:val="0"/>
        </w:numPr>
        <w:spacing w:before="240" w:after="0" w:line="312" w:lineRule="auto"/>
        <w:ind w:left="576" w:hanging="576"/>
        <w:rPr>
          <w:rFonts w:ascii="Arial" w:hAnsi="Arial" w:cs="Arial"/>
          <w:bCs/>
        </w:rPr>
      </w:pPr>
      <w:r w:rsidRPr="00F122D0">
        <w:rPr>
          <w:rFonts w:ascii="Arial" w:hAnsi="Arial" w:cs="Arial"/>
          <w:bCs/>
        </w:rPr>
        <w:t>Revisions to the previous issue</w:t>
      </w:r>
    </w:p>
    <w:p w14:paraId="6D3CD342" w14:textId="78FAB16F" w:rsidR="00D91604" w:rsidRPr="00672DDB" w:rsidRDefault="005C184F" w:rsidP="00D91604">
      <w:pPr>
        <w:spacing w:before="120" w:line="312" w:lineRule="auto"/>
        <w:ind w:left="0"/>
        <w:rPr>
          <w:rFonts w:ascii="Arial" w:hAnsi="Arial" w:cs="Arial"/>
        </w:rPr>
      </w:pPr>
      <w:r w:rsidRPr="00C01050">
        <w:rPr>
          <w:rFonts w:ascii="Arial" w:hAnsi="Arial" w:cs="Arial"/>
        </w:rPr>
        <w:t xml:space="preserve">The emission factors reported in this publication replace those listed in the </w:t>
      </w:r>
      <w:r w:rsidRPr="00C01050">
        <w:rPr>
          <w:rFonts w:ascii="Arial" w:hAnsi="Arial" w:cs="Arial"/>
          <w:i/>
          <w:iCs/>
        </w:rPr>
        <w:t>NGA Factors</w:t>
      </w:r>
      <w:r w:rsidR="0075709E">
        <w:rPr>
          <w:rFonts w:ascii="Arial" w:hAnsi="Arial" w:cs="Arial"/>
          <w:i/>
          <w:iCs/>
        </w:rPr>
        <w:t xml:space="preserve"> Workbook</w:t>
      </w:r>
      <w:r w:rsidRPr="00C01050">
        <w:rPr>
          <w:rFonts w:ascii="Arial" w:hAnsi="Arial" w:cs="Arial"/>
        </w:rPr>
        <w:t xml:space="preserve"> released in</w:t>
      </w:r>
      <w:r w:rsidR="00806CDF">
        <w:rPr>
          <w:rFonts w:ascii="Arial" w:hAnsi="Arial" w:cs="Arial"/>
        </w:rPr>
        <w:t xml:space="preserve"> </w:t>
      </w:r>
      <w:r w:rsidR="00F12297">
        <w:rPr>
          <w:rFonts w:ascii="Arial" w:hAnsi="Arial" w:cs="Arial"/>
        </w:rPr>
        <w:t>August 2016</w:t>
      </w:r>
      <w:r w:rsidRPr="00C01050">
        <w:rPr>
          <w:rFonts w:ascii="Arial" w:hAnsi="Arial" w:cs="Arial"/>
        </w:rPr>
        <w:t xml:space="preserve">. </w:t>
      </w:r>
      <w:r w:rsidR="00D50833">
        <w:rPr>
          <w:rFonts w:ascii="Arial" w:hAnsi="Arial" w:cs="Arial"/>
        </w:rPr>
        <w:t xml:space="preserve">The </w:t>
      </w:r>
      <w:r w:rsidR="00F12297" w:rsidRPr="00914552">
        <w:rPr>
          <w:rFonts w:ascii="Arial" w:hAnsi="Arial" w:cs="Arial"/>
          <w:i/>
        </w:rPr>
        <w:t xml:space="preserve">NGA Factors Workbook </w:t>
      </w:r>
      <w:r w:rsidR="00E04880" w:rsidRPr="00914552">
        <w:rPr>
          <w:rFonts w:ascii="Arial" w:hAnsi="Arial" w:cs="Arial"/>
          <w:i/>
        </w:rPr>
        <w:t>July</w:t>
      </w:r>
      <w:r w:rsidR="00BA6A01" w:rsidRPr="00914552">
        <w:rPr>
          <w:rFonts w:ascii="Arial" w:hAnsi="Arial" w:cs="Arial"/>
          <w:i/>
        </w:rPr>
        <w:t xml:space="preserve"> </w:t>
      </w:r>
      <w:r w:rsidR="00F12297" w:rsidRPr="00914552">
        <w:rPr>
          <w:rFonts w:ascii="Arial" w:hAnsi="Arial" w:cs="Arial"/>
          <w:i/>
        </w:rPr>
        <w:t>2017</w:t>
      </w:r>
      <w:r w:rsidR="00A81193">
        <w:rPr>
          <w:rFonts w:ascii="Arial" w:hAnsi="Arial" w:cs="Arial"/>
        </w:rPr>
        <w:t xml:space="preserve"> </w:t>
      </w:r>
      <w:r w:rsidR="00D50833">
        <w:rPr>
          <w:rFonts w:ascii="Arial" w:hAnsi="Arial" w:cs="Arial"/>
        </w:rPr>
        <w:t xml:space="preserve">has been updated to include the latest </w:t>
      </w:r>
      <w:r w:rsidR="00D50833" w:rsidRPr="00AB30D9">
        <w:rPr>
          <w:rFonts w:ascii="Arial" w:hAnsi="Arial" w:cs="Arial"/>
        </w:rPr>
        <w:t xml:space="preserve">amendments to Method 1 methodologies within the </w:t>
      </w:r>
      <w:r w:rsidR="00D50833" w:rsidRPr="00AB30D9">
        <w:rPr>
          <w:rFonts w:ascii="Arial" w:hAnsi="Arial" w:cs="Arial"/>
          <w:i/>
        </w:rPr>
        <w:t xml:space="preserve">National Greenhouse and Energy Reporting (Measurement) Amendment </w:t>
      </w:r>
      <w:r w:rsidR="00990E77">
        <w:rPr>
          <w:rFonts w:ascii="Arial" w:hAnsi="Arial" w:cs="Arial"/>
          <w:i/>
        </w:rPr>
        <w:t xml:space="preserve">(Energy) </w:t>
      </w:r>
      <w:r w:rsidR="00D50833" w:rsidRPr="00AB30D9">
        <w:rPr>
          <w:rFonts w:ascii="Arial" w:hAnsi="Arial" w:cs="Arial"/>
          <w:i/>
        </w:rPr>
        <w:t>Determination 201</w:t>
      </w:r>
      <w:r w:rsidR="00AB30D9">
        <w:rPr>
          <w:rFonts w:ascii="Arial" w:hAnsi="Arial" w:cs="Arial"/>
          <w:i/>
        </w:rPr>
        <w:t>7</w:t>
      </w:r>
      <w:r w:rsidR="00A81193" w:rsidRPr="00AB30D9">
        <w:rPr>
          <w:rFonts w:ascii="Arial" w:hAnsi="Arial" w:cs="Arial"/>
          <w:i/>
        </w:rPr>
        <w:t>.</w:t>
      </w:r>
      <w:r w:rsidR="00F24267" w:rsidRPr="00AB30D9">
        <w:rPr>
          <w:rFonts w:ascii="Arial" w:hAnsi="Arial" w:cs="Arial"/>
          <w:i/>
        </w:rPr>
        <w:t xml:space="preserve"> </w:t>
      </w:r>
      <w:r w:rsidR="00D91604" w:rsidRPr="00AB30D9">
        <w:rPr>
          <w:rFonts w:ascii="Arial" w:hAnsi="Arial" w:cs="Arial"/>
        </w:rPr>
        <w:t>Updates in this workbook include:</w:t>
      </w:r>
    </w:p>
    <w:p w14:paraId="6B7D05A6" w14:textId="4868EA76" w:rsidR="00786715" w:rsidRDefault="00786715" w:rsidP="001E7AAE">
      <w:pPr>
        <w:numPr>
          <w:ilvl w:val="0"/>
          <w:numId w:val="17"/>
        </w:numPr>
        <w:spacing w:before="120" w:line="312" w:lineRule="auto"/>
        <w:rPr>
          <w:rFonts w:ascii="Arial" w:hAnsi="Arial" w:cs="Arial"/>
        </w:rPr>
      </w:pPr>
      <w:r>
        <w:rPr>
          <w:rFonts w:ascii="Arial" w:hAnsi="Arial" w:cs="Arial"/>
        </w:rPr>
        <w:t>Electricity – an explanation of how scope 2 factors are calculated has been added in section 2.3.</w:t>
      </w:r>
    </w:p>
    <w:p w14:paraId="51816A0F" w14:textId="4475DE85" w:rsidR="001E7AAE" w:rsidRDefault="001E7AAE" w:rsidP="001E7AAE">
      <w:pPr>
        <w:numPr>
          <w:ilvl w:val="0"/>
          <w:numId w:val="17"/>
        </w:numPr>
        <w:spacing w:before="120" w:line="312" w:lineRule="auto"/>
        <w:rPr>
          <w:rFonts w:ascii="Arial" w:hAnsi="Arial" w:cs="Arial"/>
        </w:rPr>
      </w:pPr>
      <w:r w:rsidRPr="003F782F">
        <w:rPr>
          <w:rFonts w:ascii="Arial" w:hAnsi="Arial" w:cs="Arial"/>
        </w:rPr>
        <w:t>Electricity –  most recent</w:t>
      </w:r>
      <w:r>
        <w:rPr>
          <w:rFonts w:ascii="Arial" w:hAnsi="Arial" w:cs="Arial"/>
        </w:rPr>
        <w:t xml:space="preserve"> </w:t>
      </w:r>
      <w:r w:rsidRPr="003F782F">
        <w:rPr>
          <w:rFonts w:ascii="Arial" w:hAnsi="Arial" w:cs="Arial"/>
        </w:rPr>
        <w:t>scope 2</w:t>
      </w:r>
      <w:r>
        <w:rPr>
          <w:rFonts w:ascii="Arial" w:hAnsi="Arial" w:cs="Arial"/>
        </w:rPr>
        <w:t xml:space="preserve"> and scope 3</w:t>
      </w:r>
      <w:r w:rsidRPr="003F782F">
        <w:rPr>
          <w:rFonts w:ascii="Arial" w:hAnsi="Arial" w:cs="Arial"/>
        </w:rPr>
        <w:t xml:space="preserve"> emission factors</w:t>
      </w:r>
      <w:r w:rsidR="00295791">
        <w:rPr>
          <w:rFonts w:ascii="Arial" w:hAnsi="Arial" w:cs="Arial"/>
        </w:rPr>
        <w:t xml:space="preserve"> have been included</w:t>
      </w:r>
      <w:r w:rsidRPr="003F782F">
        <w:rPr>
          <w:rFonts w:ascii="Arial" w:hAnsi="Arial" w:cs="Arial"/>
        </w:rPr>
        <w:t xml:space="preserve"> </w:t>
      </w:r>
      <w:r w:rsidRPr="00B80F09">
        <w:rPr>
          <w:rFonts w:ascii="Arial" w:hAnsi="Arial" w:cs="Arial"/>
        </w:rPr>
        <w:t>(Tables 5</w:t>
      </w:r>
      <w:r>
        <w:rPr>
          <w:rFonts w:ascii="Arial" w:hAnsi="Arial" w:cs="Arial"/>
        </w:rPr>
        <w:t>, 6 and 41</w:t>
      </w:r>
      <w:r w:rsidRPr="003F782F">
        <w:rPr>
          <w:rFonts w:ascii="Arial" w:hAnsi="Arial" w:cs="Arial"/>
        </w:rPr>
        <w:t>);</w:t>
      </w:r>
    </w:p>
    <w:p w14:paraId="500DD630" w14:textId="7893F434" w:rsidR="001E7AAE" w:rsidRDefault="00E16369" w:rsidP="001E7AAE">
      <w:pPr>
        <w:numPr>
          <w:ilvl w:val="0"/>
          <w:numId w:val="17"/>
        </w:numPr>
        <w:spacing w:before="120" w:line="312" w:lineRule="auto"/>
        <w:rPr>
          <w:rFonts w:ascii="Arial" w:hAnsi="Arial" w:cs="Arial"/>
        </w:rPr>
      </w:pPr>
      <w:r>
        <w:rPr>
          <w:rFonts w:ascii="Arial" w:hAnsi="Arial" w:cs="Arial"/>
        </w:rPr>
        <w:t xml:space="preserve">Composting factor </w:t>
      </w:r>
      <w:r w:rsidR="00AB30D9">
        <w:rPr>
          <w:rFonts w:ascii="Arial" w:hAnsi="Arial" w:cs="Arial"/>
        </w:rPr>
        <w:t xml:space="preserve">for </w:t>
      </w:r>
      <w:r w:rsidR="00521E61">
        <w:rPr>
          <w:rFonts w:ascii="Arial" w:hAnsi="Arial" w:cs="Arial"/>
        </w:rPr>
        <w:t>b</w:t>
      </w:r>
      <w:r w:rsidR="00C95ABE">
        <w:rPr>
          <w:rFonts w:ascii="Arial" w:hAnsi="Arial" w:cs="Arial"/>
        </w:rPr>
        <w:t>iological treatment of solid waste at the landfill has changed (section 5.2</w:t>
      </w:r>
      <w:r w:rsidR="00786715">
        <w:rPr>
          <w:rFonts w:ascii="Arial" w:hAnsi="Arial" w:cs="Arial"/>
        </w:rPr>
        <w:t>)</w:t>
      </w:r>
      <w:r w:rsidR="001E7AAE">
        <w:rPr>
          <w:rFonts w:ascii="Arial" w:hAnsi="Arial" w:cs="Arial"/>
        </w:rPr>
        <w:t>.</w:t>
      </w:r>
    </w:p>
    <w:p w14:paraId="3DDED3C4" w14:textId="77777777" w:rsidR="005C184F" w:rsidRPr="00672DDB" w:rsidRDefault="005C184F" w:rsidP="005C184F">
      <w:pPr>
        <w:spacing w:before="120" w:line="312" w:lineRule="auto"/>
        <w:ind w:left="0"/>
        <w:rPr>
          <w:rFonts w:ascii="Arial" w:hAnsi="Arial" w:cs="Arial"/>
        </w:rPr>
      </w:pPr>
      <w:r w:rsidRPr="003F782F">
        <w:rPr>
          <w:rFonts w:ascii="Arial" w:hAnsi="Arial" w:cs="Arial"/>
        </w:rPr>
        <w:t>Further information about revised</w:t>
      </w:r>
      <w:r w:rsidRPr="00345E7B">
        <w:rPr>
          <w:rFonts w:ascii="Arial" w:hAnsi="Arial" w:cs="Arial"/>
        </w:rPr>
        <w:t xml:space="preserve"> factors can be found at Appendix 5.</w:t>
      </w:r>
    </w:p>
    <w:p w14:paraId="286EE85C" w14:textId="77777777" w:rsidR="00D34D42" w:rsidRPr="00571F92" w:rsidRDefault="00D34D42" w:rsidP="00AA7B42">
      <w:pPr>
        <w:pStyle w:val="BodyText"/>
        <w:tabs>
          <w:tab w:val="left" w:pos="-90"/>
          <w:tab w:val="left" w:pos="0"/>
        </w:tabs>
        <w:spacing w:before="120" w:after="0" w:line="312" w:lineRule="auto"/>
        <w:ind w:left="0"/>
        <w:rPr>
          <w:rFonts w:ascii="Arial" w:hAnsi="Arial" w:cs="Arial"/>
          <w:iCs/>
        </w:rPr>
      </w:pPr>
    </w:p>
    <w:p w14:paraId="41D4E950" w14:textId="77777777" w:rsidR="00010E2E" w:rsidRDefault="00010E2E" w:rsidP="00013789">
      <w:pPr>
        <w:pStyle w:val="BodyText"/>
        <w:tabs>
          <w:tab w:val="left" w:pos="0"/>
          <w:tab w:val="left" w:pos="2250"/>
        </w:tabs>
        <w:spacing w:before="120" w:after="0" w:line="312" w:lineRule="auto"/>
        <w:ind w:left="0"/>
        <w:rPr>
          <w:rFonts w:ascii="Arial" w:hAnsi="Arial" w:cs="Arial"/>
        </w:rPr>
      </w:pPr>
    </w:p>
    <w:p w14:paraId="20077E60" w14:textId="77777777" w:rsidR="00010E2E" w:rsidRDefault="00010E2E">
      <w:pPr>
        <w:pStyle w:val="Heading1"/>
        <w:tabs>
          <w:tab w:val="left" w:pos="0"/>
          <w:tab w:val="left" w:pos="2250"/>
        </w:tabs>
        <w:spacing w:before="120" w:after="0" w:line="312" w:lineRule="auto"/>
        <w:ind w:left="0" w:firstLine="0"/>
        <w:rPr>
          <w:rFonts w:ascii="Arial" w:hAnsi="Arial" w:cs="Arial"/>
        </w:rPr>
      </w:pPr>
      <w:bookmarkStart w:id="4" w:name="_Toc69785169"/>
      <w:bookmarkStart w:id="5" w:name="_Toc75660544"/>
      <w:bookmarkStart w:id="6" w:name="_Toc76473643"/>
      <w:bookmarkStart w:id="7" w:name="_Toc76473857"/>
      <w:bookmarkStart w:id="8" w:name="_Toc120525201"/>
      <w:bookmarkStart w:id="9" w:name="_Toc121648134"/>
      <w:bookmarkStart w:id="10" w:name="_Toc142888278"/>
      <w:bookmarkStart w:id="11" w:name="_Toc391646676"/>
      <w:r>
        <w:rPr>
          <w:rFonts w:ascii="Arial" w:hAnsi="Arial" w:cs="Arial"/>
        </w:rPr>
        <w:t>Key definitions and terms</w:t>
      </w:r>
      <w:bookmarkEnd w:id="4"/>
      <w:bookmarkEnd w:id="5"/>
      <w:bookmarkEnd w:id="6"/>
      <w:bookmarkEnd w:id="7"/>
      <w:bookmarkEnd w:id="8"/>
      <w:bookmarkEnd w:id="9"/>
      <w:bookmarkEnd w:id="10"/>
      <w:bookmarkEnd w:id="11"/>
    </w:p>
    <w:p w14:paraId="5A87FA52" w14:textId="77777777" w:rsidR="00FA1BF9" w:rsidRDefault="00FA1BF9" w:rsidP="00FA1BF9">
      <w:pPr>
        <w:pStyle w:val="Heading2"/>
        <w:numPr>
          <w:ilvl w:val="0"/>
          <w:numId w:val="0"/>
        </w:numPr>
        <w:spacing w:before="120" w:after="0" w:line="312" w:lineRule="auto"/>
        <w:ind w:left="576"/>
        <w:rPr>
          <w:rFonts w:ascii="Arial" w:hAnsi="Arial" w:cs="Arial"/>
          <w:bCs/>
        </w:rPr>
      </w:pPr>
      <w:bookmarkStart w:id="12" w:name="_Toc69785170"/>
      <w:bookmarkStart w:id="13" w:name="_Toc75660545"/>
      <w:bookmarkStart w:id="14" w:name="_Toc76473644"/>
      <w:bookmarkStart w:id="15" w:name="_Toc76473858"/>
      <w:bookmarkStart w:id="16" w:name="_Toc120525202"/>
      <w:bookmarkStart w:id="17" w:name="_Toc121648135"/>
      <w:bookmarkStart w:id="18" w:name="_Toc142888279"/>
    </w:p>
    <w:p w14:paraId="2D9B06A3" w14:textId="77777777" w:rsidR="00010E2E" w:rsidRDefault="00010E2E">
      <w:pPr>
        <w:pStyle w:val="Heading2"/>
        <w:spacing w:before="120" w:after="0" w:line="312" w:lineRule="auto"/>
        <w:rPr>
          <w:rFonts w:ascii="Arial" w:hAnsi="Arial" w:cs="Arial"/>
          <w:bCs/>
        </w:rPr>
      </w:pPr>
      <w:r>
        <w:rPr>
          <w:rFonts w:ascii="Arial" w:hAnsi="Arial" w:cs="Arial"/>
          <w:bCs/>
        </w:rPr>
        <w:t>Direct and indirect emissions</w:t>
      </w:r>
      <w:bookmarkEnd w:id="12"/>
      <w:bookmarkEnd w:id="13"/>
      <w:bookmarkEnd w:id="14"/>
      <w:bookmarkEnd w:id="15"/>
      <w:bookmarkEnd w:id="16"/>
      <w:bookmarkEnd w:id="17"/>
      <w:bookmarkEnd w:id="18"/>
    </w:p>
    <w:p w14:paraId="2F5A75CE"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b/>
          <w:bCs/>
        </w:rPr>
        <w:t>Direct emissions</w:t>
      </w:r>
      <w:r>
        <w:rPr>
          <w:rFonts w:ascii="Arial" w:hAnsi="Arial" w:cs="Arial"/>
        </w:rPr>
        <w:t xml:space="preserve"> are produced from sources within the boundary of an organisation and as a result of that organisation’s activities.  These emissions mainly arise from the following activities:</w:t>
      </w:r>
    </w:p>
    <w:p w14:paraId="3C662A77" w14:textId="77777777" w:rsidR="00010E2E" w:rsidRDefault="00010E2E" w:rsidP="003536C2">
      <w:pPr>
        <w:numPr>
          <w:ilvl w:val="0"/>
          <w:numId w:val="17"/>
        </w:numPr>
        <w:spacing w:before="120" w:line="312" w:lineRule="auto"/>
        <w:rPr>
          <w:rFonts w:ascii="Arial" w:hAnsi="Arial" w:cs="Arial"/>
        </w:rPr>
      </w:pPr>
      <w:r>
        <w:rPr>
          <w:rFonts w:ascii="Arial" w:hAnsi="Arial" w:cs="Arial"/>
        </w:rPr>
        <w:t>generation of energy, heat, steam and electricity, including carbon dioxide and products of incomplete combustion (methane and nitrous oxide);</w:t>
      </w:r>
    </w:p>
    <w:p w14:paraId="3677EDC6" w14:textId="77777777" w:rsidR="00010E2E" w:rsidRDefault="00010E2E" w:rsidP="003536C2">
      <w:pPr>
        <w:numPr>
          <w:ilvl w:val="0"/>
          <w:numId w:val="17"/>
        </w:numPr>
        <w:spacing w:before="120" w:line="312" w:lineRule="auto"/>
        <w:rPr>
          <w:rFonts w:ascii="Arial" w:hAnsi="Arial" w:cs="Arial"/>
        </w:rPr>
      </w:pPr>
      <w:r>
        <w:rPr>
          <w:rFonts w:ascii="Arial" w:hAnsi="Arial" w:cs="Arial"/>
        </w:rPr>
        <w:t xml:space="preserve">manufacturing processes which produce emissions (for example, </w:t>
      </w:r>
      <w:r w:rsidR="00B02DA0">
        <w:rPr>
          <w:rFonts w:ascii="Arial" w:hAnsi="Arial" w:cs="Arial"/>
        </w:rPr>
        <w:t>1</w:t>
      </w:r>
      <w:r>
        <w:rPr>
          <w:rFonts w:ascii="Arial" w:hAnsi="Arial" w:cs="Arial"/>
        </w:rPr>
        <w:t>cement, aluminium and ammonia production);</w:t>
      </w:r>
    </w:p>
    <w:p w14:paraId="31E996E7" w14:textId="77777777" w:rsidR="00010E2E" w:rsidRDefault="00010E2E" w:rsidP="003536C2">
      <w:pPr>
        <w:numPr>
          <w:ilvl w:val="0"/>
          <w:numId w:val="17"/>
        </w:numPr>
        <w:spacing w:before="120" w:line="312" w:lineRule="auto"/>
        <w:rPr>
          <w:rFonts w:ascii="Arial" w:hAnsi="Arial" w:cs="Arial"/>
        </w:rPr>
      </w:pPr>
      <w:r>
        <w:rPr>
          <w:rFonts w:ascii="Arial" w:hAnsi="Arial" w:cs="Arial"/>
        </w:rPr>
        <w:t xml:space="preserve">transportation of materials, products, waste and people; for example, use of vehicles owned and operated by the reporting organisation; </w:t>
      </w:r>
    </w:p>
    <w:p w14:paraId="694EEAD1" w14:textId="77777777" w:rsidR="00010E2E" w:rsidRDefault="00010E2E" w:rsidP="003536C2">
      <w:pPr>
        <w:numPr>
          <w:ilvl w:val="0"/>
          <w:numId w:val="17"/>
        </w:numPr>
        <w:spacing w:before="120" w:line="312" w:lineRule="auto"/>
        <w:rPr>
          <w:rFonts w:ascii="Arial" w:hAnsi="Arial" w:cs="Arial"/>
        </w:rPr>
      </w:pPr>
      <w:r>
        <w:rPr>
          <w:rFonts w:ascii="Arial" w:hAnsi="Arial" w:cs="Arial"/>
        </w:rPr>
        <w:t>fugitive emissions: intentional or unintentional GHG releases (such as methane emissions from coal mines, natural gas leaks from joints and seals); and</w:t>
      </w:r>
    </w:p>
    <w:p w14:paraId="13933808" w14:textId="77777777" w:rsidR="00010E2E" w:rsidRDefault="00010E2E" w:rsidP="003536C2">
      <w:pPr>
        <w:numPr>
          <w:ilvl w:val="0"/>
          <w:numId w:val="17"/>
        </w:numPr>
        <w:spacing w:before="120" w:line="312" w:lineRule="auto"/>
        <w:rPr>
          <w:rFonts w:ascii="Arial" w:hAnsi="Arial" w:cs="Arial"/>
        </w:rPr>
      </w:pPr>
      <w:r>
        <w:rPr>
          <w:rFonts w:ascii="Arial" w:hAnsi="Arial" w:cs="Arial"/>
        </w:rPr>
        <w:t>on-site waste management, such as emissions from landfill sites.</w:t>
      </w:r>
    </w:p>
    <w:p w14:paraId="11D95829"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For example, a company</w:t>
      </w:r>
      <w:r>
        <w:rPr>
          <w:rFonts w:ascii="Arial" w:hAnsi="Arial" w:cs="Arial"/>
          <w:b/>
          <w:bCs/>
        </w:rPr>
        <w:t xml:space="preserve"> </w:t>
      </w:r>
      <w:r>
        <w:rPr>
          <w:rFonts w:ascii="Arial" w:hAnsi="Arial" w:cs="Arial"/>
        </w:rPr>
        <w:t xml:space="preserve">with a car fleet would report greenhouse gas emissions from the combustion of petrol in those motor vehicles as direct emissions.  Similarly, a mining company would report methane escaping from a coal seam during mining (fugitive emissions) as direct emissions and a cement manufacturer would report carbon dioxide released during cement </w:t>
      </w:r>
      <w:r w:rsidR="00E25CFC">
        <w:rPr>
          <w:rFonts w:ascii="Arial" w:hAnsi="Arial" w:cs="Arial"/>
        </w:rPr>
        <w:t xml:space="preserve">clinker </w:t>
      </w:r>
      <w:r>
        <w:rPr>
          <w:rFonts w:ascii="Arial" w:hAnsi="Arial" w:cs="Arial"/>
        </w:rPr>
        <w:t xml:space="preserve">production as direct emissions.  </w:t>
      </w:r>
    </w:p>
    <w:p w14:paraId="5A17DAC9"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Emission factors for calculating direct emissions are generally expressed in the form of a quantity of a given GHG emitted per unit of energy (kg CO</w:t>
      </w:r>
      <w:r>
        <w:rPr>
          <w:rFonts w:ascii="Arial" w:hAnsi="Arial" w:cs="Arial"/>
          <w:vertAlign w:val="subscript"/>
        </w:rPr>
        <w:t>2</w:t>
      </w:r>
      <w:r>
        <w:rPr>
          <w:rFonts w:ascii="Arial" w:hAnsi="Arial" w:cs="Arial"/>
        </w:rPr>
        <w:t>-e /GJ), fuel (t CH</w:t>
      </w:r>
      <w:r>
        <w:rPr>
          <w:rFonts w:ascii="Arial" w:hAnsi="Arial" w:cs="Arial"/>
          <w:vertAlign w:val="subscript"/>
        </w:rPr>
        <w:t>4</w:t>
      </w:r>
      <w:r>
        <w:rPr>
          <w:rFonts w:ascii="Arial" w:hAnsi="Arial" w:cs="Arial"/>
        </w:rPr>
        <w:t>/t coal) or a similar measure.  Emission factors are used to calculate GHG emissions by multiplying the factor (e.g. kg CO</w:t>
      </w:r>
      <w:r>
        <w:rPr>
          <w:rFonts w:ascii="Arial" w:hAnsi="Arial" w:cs="Arial"/>
          <w:vertAlign w:val="subscript"/>
        </w:rPr>
        <w:t>2</w:t>
      </w:r>
      <w:r>
        <w:rPr>
          <w:rFonts w:ascii="Arial" w:hAnsi="Arial" w:cs="Arial"/>
        </w:rPr>
        <w:t>/GJ energy in petrol) with activity data (e.g. kilolitres x energy density of petrol used).  In this workbook, emission factors are provided as applicable, for each of the following greenhouse gases:</w:t>
      </w:r>
    </w:p>
    <w:p w14:paraId="60312C35" w14:textId="77777777" w:rsidR="00010E2E" w:rsidRDefault="00010E2E" w:rsidP="003536C2">
      <w:pPr>
        <w:numPr>
          <w:ilvl w:val="0"/>
          <w:numId w:val="17"/>
        </w:numPr>
        <w:spacing w:before="120" w:line="312" w:lineRule="auto"/>
        <w:rPr>
          <w:rFonts w:ascii="Arial" w:hAnsi="Arial" w:cs="Arial"/>
        </w:rPr>
      </w:pPr>
      <w:r>
        <w:rPr>
          <w:rFonts w:ascii="Arial" w:hAnsi="Arial" w:cs="Arial"/>
        </w:rPr>
        <w:t>carbon dioxide</w:t>
      </w:r>
    </w:p>
    <w:p w14:paraId="5979C944" w14:textId="77777777" w:rsidR="00010E2E" w:rsidRDefault="00010E2E" w:rsidP="003536C2">
      <w:pPr>
        <w:numPr>
          <w:ilvl w:val="0"/>
          <w:numId w:val="17"/>
        </w:numPr>
        <w:spacing w:before="120" w:line="312" w:lineRule="auto"/>
        <w:rPr>
          <w:rFonts w:ascii="Arial" w:hAnsi="Arial" w:cs="Arial"/>
        </w:rPr>
      </w:pPr>
      <w:r>
        <w:rPr>
          <w:rFonts w:ascii="Arial" w:hAnsi="Arial" w:cs="Arial"/>
        </w:rPr>
        <w:t>methane</w:t>
      </w:r>
    </w:p>
    <w:p w14:paraId="302B11A4" w14:textId="77777777" w:rsidR="00010E2E" w:rsidRDefault="00010E2E" w:rsidP="003536C2">
      <w:pPr>
        <w:numPr>
          <w:ilvl w:val="0"/>
          <w:numId w:val="17"/>
        </w:numPr>
        <w:spacing w:before="120" w:line="312" w:lineRule="auto"/>
        <w:rPr>
          <w:rFonts w:ascii="Arial" w:hAnsi="Arial" w:cs="Arial"/>
        </w:rPr>
      </w:pPr>
      <w:r>
        <w:rPr>
          <w:rFonts w:ascii="Arial" w:hAnsi="Arial" w:cs="Arial"/>
        </w:rPr>
        <w:t>nitrous dioxide</w:t>
      </w:r>
    </w:p>
    <w:p w14:paraId="7F50958B" w14:textId="77777777" w:rsidR="00010E2E" w:rsidRDefault="00010E2E" w:rsidP="003536C2">
      <w:pPr>
        <w:numPr>
          <w:ilvl w:val="0"/>
          <w:numId w:val="17"/>
        </w:numPr>
        <w:spacing w:before="120" w:line="312" w:lineRule="auto"/>
        <w:rPr>
          <w:rFonts w:ascii="Arial" w:hAnsi="Arial" w:cs="Arial"/>
        </w:rPr>
      </w:pPr>
      <w:r>
        <w:rPr>
          <w:rFonts w:ascii="Arial" w:hAnsi="Arial" w:cs="Arial"/>
        </w:rPr>
        <w:t>synthetic gases</w:t>
      </w:r>
    </w:p>
    <w:p w14:paraId="5185F4F3" w14:textId="77777777" w:rsidR="00010E2E" w:rsidRDefault="00010E2E" w:rsidP="003536C2">
      <w:pPr>
        <w:numPr>
          <w:ilvl w:val="1"/>
          <w:numId w:val="17"/>
        </w:numPr>
        <w:spacing w:before="120" w:line="312" w:lineRule="auto"/>
        <w:rPr>
          <w:rFonts w:ascii="Arial" w:hAnsi="Arial" w:cs="Arial"/>
        </w:rPr>
      </w:pPr>
      <w:r>
        <w:rPr>
          <w:rFonts w:ascii="Arial" w:hAnsi="Arial" w:cs="Arial"/>
        </w:rPr>
        <w:t>HFCs, SF</w:t>
      </w:r>
      <w:r w:rsidRPr="005435DC">
        <w:rPr>
          <w:rFonts w:ascii="Arial" w:hAnsi="Arial" w:cs="Arial"/>
          <w:vertAlign w:val="subscript"/>
        </w:rPr>
        <w:t>6</w:t>
      </w:r>
      <w:r>
        <w:rPr>
          <w:rFonts w:ascii="Arial" w:hAnsi="Arial" w:cs="Arial"/>
        </w:rPr>
        <w:t>, CF</w:t>
      </w:r>
      <w:r w:rsidRPr="005435DC">
        <w:rPr>
          <w:rFonts w:ascii="Arial" w:hAnsi="Arial" w:cs="Arial"/>
          <w:vertAlign w:val="subscript"/>
        </w:rPr>
        <w:t>4</w:t>
      </w:r>
      <w:r>
        <w:rPr>
          <w:rFonts w:ascii="Arial" w:hAnsi="Arial" w:cs="Arial"/>
        </w:rPr>
        <w:t>, C</w:t>
      </w:r>
      <w:r w:rsidRPr="005435DC">
        <w:rPr>
          <w:rFonts w:ascii="Arial" w:hAnsi="Arial" w:cs="Arial"/>
          <w:vertAlign w:val="subscript"/>
        </w:rPr>
        <w:t>2</w:t>
      </w:r>
      <w:r>
        <w:rPr>
          <w:rFonts w:ascii="Arial" w:hAnsi="Arial" w:cs="Arial"/>
        </w:rPr>
        <w:t>F</w:t>
      </w:r>
      <w:r w:rsidRPr="005435DC">
        <w:rPr>
          <w:rFonts w:ascii="Arial" w:hAnsi="Arial" w:cs="Arial"/>
          <w:vertAlign w:val="subscript"/>
        </w:rPr>
        <w:t>6</w:t>
      </w:r>
    </w:p>
    <w:p w14:paraId="1B12E712"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All factors are standardised by being expressed as a carbon dioxide equivalent (CO</w:t>
      </w:r>
      <w:r>
        <w:rPr>
          <w:rFonts w:ascii="Arial" w:hAnsi="Arial" w:cs="Arial"/>
          <w:vertAlign w:val="subscript"/>
        </w:rPr>
        <w:t>2</w:t>
      </w:r>
      <w:r>
        <w:rPr>
          <w:rFonts w:ascii="Arial" w:hAnsi="Arial" w:cs="Arial"/>
        </w:rPr>
        <w:t>-e). This is achieved by multiplying the individual gas emission factor by the respective gas global warming potential (GWP). The GWPs for</w:t>
      </w:r>
      <w:r w:rsidR="00810F4F">
        <w:rPr>
          <w:rFonts w:ascii="Arial" w:hAnsi="Arial" w:cs="Arial"/>
        </w:rPr>
        <w:t xml:space="preserve"> each gas are listed in </w:t>
      </w:r>
      <w:r w:rsidR="00B80F09" w:rsidRPr="00B80F09">
        <w:rPr>
          <w:rFonts w:ascii="Arial" w:hAnsi="Arial" w:cs="Arial"/>
        </w:rPr>
        <w:t>Table 26</w:t>
      </w:r>
      <w:r>
        <w:rPr>
          <w:rFonts w:ascii="Arial" w:hAnsi="Arial" w:cs="Arial"/>
        </w:rPr>
        <w:t>, Appendix 1.</w:t>
      </w:r>
    </w:p>
    <w:p w14:paraId="3F375A62" w14:textId="77777777" w:rsidR="00AC7FBD" w:rsidRDefault="00010E2E">
      <w:pPr>
        <w:pStyle w:val="BodyText"/>
        <w:tabs>
          <w:tab w:val="left" w:pos="0"/>
          <w:tab w:val="left" w:pos="2250"/>
        </w:tabs>
        <w:spacing w:before="120" w:after="0" w:line="312" w:lineRule="auto"/>
        <w:ind w:left="0"/>
        <w:rPr>
          <w:rFonts w:ascii="Arial" w:hAnsi="Arial" w:cs="Arial"/>
        </w:rPr>
      </w:pPr>
      <w:r>
        <w:rPr>
          <w:rFonts w:ascii="Arial" w:hAnsi="Arial" w:cs="Arial"/>
          <w:b/>
          <w:bCs/>
        </w:rPr>
        <w:t>Indirect emissions</w:t>
      </w:r>
      <w:r>
        <w:rPr>
          <w:rFonts w:ascii="Arial" w:hAnsi="Arial" w:cs="Arial"/>
        </w:rPr>
        <w:t xml:space="preserve"> are emissions generated in the wider economy as a consequence of an organisation’s activities (particularly from its demand for goods and services), but which are physically produced by the activities of another organisation. The most important category of indirect emissions is from the consumption of electricity. Other examples of indirect emissions from an organisation’s activities include upstream emissions generated in the extraction and production of fossil fuels, downstream emissions from transport of an organisation’s product to customers, and emissions from contracted/outsourced activities.  The appropriate emission factor for these activities depends on the parts of upstream production and downstream use considered in calculating emissions associated with the activity.</w:t>
      </w:r>
    </w:p>
    <w:p w14:paraId="499327F5" w14:textId="77777777" w:rsidR="00010E2E" w:rsidRDefault="00010E2E">
      <w:pPr>
        <w:pStyle w:val="Heading2"/>
        <w:spacing w:before="120" w:after="0" w:line="312" w:lineRule="auto"/>
        <w:rPr>
          <w:rFonts w:ascii="Arial" w:hAnsi="Arial" w:cs="Arial"/>
          <w:bCs/>
        </w:rPr>
      </w:pPr>
      <w:bookmarkStart w:id="19" w:name="_Toc120525204"/>
      <w:bookmarkStart w:id="20" w:name="_Toc121648137"/>
      <w:bookmarkStart w:id="21" w:name="_Toc142888281"/>
      <w:r>
        <w:rPr>
          <w:rFonts w:ascii="Arial" w:hAnsi="Arial" w:cs="Arial"/>
          <w:bCs/>
        </w:rPr>
        <w:t>Types of emission factors</w:t>
      </w:r>
      <w:bookmarkEnd w:id="19"/>
      <w:bookmarkEnd w:id="20"/>
      <w:bookmarkEnd w:id="21"/>
    </w:p>
    <w:p w14:paraId="2D70D159" w14:textId="77777777" w:rsidR="00010E2E" w:rsidRDefault="00010E2E">
      <w:pPr>
        <w:pStyle w:val="BodyText"/>
        <w:tabs>
          <w:tab w:val="left" w:pos="0"/>
        </w:tabs>
        <w:spacing w:before="120" w:after="0" w:line="312" w:lineRule="auto"/>
        <w:ind w:left="0"/>
        <w:rPr>
          <w:rFonts w:ascii="Arial" w:hAnsi="Arial" w:cs="Arial"/>
        </w:rPr>
      </w:pPr>
      <w:r>
        <w:rPr>
          <w:rFonts w:ascii="Arial" w:hAnsi="Arial" w:cs="Arial"/>
        </w:rPr>
        <w:t xml:space="preserve">The world of emission factors can become confusing—the following is provided to clarify the purpose of the types of emissions factors in this workbook.  </w:t>
      </w:r>
    </w:p>
    <w:p w14:paraId="5C1C1A06" w14:textId="77777777" w:rsidR="00010E2E" w:rsidRDefault="00010E2E">
      <w:pPr>
        <w:pStyle w:val="BodyText"/>
        <w:tabs>
          <w:tab w:val="left" w:pos="0"/>
        </w:tabs>
        <w:spacing w:before="120" w:after="0" w:line="312" w:lineRule="auto"/>
        <w:ind w:left="0"/>
        <w:rPr>
          <w:rFonts w:ascii="Arial" w:hAnsi="Arial" w:cs="Arial"/>
        </w:rPr>
      </w:pPr>
      <w:r>
        <w:rPr>
          <w:rFonts w:ascii="Arial" w:hAnsi="Arial" w:cs="Arial"/>
        </w:rPr>
        <w:t xml:space="preserve">Firstly, it is important to note that an emission factor is activity-specific.  The activity determines the emission factor used.  The scope that emissions are reported under is determined by whether the activity is within the organisation’s boundary (direct—scope 1) or outside it (indirect—scope 2 and scope 3).  </w:t>
      </w:r>
    </w:p>
    <w:p w14:paraId="3D1F3817" w14:textId="77777777" w:rsidR="00010E2E" w:rsidRDefault="00010E2E" w:rsidP="005222FC">
      <w:pPr>
        <w:pStyle w:val="BodyText"/>
        <w:numPr>
          <w:ilvl w:val="0"/>
          <w:numId w:val="6"/>
        </w:numPr>
        <w:tabs>
          <w:tab w:val="clear" w:pos="1800"/>
          <w:tab w:val="num" w:pos="-90"/>
          <w:tab w:val="left" w:pos="0"/>
        </w:tabs>
        <w:spacing w:before="120" w:after="0" w:line="312" w:lineRule="auto"/>
        <w:ind w:left="0" w:firstLine="0"/>
        <w:rPr>
          <w:rFonts w:ascii="Arial" w:hAnsi="Arial" w:cs="Arial"/>
        </w:rPr>
      </w:pPr>
      <w:r>
        <w:rPr>
          <w:rFonts w:ascii="Arial" w:hAnsi="Arial" w:cs="Arial"/>
          <w:b/>
          <w:bCs/>
        </w:rPr>
        <w:t>Direct (or point-source) emission factors</w:t>
      </w:r>
      <w:r>
        <w:rPr>
          <w:rFonts w:ascii="Arial" w:hAnsi="Arial" w:cs="Arial"/>
        </w:rPr>
        <w:t xml:space="preserve"> give the kilograms of carbon dioxide equivalent (CO</w:t>
      </w:r>
      <w:r>
        <w:rPr>
          <w:rFonts w:ascii="Arial" w:hAnsi="Arial" w:cs="Arial"/>
          <w:vertAlign w:val="subscript"/>
        </w:rPr>
        <w:t>2</w:t>
      </w:r>
      <w:r>
        <w:rPr>
          <w:rFonts w:ascii="Arial" w:hAnsi="Arial" w:cs="Arial"/>
        </w:rPr>
        <w:t xml:space="preserve">-e) emitted per unit of activity at the point of emission release (i.e. fuel use, energy use, manufacturing process activity, mining activity, on-site waste disposal, etc.).  These factors are used to calculate </w:t>
      </w:r>
      <w:r>
        <w:rPr>
          <w:rFonts w:ascii="Arial" w:hAnsi="Arial" w:cs="Arial"/>
          <w:b/>
          <w:bCs/>
          <w:u w:val="single"/>
        </w:rPr>
        <w:t>scope 1 emissions</w:t>
      </w:r>
      <w:r>
        <w:rPr>
          <w:rFonts w:ascii="Arial" w:hAnsi="Arial" w:cs="Arial"/>
        </w:rPr>
        <w:t xml:space="preserve">.  </w:t>
      </w:r>
    </w:p>
    <w:p w14:paraId="71B79103" w14:textId="77777777" w:rsidR="00010E2E" w:rsidRDefault="00010E2E" w:rsidP="005222FC">
      <w:pPr>
        <w:pStyle w:val="BodyText"/>
        <w:numPr>
          <w:ilvl w:val="0"/>
          <w:numId w:val="6"/>
        </w:numPr>
        <w:tabs>
          <w:tab w:val="clear" w:pos="1800"/>
          <w:tab w:val="num" w:pos="-90"/>
          <w:tab w:val="left" w:pos="0"/>
        </w:tabs>
        <w:spacing w:before="120" w:after="0" w:line="312" w:lineRule="auto"/>
        <w:ind w:left="0" w:firstLine="0"/>
        <w:rPr>
          <w:rFonts w:ascii="Arial" w:hAnsi="Arial" w:cs="Arial"/>
        </w:rPr>
      </w:pPr>
      <w:r>
        <w:rPr>
          <w:rFonts w:ascii="Arial" w:hAnsi="Arial" w:cs="Arial"/>
          <w:b/>
          <w:bCs/>
        </w:rPr>
        <w:t>Indirect emission factors</w:t>
      </w:r>
      <w:r>
        <w:rPr>
          <w:rFonts w:ascii="Arial" w:hAnsi="Arial" w:cs="Arial"/>
        </w:rPr>
        <w:t xml:space="preserve"> are used to calculate </w:t>
      </w:r>
      <w:r>
        <w:rPr>
          <w:rFonts w:ascii="Arial" w:hAnsi="Arial" w:cs="Arial"/>
          <w:b/>
          <w:bCs/>
          <w:u w:val="single"/>
        </w:rPr>
        <w:t>scope 2 emissions</w:t>
      </w:r>
      <w:r>
        <w:rPr>
          <w:rFonts w:ascii="Arial" w:hAnsi="Arial" w:cs="Arial"/>
        </w:rPr>
        <w:t xml:space="preserve"> from the generation of the electricity </w:t>
      </w:r>
      <w:r>
        <w:rPr>
          <w:rFonts w:ascii="Arial" w:hAnsi="Arial" w:cs="Arial"/>
          <w:b/>
          <w:bCs/>
        </w:rPr>
        <w:t>purchased and consumed</w:t>
      </w:r>
      <w:r>
        <w:rPr>
          <w:rFonts w:ascii="Arial" w:hAnsi="Arial" w:cs="Arial"/>
        </w:rPr>
        <w:t xml:space="preserve"> by an organisation as kilograms of CO</w:t>
      </w:r>
      <w:r>
        <w:rPr>
          <w:rFonts w:ascii="Arial" w:hAnsi="Arial" w:cs="Arial"/>
          <w:vertAlign w:val="subscript"/>
        </w:rPr>
        <w:t>2</w:t>
      </w:r>
      <w:r>
        <w:rPr>
          <w:rFonts w:ascii="Arial" w:hAnsi="Arial" w:cs="Arial"/>
        </w:rPr>
        <w:noBreakHyphen/>
        <w:t>e per unit of electricity consumed.  Scope 2 emissions are physically produced by the burning of fuels (coal, natural gas, etc.) at the power station.</w:t>
      </w:r>
    </w:p>
    <w:p w14:paraId="2A4304F2" w14:textId="77777777" w:rsidR="00010E2E" w:rsidRDefault="00010E2E" w:rsidP="005222FC">
      <w:pPr>
        <w:pStyle w:val="BodyText"/>
        <w:numPr>
          <w:ilvl w:val="0"/>
          <w:numId w:val="6"/>
        </w:numPr>
        <w:tabs>
          <w:tab w:val="clear" w:pos="1800"/>
          <w:tab w:val="left" w:pos="0"/>
        </w:tabs>
        <w:spacing w:before="120" w:after="0" w:line="312" w:lineRule="auto"/>
        <w:ind w:left="0" w:firstLine="0"/>
        <w:rPr>
          <w:rFonts w:ascii="Arial" w:hAnsi="Arial" w:cs="Arial"/>
        </w:rPr>
      </w:pPr>
      <w:r>
        <w:rPr>
          <w:rFonts w:ascii="Arial" w:hAnsi="Arial" w:cs="Arial"/>
          <w:b/>
          <w:bCs/>
        </w:rPr>
        <w:t>Various emission factors</w:t>
      </w:r>
      <w:r>
        <w:rPr>
          <w:rFonts w:ascii="Arial" w:hAnsi="Arial" w:cs="Arial"/>
        </w:rPr>
        <w:t xml:space="preserve"> can be used to calculate </w:t>
      </w:r>
      <w:r>
        <w:rPr>
          <w:rFonts w:ascii="Arial" w:hAnsi="Arial" w:cs="Arial"/>
          <w:b/>
          <w:bCs/>
          <w:u w:val="single"/>
        </w:rPr>
        <w:t>scope 3 emissions</w:t>
      </w:r>
      <w:r>
        <w:rPr>
          <w:rFonts w:ascii="Arial" w:hAnsi="Arial" w:cs="Arial"/>
          <w:szCs w:val="18"/>
        </w:rPr>
        <w:t>.  For ease of use, this workbook</w:t>
      </w:r>
      <w:r>
        <w:rPr>
          <w:rFonts w:ascii="Arial" w:hAnsi="Arial" w:cs="Arial"/>
        </w:rPr>
        <w:t xml:space="preserve"> reports </w:t>
      </w:r>
      <w:r>
        <w:rPr>
          <w:rFonts w:ascii="Arial" w:hAnsi="Arial" w:cs="Arial"/>
          <w:b/>
          <w:bCs/>
        </w:rPr>
        <w:t>specific ‘</w:t>
      </w:r>
      <w:r>
        <w:rPr>
          <w:rFonts w:ascii="Arial" w:hAnsi="Arial" w:cs="Arial"/>
          <w:b/>
          <w:bCs/>
          <w:szCs w:val="18"/>
        </w:rPr>
        <w:t>scope 3’ emission factors</w:t>
      </w:r>
      <w:r>
        <w:rPr>
          <w:rFonts w:ascii="Arial" w:hAnsi="Arial" w:cs="Arial"/>
          <w:szCs w:val="18"/>
        </w:rPr>
        <w:t xml:space="preserve"> for organisations that: </w:t>
      </w:r>
    </w:p>
    <w:p w14:paraId="68217E45" w14:textId="77777777" w:rsidR="00010E2E" w:rsidRDefault="00010E2E" w:rsidP="008F6129">
      <w:pPr>
        <w:pStyle w:val="BodyText"/>
        <w:numPr>
          <w:ilvl w:val="1"/>
          <w:numId w:val="7"/>
        </w:numPr>
        <w:tabs>
          <w:tab w:val="clear" w:pos="2520"/>
          <w:tab w:val="left" w:pos="0"/>
        </w:tabs>
        <w:spacing w:before="120" w:after="0" w:line="312" w:lineRule="auto"/>
        <w:ind w:left="0" w:firstLine="0"/>
        <w:rPr>
          <w:rFonts w:ascii="Arial" w:hAnsi="Arial" w:cs="Arial"/>
        </w:rPr>
      </w:pPr>
      <w:r>
        <w:rPr>
          <w:rFonts w:ascii="Arial" w:hAnsi="Arial" w:cs="Arial"/>
          <w:szCs w:val="18"/>
        </w:rPr>
        <w:t>burn fossil fuels: to estimate their indirect emissions attributable to the extraction, production and transport of those fuels; or</w:t>
      </w:r>
    </w:p>
    <w:p w14:paraId="67F60C68" w14:textId="77777777" w:rsidR="00010E2E" w:rsidRDefault="00010E2E" w:rsidP="008F6129">
      <w:pPr>
        <w:pStyle w:val="BodyText"/>
        <w:numPr>
          <w:ilvl w:val="1"/>
          <w:numId w:val="7"/>
        </w:numPr>
        <w:tabs>
          <w:tab w:val="clear" w:pos="2520"/>
          <w:tab w:val="left" w:pos="0"/>
        </w:tabs>
        <w:spacing w:before="120" w:after="0" w:line="312" w:lineRule="auto"/>
        <w:ind w:left="0" w:firstLine="0"/>
        <w:rPr>
          <w:rFonts w:ascii="Arial" w:hAnsi="Arial" w:cs="Arial"/>
        </w:rPr>
      </w:pPr>
      <w:r>
        <w:rPr>
          <w:rFonts w:ascii="Arial" w:hAnsi="Arial" w:cs="Arial"/>
          <w:szCs w:val="18"/>
        </w:rPr>
        <w:t xml:space="preserve">consume purchased electricity: to estimate their indirect emissions from </w:t>
      </w:r>
      <w:bookmarkStart w:id="22" w:name="OLE_LINK3"/>
      <w:r>
        <w:rPr>
          <w:rFonts w:ascii="Arial" w:hAnsi="Arial" w:cs="Arial"/>
          <w:szCs w:val="18"/>
        </w:rPr>
        <w:t xml:space="preserve">the extraction, production and transport of fuel </w:t>
      </w:r>
      <w:bookmarkEnd w:id="22"/>
      <w:r>
        <w:rPr>
          <w:rFonts w:ascii="Arial" w:hAnsi="Arial" w:cs="Arial"/>
          <w:szCs w:val="18"/>
        </w:rPr>
        <w:t>burned at generation and the indirect emissions attributable to the electricity lost in delivery in the</w:t>
      </w:r>
      <w:r w:rsidR="00457866">
        <w:rPr>
          <w:rFonts w:ascii="Arial" w:hAnsi="Arial" w:cs="Arial"/>
          <w:szCs w:val="18"/>
        </w:rPr>
        <w:t xml:space="preserve"> transmission and distribution</w:t>
      </w:r>
      <w:r>
        <w:rPr>
          <w:rFonts w:ascii="Arial" w:hAnsi="Arial" w:cs="Arial"/>
          <w:szCs w:val="18"/>
        </w:rPr>
        <w:t xml:space="preserve"> network.</w:t>
      </w:r>
    </w:p>
    <w:p w14:paraId="6546EED6" w14:textId="77777777" w:rsidR="00010E2E" w:rsidRDefault="00010E2E" w:rsidP="00013789">
      <w:pPr>
        <w:pStyle w:val="BodyText"/>
        <w:tabs>
          <w:tab w:val="left" w:pos="0"/>
        </w:tabs>
        <w:spacing w:before="120" w:after="0" w:line="312" w:lineRule="auto"/>
        <w:ind w:left="0"/>
        <w:rPr>
          <w:rFonts w:ascii="Arial" w:hAnsi="Arial" w:cs="Arial"/>
        </w:rPr>
      </w:pPr>
      <w:r>
        <w:rPr>
          <w:rFonts w:ascii="Arial" w:hAnsi="Arial" w:cs="Arial"/>
          <w:szCs w:val="18"/>
        </w:rPr>
        <w:t>The definition, methodologies and application of scope 3 factors are currently subject to international discussions.</w:t>
      </w:r>
      <w:r>
        <w:rPr>
          <w:rFonts w:ascii="Arial" w:hAnsi="Arial" w:cs="Arial"/>
        </w:rPr>
        <w:t xml:space="preserve"> </w:t>
      </w:r>
      <w:r>
        <w:rPr>
          <w:rFonts w:ascii="Arial" w:hAnsi="Arial" w:cs="Arial"/>
          <w:szCs w:val="18"/>
        </w:rPr>
        <w:t>Available scope 3 emission factors are listed in Appendix 4. Scope</w:t>
      </w:r>
      <w:r w:rsidR="00296EB8">
        <w:rPr>
          <w:rFonts w:ascii="Arial" w:hAnsi="Arial" w:cs="Arial"/>
          <w:szCs w:val="18"/>
        </w:rPr>
        <w:t> </w:t>
      </w:r>
      <w:r>
        <w:rPr>
          <w:rFonts w:ascii="Arial" w:hAnsi="Arial" w:cs="Arial"/>
          <w:szCs w:val="18"/>
        </w:rPr>
        <w:t>3 factors and methods are also provided for companies wishing to estimate their scope</w:t>
      </w:r>
      <w:r w:rsidR="00296EB8">
        <w:rPr>
          <w:rFonts w:ascii="Arial" w:hAnsi="Arial" w:cs="Arial"/>
          <w:szCs w:val="18"/>
        </w:rPr>
        <w:t> </w:t>
      </w:r>
      <w:r>
        <w:rPr>
          <w:rFonts w:ascii="Arial" w:hAnsi="Arial" w:cs="Arial"/>
          <w:szCs w:val="18"/>
        </w:rPr>
        <w:t>3 emissions from disposal of waste generated (e.g.</w:t>
      </w:r>
      <w:r>
        <w:rPr>
          <w:rFonts w:ascii="Arial" w:hAnsi="Arial" w:cs="Arial"/>
        </w:rPr>
        <w:t xml:space="preserve"> if the waste is transported outside the organisation and disposed of).</w:t>
      </w:r>
    </w:p>
    <w:p w14:paraId="6D4567A6" w14:textId="77777777" w:rsidR="00010E2E" w:rsidRDefault="00010E2E">
      <w:pPr>
        <w:pStyle w:val="Heading2"/>
        <w:spacing w:before="120" w:after="0" w:line="312" w:lineRule="auto"/>
        <w:rPr>
          <w:rFonts w:ascii="Arial" w:hAnsi="Arial" w:cs="Arial"/>
          <w:bCs/>
        </w:rPr>
      </w:pPr>
      <w:bookmarkStart w:id="23" w:name="_Toc69785167"/>
      <w:bookmarkStart w:id="24" w:name="_Toc75660543"/>
      <w:bookmarkStart w:id="25" w:name="_Toc76473645"/>
      <w:bookmarkStart w:id="26" w:name="_Toc76473859"/>
      <w:bookmarkStart w:id="27" w:name="_Toc120525206"/>
      <w:bookmarkStart w:id="28" w:name="_Toc121648139"/>
      <w:bookmarkStart w:id="29" w:name="_Toc142888283"/>
      <w:r>
        <w:rPr>
          <w:rFonts w:ascii="Arial" w:hAnsi="Arial" w:cs="Arial"/>
          <w:bCs/>
        </w:rPr>
        <w:t>Information sources</w:t>
      </w:r>
      <w:bookmarkEnd w:id="23"/>
      <w:bookmarkEnd w:id="24"/>
      <w:bookmarkEnd w:id="25"/>
      <w:bookmarkEnd w:id="26"/>
      <w:bookmarkEnd w:id="27"/>
      <w:bookmarkEnd w:id="28"/>
      <w:bookmarkEnd w:id="29"/>
    </w:p>
    <w:p w14:paraId="1AA63854"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The principle sources of information used in developing this workbook include:</w:t>
      </w:r>
    </w:p>
    <w:p w14:paraId="75CBAD14"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American Petroleum Institute (200</w:t>
      </w:r>
      <w:r w:rsidR="00DD2F42">
        <w:rPr>
          <w:rFonts w:ascii="Arial" w:hAnsi="Arial" w:cs="Arial"/>
        </w:rPr>
        <w:t>9</w:t>
      </w:r>
      <w:r>
        <w:rPr>
          <w:rFonts w:ascii="Arial" w:hAnsi="Arial" w:cs="Arial"/>
        </w:rPr>
        <w:t xml:space="preserve">) </w:t>
      </w:r>
      <w:r>
        <w:rPr>
          <w:rFonts w:ascii="Arial" w:hAnsi="Arial" w:cs="Arial"/>
          <w:i/>
        </w:rPr>
        <w:t>Compendium of Greenhouse Gas Emissions Estimation Methodologies for the Oil and Gas Industry 200</w:t>
      </w:r>
      <w:r w:rsidR="00DD2F42">
        <w:rPr>
          <w:rFonts w:ascii="Arial" w:hAnsi="Arial" w:cs="Arial"/>
          <w:i/>
        </w:rPr>
        <w:t>9</w:t>
      </w:r>
      <w:r>
        <w:rPr>
          <w:rFonts w:ascii="Arial" w:hAnsi="Arial" w:cs="Arial"/>
        </w:rPr>
        <w:t>.</w:t>
      </w:r>
    </w:p>
    <w:p w14:paraId="21BBCBCF"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Australian Greenhouse Office (2006), </w:t>
      </w:r>
      <w:r>
        <w:rPr>
          <w:rFonts w:ascii="Arial" w:hAnsi="Arial" w:cs="Arial"/>
          <w:i/>
        </w:rPr>
        <w:t>AGO Generator Efficiency Standards - Technical Guidelines</w:t>
      </w:r>
      <w:r>
        <w:rPr>
          <w:rFonts w:ascii="Arial" w:hAnsi="Arial" w:cs="Arial"/>
        </w:rPr>
        <w:t>, December 2006, Commonwealth of Australia, Canberra.</w:t>
      </w:r>
    </w:p>
    <w:p w14:paraId="3C867B46" w14:textId="77777777" w:rsidR="00010E2E" w:rsidRPr="00120517" w:rsidRDefault="00B80F09">
      <w:pPr>
        <w:pStyle w:val="BodyText"/>
        <w:tabs>
          <w:tab w:val="left" w:pos="0"/>
          <w:tab w:val="left" w:pos="2250"/>
        </w:tabs>
        <w:spacing w:before="120" w:after="0" w:line="312" w:lineRule="auto"/>
        <w:ind w:left="0"/>
        <w:rPr>
          <w:rFonts w:ascii="Arial" w:hAnsi="Arial" w:cs="Arial"/>
        </w:rPr>
      </w:pPr>
      <w:r w:rsidRPr="00B80F09">
        <w:rPr>
          <w:rFonts w:ascii="Arial" w:hAnsi="Arial" w:cs="Arial"/>
        </w:rPr>
        <w:t>Energy Supply Association of Australia (201</w:t>
      </w:r>
      <w:r w:rsidR="00E871FB">
        <w:rPr>
          <w:rFonts w:ascii="Arial" w:hAnsi="Arial" w:cs="Arial"/>
        </w:rPr>
        <w:t>5</w:t>
      </w:r>
      <w:r w:rsidRPr="00B80F09">
        <w:rPr>
          <w:rFonts w:ascii="Arial" w:hAnsi="Arial" w:cs="Arial"/>
        </w:rPr>
        <w:t>),</w:t>
      </w:r>
      <w:r w:rsidR="00345E7B" w:rsidRPr="00120517">
        <w:rPr>
          <w:rFonts w:ascii="Arial" w:hAnsi="Arial" w:cs="Arial"/>
        </w:rPr>
        <w:t xml:space="preserve"> </w:t>
      </w:r>
      <w:r w:rsidR="00345E7B" w:rsidRPr="00120517">
        <w:rPr>
          <w:rFonts w:ascii="Arial" w:hAnsi="Arial" w:cs="Arial"/>
          <w:i/>
        </w:rPr>
        <w:t>Electricity, Gas Australia 201</w:t>
      </w:r>
      <w:r w:rsidR="00E871FB">
        <w:rPr>
          <w:rFonts w:ascii="Arial" w:hAnsi="Arial" w:cs="Arial"/>
          <w:i/>
        </w:rPr>
        <w:t>5</w:t>
      </w:r>
      <w:r w:rsidR="00345E7B" w:rsidRPr="00120517">
        <w:rPr>
          <w:rFonts w:ascii="Arial" w:hAnsi="Arial" w:cs="Arial"/>
        </w:rPr>
        <w:t xml:space="preserve">. </w:t>
      </w:r>
    </w:p>
    <w:p w14:paraId="0E33F351" w14:textId="19B16FE5" w:rsidR="00010E2E" w:rsidRPr="00E0368A" w:rsidRDefault="007011CE">
      <w:pPr>
        <w:pStyle w:val="BodyText"/>
        <w:tabs>
          <w:tab w:val="left" w:pos="0"/>
          <w:tab w:val="left" w:pos="2250"/>
        </w:tabs>
        <w:spacing w:before="120" w:after="0" w:line="312" w:lineRule="auto"/>
        <w:ind w:left="0"/>
        <w:rPr>
          <w:rFonts w:ascii="Arial" w:hAnsi="Arial" w:cs="Arial"/>
        </w:rPr>
      </w:pPr>
      <w:r>
        <w:rPr>
          <w:rFonts w:ascii="Arial" w:hAnsi="Arial" w:cs="Arial"/>
        </w:rPr>
        <w:t xml:space="preserve">Department of the </w:t>
      </w:r>
      <w:r w:rsidR="00051491">
        <w:rPr>
          <w:rFonts w:ascii="Arial" w:hAnsi="Arial" w:cs="Arial"/>
        </w:rPr>
        <w:t>Environment</w:t>
      </w:r>
      <w:r w:rsidR="00051491" w:rsidRPr="00E0368A">
        <w:rPr>
          <w:rFonts w:ascii="Arial" w:hAnsi="Arial" w:cs="Arial"/>
        </w:rPr>
        <w:t xml:space="preserve"> </w:t>
      </w:r>
      <w:r w:rsidR="00F445F7">
        <w:rPr>
          <w:rFonts w:ascii="Arial" w:hAnsi="Arial" w:cs="Arial"/>
        </w:rPr>
        <w:t xml:space="preserve">and Energy </w:t>
      </w:r>
      <w:r w:rsidR="00051491" w:rsidRPr="00E0368A">
        <w:rPr>
          <w:rFonts w:ascii="Arial" w:hAnsi="Arial" w:cs="Arial"/>
        </w:rPr>
        <w:t>(</w:t>
      </w:r>
      <w:r w:rsidR="0075709E">
        <w:rPr>
          <w:rFonts w:ascii="Arial" w:hAnsi="Arial" w:cs="Arial"/>
        </w:rPr>
        <w:t>2017</w:t>
      </w:r>
      <w:r w:rsidR="00592D18" w:rsidRPr="00E0368A">
        <w:rPr>
          <w:rFonts w:ascii="Arial" w:hAnsi="Arial" w:cs="Arial"/>
        </w:rPr>
        <w:t xml:space="preserve">), </w:t>
      </w:r>
      <w:r w:rsidR="00592D18" w:rsidRPr="00E0368A">
        <w:rPr>
          <w:rFonts w:ascii="Arial" w:hAnsi="Arial" w:cs="Arial"/>
          <w:i/>
        </w:rPr>
        <w:t>National Inventory Report</w:t>
      </w:r>
      <w:r w:rsidR="0075709E">
        <w:rPr>
          <w:rFonts w:ascii="Arial" w:hAnsi="Arial" w:cs="Arial"/>
          <w:i/>
        </w:rPr>
        <w:t>2015</w:t>
      </w:r>
      <w:r w:rsidR="00592D18" w:rsidRPr="00E0368A">
        <w:rPr>
          <w:rFonts w:ascii="Arial" w:hAnsi="Arial" w:cs="Arial"/>
        </w:rPr>
        <w:t>, Commonwealth of Australia, Canberra.</w:t>
      </w:r>
    </w:p>
    <w:p w14:paraId="7A0A1774" w14:textId="471E624F" w:rsidR="0029282B" w:rsidRDefault="0029282B" w:rsidP="0029282B">
      <w:pPr>
        <w:pStyle w:val="BodyText"/>
        <w:tabs>
          <w:tab w:val="left" w:pos="0"/>
          <w:tab w:val="left" w:pos="2250"/>
        </w:tabs>
        <w:spacing w:before="120" w:after="0" w:line="312" w:lineRule="auto"/>
        <w:ind w:left="0"/>
        <w:rPr>
          <w:rFonts w:ascii="Arial" w:hAnsi="Arial" w:cs="Arial"/>
        </w:rPr>
      </w:pPr>
      <w:r>
        <w:rPr>
          <w:rFonts w:ascii="Arial" w:hAnsi="Arial" w:cs="Arial"/>
        </w:rPr>
        <w:t xml:space="preserve">Intergovernmental </w:t>
      </w:r>
      <w:r w:rsidR="0075709E">
        <w:rPr>
          <w:rFonts w:ascii="Arial" w:hAnsi="Arial" w:cs="Arial"/>
        </w:rPr>
        <w:t xml:space="preserve">Panel </w:t>
      </w:r>
      <w:r>
        <w:rPr>
          <w:rFonts w:ascii="Arial" w:hAnsi="Arial" w:cs="Arial"/>
        </w:rPr>
        <w:t xml:space="preserve">on Climate Change (2006), </w:t>
      </w:r>
      <w:r>
        <w:rPr>
          <w:rFonts w:ascii="Arial" w:hAnsi="Arial" w:cs="Arial"/>
          <w:i/>
        </w:rPr>
        <w:t>2006 IPCC Guidelines for National Greenhouse Gas Inventories</w:t>
      </w:r>
      <w:r>
        <w:rPr>
          <w:rFonts w:ascii="Arial" w:hAnsi="Arial" w:cs="Arial"/>
        </w:rPr>
        <w:t>; Japan.</w:t>
      </w:r>
    </w:p>
    <w:p w14:paraId="7032C3B6" w14:textId="77777777" w:rsidR="0029282B" w:rsidRDefault="0029282B" w:rsidP="0029282B">
      <w:pPr>
        <w:pStyle w:val="BodyText"/>
        <w:tabs>
          <w:tab w:val="left" w:pos="0"/>
          <w:tab w:val="left" w:pos="2250"/>
        </w:tabs>
        <w:spacing w:before="120" w:after="0" w:line="312" w:lineRule="auto"/>
        <w:ind w:left="0"/>
        <w:rPr>
          <w:rFonts w:ascii="Arial" w:hAnsi="Arial" w:cs="Arial"/>
        </w:rPr>
      </w:pPr>
      <w:r>
        <w:rPr>
          <w:rFonts w:ascii="Arial" w:hAnsi="Arial" w:cs="Arial"/>
        </w:rPr>
        <w:t xml:space="preserve">International Aluminium Institute (2006), </w:t>
      </w:r>
      <w:r>
        <w:rPr>
          <w:rFonts w:ascii="Arial" w:hAnsi="Arial" w:cs="Arial"/>
          <w:i/>
        </w:rPr>
        <w:t>The Aluminium Sector Greenhouse Gas Protocol, Addendum to the WRI/WBCSD GHG Protocol</w:t>
      </w:r>
      <w:r>
        <w:rPr>
          <w:rFonts w:ascii="Arial" w:hAnsi="Arial" w:cs="Arial"/>
        </w:rPr>
        <w:t>.</w:t>
      </w:r>
    </w:p>
    <w:p w14:paraId="668AFFA5" w14:textId="77777777" w:rsidR="0029282B" w:rsidRDefault="0029282B" w:rsidP="0029282B">
      <w:pPr>
        <w:pStyle w:val="BodyText"/>
        <w:tabs>
          <w:tab w:val="left" w:pos="0"/>
          <w:tab w:val="left" w:pos="2250"/>
        </w:tabs>
        <w:spacing w:before="120" w:after="0" w:line="312" w:lineRule="auto"/>
        <w:ind w:left="0"/>
        <w:rPr>
          <w:rFonts w:ascii="Arial" w:hAnsi="Arial" w:cs="Arial"/>
        </w:rPr>
      </w:pPr>
      <w:r>
        <w:rPr>
          <w:rFonts w:ascii="Arial" w:hAnsi="Arial" w:cs="Arial"/>
        </w:rPr>
        <w:t xml:space="preserve">International Energy Agency (2005), </w:t>
      </w:r>
      <w:r>
        <w:rPr>
          <w:rFonts w:ascii="Arial" w:hAnsi="Arial" w:cs="Arial"/>
          <w:i/>
        </w:rPr>
        <w:t>Energy Statistics Manual</w:t>
      </w:r>
      <w:r>
        <w:rPr>
          <w:rFonts w:ascii="Arial" w:hAnsi="Arial" w:cs="Arial"/>
        </w:rPr>
        <w:t xml:space="preserve">, 2005, Paris. </w:t>
      </w:r>
    </w:p>
    <w:p w14:paraId="7D7E57BF" w14:textId="088806D0" w:rsidR="00B80F09" w:rsidRDefault="00B80F09" w:rsidP="00B80F09">
      <w:pPr>
        <w:pStyle w:val="References"/>
        <w:ind w:left="0" w:firstLine="0"/>
      </w:pPr>
      <w:r w:rsidRPr="00B80F09">
        <w:rPr>
          <w:rFonts w:ascii="Arial" w:hAnsi="Arial" w:cs="Arial"/>
          <w:sz w:val="20"/>
        </w:rPr>
        <w:t>National Greenhouse and Energy Reporting (Measurement</w:t>
      </w:r>
      <w:r w:rsidR="007B4F03">
        <w:rPr>
          <w:rFonts w:ascii="Arial" w:hAnsi="Arial" w:cs="Arial"/>
          <w:sz w:val="20"/>
        </w:rPr>
        <w:t xml:space="preserve">) Determination 2008. </w:t>
      </w:r>
      <w:r w:rsidRPr="00B80F09">
        <w:rPr>
          <w:rFonts w:ascii="Arial" w:hAnsi="Arial" w:cs="Arial"/>
          <w:sz w:val="20"/>
        </w:rPr>
        <w:t>(Cwlth),</w:t>
      </w:r>
      <w:r w:rsidR="00EC770E">
        <w:t xml:space="preserve"> </w:t>
      </w:r>
      <w:r w:rsidRPr="00B80F09">
        <w:rPr>
          <w:rFonts w:ascii="Arial" w:hAnsi="Arial" w:cs="Arial"/>
          <w:sz w:val="20"/>
        </w:rPr>
        <w:t>ComLaw,</w:t>
      </w:r>
      <w:r w:rsidR="00521E61">
        <w:rPr>
          <w:rFonts w:ascii="Arial" w:hAnsi="Arial" w:cs="Arial"/>
          <w:sz w:val="20"/>
        </w:rPr>
        <w:t xml:space="preserve"> </w:t>
      </w:r>
      <w:hyperlink r:id="rId21" w:history="1">
        <w:r w:rsidR="00521E61" w:rsidRPr="00485522">
          <w:rPr>
            <w:rStyle w:val="Hyperlink"/>
          </w:rPr>
          <w:t>https://www.legislation.gov.au/Series/F2008L02309</w:t>
        </w:r>
      </w:hyperlink>
      <w:r w:rsidR="00FF53A4">
        <w:t>.</w:t>
      </w:r>
    </w:p>
    <w:p w14:paraId="72F92F6C"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US EPA, International Aluminium Institute (2003), </w:t>
      </w:r>
      <w:r>
        <w:rPr>
          <w:rFonts w:ascii="Arial" w:hAnsi="Arial" w:cs="Arial"/>
          <w:i/>
        </w:rPr>
        <w:t>Protocol for Measurement of Tetrafluoromethane (CF</w:t>
      </w:r>
      <w:r>
        <w:rPr>
          <w:rFonts w:ascii="Arial" w:hAnsi="Arial" w:cs="Arial"/>
          <w:i/>
          <w:vertAlign w:val="subscript"/>
        </w:rPr>
        <w:t>4</w:t>
      </w:r>
      <w:r>
        <w:rPr>
          <w:rFonts w:ascii="Arial" w:hAnsi="Arial" w:cs="Arial"/>
          <w:i/>
        </w:rPr>
        <w:t>) and Hexafluoroethane (C</w:t>
      </w:r>
      <w:r>
        <w:rPr>
          <w:rFonts w:ascii="Arial" w:hAnsi="Arial" w:cs="Arial"/>
          <w:i/>
          <w:vertAlign w:val="subscript"/>
        </w:rPr>
        <w:t>2</w:t>
      </w:r>
      <w:r>
        <w:rPr>
          <w:rFonts w:ascii="Arial" w:hAnsi="Arial" w:cs="Arial"/>
          <w:i/>
        </w:rPr>
        <w:t>F</w:t>
      </w:r>
      <w:r>
        <w:rPr>
          <w:rFonts w:ascii="Arial" w:hAnsi="Arial" w:cs="Arial"/>
          <w:i/>
          <w:vertAlign w:val="subscript"/>
        </w:rPr>
        <w:t>6</w:t>
      </w:r>
      <w:r>
        <w:rPr>
          <w:rFonts w:ascii="Arial" w:hAnsi="Arial" w:cs="Arial"/>
          <w:i/>
        </w:rPr>
        <w:t>) Emissions from Primary Aluminium Production</w:t>
      </w:r>
      <w:r>
        <w:rPr>
          <w:rFonts w:ascii="Arial" w:hAnsi="Arial" w:cs="Arial"/>
        </w:rPr>
        <w:t>.</w:t>
      </w:r>
    </w:p>
    <w:p w14:paraId="5C9D37F2"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World Business Council for Sustainable Development / World Resources Institute, </w:t>
      </w:r>
      <w:r>
        <w:rPr>
          <w:rFonts w:ascii="Arial" w:hAnsi="Arial" w:cs="Arial"/>
          <w:i/>
        </w:rPr>
        <w:t>The Greenhouse Gas Protocol, A Corporate Accounting and Reporting Standard</w:t>
      </w:r>
      <w:r>
        <w:rPr>
          <w:rFonts w:ascii="Arial" w:hAnsi="Arial" w:cs="Arial"/>
        </w:rPr>
        <w:t xml:space="preserve">, Revised edition. </w:t>
      </w:r>
    </w:p>
    <w:p w14:paraId="1678268B"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World Business Council for Sustainable Development, (2005), </w:t>
      </w:r>
      <w:r>
        <w:rPr>
          <w:rFonts w:ascii="Arial" w:hAnsi="Arial" w:cs="Arial"/>
          <w:i/>
        </w:rPr>
        <w:t>CO</w:t>
      </w:r>
      <w:r>
        <w:rPr>
          <w:rFonts w:ascii="Arial (W1)" w:hAnsi="Arial (W1)" w:cs="Arial"/>
          <w:i/>
          <w:vertAlign w:val="subscript"/>
        </w:rPr>
        <w:t>2</w:t>
      </w:r>
      <w:r>
        <w:rPr>
          <w:rFonts w:ascii="Arial" w:hAnsi="Arial" w:cs="Arial"/>
          <w:i/>
        </w:rPr>
        <w:t xml:space="preserve"> Accounting and Reporting Standard for the Cement Industry- The Cement CO</w:t>
      </w:r>
      <w:r>
        <w:rPr>
          <w:rFonts w:ascii="Arial (W1)" w:hAnsi="Arial (W1)" w:cs="Arial"/>
          <w:i/>
          <w:vertAlign w:val="subscript"/>
        </w:rPr>
        <w:t>2</w:t>
      </w:r>
      <w:r>
        <w:rPr>
          <w:rFonts w:ascii="Arial" w:hAnsi="Arial" w:cs="Arial"/>
          <w:i/>
        </w:rPr>
        <w:t xml:space="preserve"> Protocol</w:t>
      </w:r>
      <w:r>
        <w:rPr>
          <w:rFonts w:ascii="Arial" w:hAnsi="Arial" w:cs="Arial"/>
        </w:rPr>
        <w:t>, June 2005.</w:t>
      </w:r>
    </w:p>
    <w:p w14:paraId="1A6B5DFE" w14:textId="77777777" w:rsidR="00010E2E" w:rsidRPr="00170BDD" w:rsidRDefault="00010E2E">
      <w:pPr>
        <w:pStyle w:val="ListNumber"/>
        <w:tabs>
          <w:tab w:val="left" w:pos="0"/>
          <w:tab w:val="left" w:pos="2250"/>
        </w:tabs>
        <w:spacing w:line="312" w:lineRule="auto"/>
        <w:ind w:right="274"/>
        <w:rPr>
          <w:rFonts w:ascii="Arial" w:hAnsi="Arial" w:cs="Arial"/>
        </w:rPr>
      </w:pPr>
      <w:r>
        <w:rPr>
          <w:rFonts w:ascii="Arial" w:hAnsi="Arial" w:cs="Arial"/>
        </w:rPr>
        <w:t>Wilkenfeld, George, a</w:t>
      </w:r>
      <w:r w:rsidRPr="00170BDD">
        <w:rPr>
          <w:rFonts w:ascii="Arial" w:hAnsi="Arial" w:cs="Arial"/>
        </w:rPr>
        <w:t>nd Associates Pty Ltd</w:t>
      </w:r>
      <w:r w:rsidR="00073EFD" w:rsidRPr="00170BDD">
        <w:rPr>
          <w:rFonts w:ascii="Arial" w:hAnsi="Arial" w:cs="Arial"/>
        </w:rPr>
        <w:t xml:space="preserve"> (2007)</w:t>
      </w:r>
      <w:r w:rsidRPr="00170BDD">
        <w:rPr>
          <w:rFonts w:ascii="Arial" w:hAnsi="Arial" w:cs="Arial"/>
        </w:rPr>
        <w:t xml:space="preserve">, </w:t>
      </w:r>
      <w:r w:rsidRPr="00170BDD">
        <w:rPr>
          <w:rFonts w:ascii="Arial" w:hAnsi="Arial" w:cs="Arial"/>
          <w:i/>
        </w:rPr>
        <w:t>Australia’s National Greenhouse Gas Inventory,1990, 1995, 2000 and 2005 End Use Allocation of Energy Emissions</w:t>
      </w:r>
      <w:r w:rsidRPr="00170BDD">
        <w:rPr>
          <w:rFonts w:ascii="Arial" w:hAnsi="Arial" w:cs="Arial"/>
        </w:rPr>
        <w:t>, report to the Department of Climate Change, Commonwealth of Australia, Canberra.</w:t>
      </w:r>
    </w:p>
    <w:p w14:paraId="2401954B" w14:textId="77777777" w:rsidR="008B7F00" w:rsidRDefault="00B80F09">
      <w:pPr>
        <w:pStyle w:val="ListNumber"/>
        <w:tabs>
          <w:tab w:val="left" w:pos="0"/>
          <w:tab w:val="left" w:pos="2250"/>
        </w:tabs>
        <w:spacing w:after="240" w:line="312" w:lineRule="auto"/>
        <w:ind w:right="272"/>
        <w:rPr>
          <w:rFonts w:ascii="Arial" w:hAnsi="Arial" w:cs="Arial"/>
        </w:rPr>
      </w:pPr>
      <w:r w:rsidRPr="00B80F09">
        <w:rPr>
          <w:rFonts w:ascii="Arial" w:hAnsi="Arial" w:cs="Arial"/>
        </w:rPr>
        <w:t>Wilkenfeld, George and Associates (2012),</w:t>
      </w:r>
      <w:r w:rsidRPr="00B80F09">
        <w:rPr>
          <w:rFonts w:ascii="Arial" w:hAnsi="Arial" w:cs="Arial"/>
          <w:i/>
        </w:rPr>
        <w:t xml:space="preserve"> Updated Scope 3 Emission Factors for Natural Gas and Ethane Consumed in Australia</w:t>
      </w:r>
      <w:r w:rsidRPr="00B80F09">
        <w:rPr>
          <w:rFonts w:ascii="Arial" w:hAnsi="Arial" w:cs="Arial"/>
        </w:rPr>
        <w:t xml:space="preserve">., report to the Department of Climate Change and Energy Efficiency.   </w:t>
      </w:r>
    </w:p>
    <w:p w14:paraId="6BC924AD" w14:textId="77777777" w:rsidR="00010E2E" w:rsidRDefault="00010E2E">
      <w:pPr>
        <w:pStyle w:val="Heading2"/>
        <w:spacing w:before="120" w:after="0" w:line="312" w:lineRule="auto"/>
        <w:rPr>
          <w:rFonts w:ascii="Arial" w:hAnsi="Arial" w:cs="Arial"/>
          <w:bCs/>
        </w:rPr>
      </w:pPr>
      <w:bookmarkStart w:id="30" w:name="_Toc69785176"/>
      <w:bookmarkStart w:id="31" w:name="_Toc75660546"/>
      <w:bookmarkStart w:id="32" w:name="_Toc76473646"/>
      <w:bookmarkStart w:id="33" w:name="_Toc76473860"/>
      <w:bookmarkStart w:id="34" w:name="_Toc120525207"/>
      <w:bookmarkStart w:id="35" w:name="_Toc121648140"/>
      <w:bookmarkStart w:id="36" w:name="_Toc142888284"/>
      <w:r>
        <w:rPr>
          <w:rFonts w:ascii="Arial" w:hAnsi="Arial" w:cs="Arial"/>
          <w:bCs/>
        </w:rPr>
        <w:t>Additional information and web sites</w:t>
      </w:r>
      <w:bookmarkEnd w:id="30"/>
      <w:bookmarkEnd w:id="31"/>
      <w:bookmarkEnd w:id="32"/>
      <w:bookmarkEnd w:id="33"/>
      <w:bookmarkEnd w:id="34"/>
      <w:bookmarkEnd w:id="35"/>
      <w:bookmarkEnd w:id="36"/>
    </w:p>
    <w:p w14:paraId="1E90F729" w14:textId="77777777" w:rsidR="007E29EE" w:rsidRDefault="000B79B3">
      <w:pPr>
        <w:pStyle w:val="ListNumber"/>
        <w:tabs>
          <w:tab w:val="left" w:pos="0"/>
          <w:tab w:val="left" w:pos="2250"/>
        </w:tabs>
        <w:spacing w:line="312" w:lineRule="auto"/>
        <w:rPr>
          <w:rFonts w:ascii="Arial" w:hAnsi="Arial" w:cs="Arial"/>
        </w:rPr>
      </w:pPr>
      <w:r w:rsidRPr="001A006E">
        <w:rPr>
          <w:rFonts w:ascii="Arial" w:hAnsi="Arial" w:cs="Arial"/>
        </w:rPr>
        <w:t xml:space="preserve">Australian National Greenhouse Gas Accounts and related topics </w:t>
      </w:r>
      <w:r w:rsidR="007E29EE" w:rsidRPr="007E29EE">
        <w:rPr>
          <w:rFonts w:ascii="Arial" w:hAnsi="Arial" w:cs="Arial"/>
        </w:rPr>
        <w:t>http://www.environment.gov.au/climate-change</w:t>
      </w:r>
    </w:p>
    <w:p w14:paraId="3A66B28B" w14:textId="77777777" w:rsidR="00010E2E" w:rsidRDefault="00010E2E">
      <w:pPr>
        <w:pStyle w:val="ListNumber"/>
        <w:tabs>
          <w:tab w:val="left" w:pos="0"/>
          <w:tab w:val="left" w:pos="2250"/>
        </w:tabs>
        <w:spacing w:line="312" w:lineRule="auto"/>
        <w:rPr>
          <w:rFonts w:ascii="Arial" w:hAnsi="Arial" w:cs="Arial"/>
        </w:rPr>
      </w:pPr>
      <w:r>
        <w:rPr>
          <w:rFonts w:ascii="Arial" w:hAnsi="Arial" w:cs="Arial"/>
        </w:rPr>
        <w:t>Intergovernmental Panel on Climate Change (IPCC) National Greenhouse Gas Inventories Program</w:t>
      </w:r>
      <w:r>
        <w:rPr>
          <w:rFonts w:ascii="Arial" w:hAnsi="Arial" w:cs="Arial"/>
        </w:rPr>
        <w:br/>
      </w:r>
      <w:hyperlink r:id="rId22" w:history="1">
        <w:r>
          <w:rPr>
            <w:rStyle w:val="Hyperlink"/>
            <w:rFonts w:ascii="Arial" w:hAnsi="Arial" w:cs="Arial"/>
          </w:rPr>
          <w:t>www.ipcc-nggip.iges.or.jp</w:t>
        </w:r>
      </w:hyperlink>
    </w:p>
    <w:p w14:paraId="10DC3F63" w14:textId="77777777" w:rsidR="00010E2E" w:rsidRDefault="00010E2E">
      <w:pPr>
        <w:pStyle w:val="ListNumber"/>
        <w:tabs>
          <w:tab w:val="left" w:pos="0"/>
          <w:tab w:val="left" w:pos="90"/>
        </w:tabs>
        <w:spacing w:line="312" w:lineRule="auto"/>
        <w:rPr>
          <w:rFonts w:ascii="Arial" w:hAnsi="Arial" w:cs="Arial"/>
        </w:rPr>
      </w:pPr>
      <w:r>
        <w:rPr>
          <w:rFonts w:ascii="Arial" w:hAnsi="Arial" w:cs="Arial"/>
        </w:rPr>
        <w:t>National Greenhouse and Energy Reporting</w:t>
      </w:r>
    </w:p>
    <w:p w14:paraId="4DF13DC9" w14:textId="58DC7E34" w:rsidR="00521E61" w:rsidRPr="00656706" w:rsidRDefault="00CA4FB8">
      <w:pPr>
        <w:pStyle w:val="ListNumber"/>
        <w:tabs>
          <w:tab w:val="left" w:pos="0"/>
          <w:tab w:val="left" w:pos="90"/>
        </w:tabs>
        <w:spacing w:line="312" w:lineRule="auto"/>
        <w:rPr>
          <w:rStyle w:val="Hyperlink"/>
          <w:rFonts w:ascii="Arial" w:hAnsi="Arial" w:cs="Arial"/>
        </w:rPr>
      </w:pPr>
      <w:hyperlink r:id="rId23" w:history="1">
        <w:r w:rsidR="00521E61" w:rsidRPr="00656706">
          <w:rPr>
            <w:rStyle w:val="Hyperlink"/>
            <w:rFonts w:ascii="Arial" w:hAnsi="Arial" w:cs="Arial"/>
          </w:rPr>
          <w:t>http://www.cleanenergyregulator.gov.au/NGER/About-the-National-Greenhouse-and-Energy-Reporting-scheme</w:t>
        </w:r>
      </w:hyperlink>
    </w:p>
    <w:p w14:paraId="772018AC" w14:textId="158905A0" w:rsidR="00521E61" w:rsidRDefault="00051491" w:rsidP="00A6254A">
      <w:pPr>
        <w:pStyle w:val="ListNumber"/>
        <w:tabs>
          <w:tab w:val="left" w:pos="0"/>
          <w:tab w:val="left" w:pos="90"/>
        </w:tabs>
        <w:spacing w:line="312" w:lineRule="auto"/>
        <w:rPr>
          <w:rFonts w:ascii="Arial" w:hAnsi="Arial" w:cs="Arial"/>
        </w:rPr>
      </w:pPr>
      <w:r w:rsidRPr="00051491">
        <w:rPr>
          <w:rFonts w:ascii="Arial" w:hAnsi="Arial" w:cs="Arial"/>
          <w:lang w:val="en-US"/>
        </w:rPr>
        <w:t>The Emissions and Energy Reporting System (EERS)</w:t>
      </w:r>
      <w:r w:rsidRPr="00051491" w:rsidDel="00051491">
        <w:rPr>
          <w:rFonts w:ascii="Arial" w:hAnsi="Arial" w:cs="Arial"/>
        </w:rPr>
        <w:t xml:space="preserve"> </w:t>
      </w:r>
    </w:p>
    <w:p w14:paraId="6126FF9B" w14:textId="0FB17D14" w:rsidR="00521E61" w:rsidRDefault="00CA4FB8" w:rsidP="00A6254A">
      <w:pPr>
        <w:pStyle w:val="ListNumber"/>
        <w:tabs>
          <w:tab w:val="left" w:pos="0"/>
          <w:tab w:val="left" w:pos="90"/>
        </w:tabs>
        <w:spacing w:line="312" w:lineRule="auto"/>
        <w:rPr>
          <w:rFonts w:ascii="Arial" w:hAnsi="Arial" w:cs="Arial"/>
        </w:rPr>
      </w:pPr>
      <w:hyperlink r:id="rId24" w:history="1">
        <w:r w:rsidR="00521E61" w:rsidRPr="00485522">
          <w:rPr>
            <w:rStyle w:val="Hyperlink"/>
            <w:rFonts w:ascii="Arial" w:hAnsi="Arial" w:cs="Arial"/>
          </w:rPr>
          <w:t>http://www.cleanenergyregulator.gov.au/OSR/EERS/The-Emissions-and-Energy-Reporting-System</w:t>
        </w:r>
      </w:hyperlink>
    </w:p>
    <w:p w14:paraId="5C1BD1C2" w14:textId="06EB3614" w:rsidR="00010E2E" w:rsidRPr="00C01050" w:rsidRDefault="00010E2E">
      <w:pPr>
        <w:pStyle w:val="ListNumber"/>
        <w:tabs>
          <w:tab w:val="left" w:pos="0"/>
          <w:tab w:val="left" w:pos="90"/>
        </w:tabs>
        <w:spacing w:line="312" w:lineRule="auto"/>
        <w:rPr>
          <w:rFonts w:ascii="Arial" w:hAnsi="Arial" w:cs="Arial"/>
        </w:rPr>
      </w:pPr>
      <w:r w:rsidRPr="00C01050">
        <w:rPr>
          <w:rFonts w:ascii="Arial" w:hAnsi="Arial" w:cs="Arial"/>
        </w:rPr>
        <w:t xml:space="preserve">United Nations </w:t>
      </w:r>
      <w:r w:rsidR="0075709E">
        <w:rPr>
          <w:rFonts w:ascii="Arial" w:hAnsi="Arial" w:cs="Arial"/>
        </w:rPr>
        <w:t xml:space="preserve">Framework </w:t>
      </w:r>
      <w:r w:rsidRPr="00C01050">
        <w:rPr>
          <w:rFonts w:ascii="Arial" w:hAnsi="Arial" w:cs="Arial"/>
        </w:rPr>
        <w:t>Convention on Climate Change and related topics including the Kyoto Protocol</w:t>
      </w:r>
      <w:r w:rsidR="0075709E">
        <w:rPr>
          <w:rFonts w:ascii="Arial" w:hAnsi="Arial" w:cs="Arial"/>
        </w:rPr>
        <w:t xml:space="preserve"> and Paris Agreement</w:t>
      </w:r>
      <w:r w:rsidRPr="00C01050">
        <w:rPr>
          <w:rFonts w:ascii="Arial" w:hAnsi="Arial" w:cs="Arial"/>
        </w:rPr>
        <w:br/>
      </w:r>
      <w:hyperlink r:id="rId25" w:history="1">
        <w:r w:rsidRPr="00C01050">
          <w:rPr>
            <w:rStyle w:val="Hyperlink"/>
            <w:rFonts w:ascii="Arial" w:hAnsi="Arial" w:cs="Arial"/>
          </w:rPr>
          <w:t>www.unfccc.int</w:t>
        </w:r>
      </w:hyperlink>
    </w:p>
    <w:p w14:paraId="324AE109" w14:textId="77777777" w:rsidR="00816AC6" w:rsidRPr="00C01050" w:rsidRDefault="00010E2E" w:rsidP="00141C4B">
      <w:pPr>
        <w:pStyle w:val="ListNumber"/>
        <w:tabs>
          <w:tab w:val="left" w:pos="0"/>
          <w:tab w:val="left" w:pos="2250"/>
        </w:tabs>
        <w:spacing w:line="312" w:lineRule="auto"/>
        <w:rPr>
          <w:rFonts w:ascii="Arial" w:hAnsi="Arial" w:cs="Arial"/>
        </w:rPr>
      </w:pPr>
      <w:r w:rsidRPr="00C01050">
        <w:rPr>
          <w:rFonts w:ascii="Arial" w:hAnsi="Arial" w:cs="Arial"/>
        </w:rPr>
        <w:t xml:space="preserve">The Greenhouse Gas Protocol Initiative (convened by the </w:t>
      </w:r>
      <w:hyperlink r:id="rId26" w:history="1">
        <w:r w:rsidRPr="00C01050">
          <w:rPr>
            <w:rStyle w:val="Hyperlink"/>
            <w:rFonts w:ascii="Arial" w:hAnsi="Arial" w:cs="Arial"/>
            <w:color w:val="000000"/>
            <w:u w:val="none"/>
          </w:rPr>
          <w:t>World Business Council for Sustainable Development (WBCSD)</w:t>
        </w:r>
      </w:hyperlink>
      <w:r w:rsidRPr="00C01050">
        <w:rPr>
          <w:rFonts w:ascii="Arial" w:hAnsi="Arial" w:cs="Arial"/>
        </w:rPr>
        <w:t xml:space="preserve"> and the </w:t>
      </w:r>
      <w:hyperlink r:id="rId27" w:history="1">
        <w:r w:rsidRPr="00C01050">
          <w:rPr>
            <w:rStyle w:val="Hyperlink"/>
            <w:rFonts w:ascii="Arial" w:hAnsi="Arial" w:cs="Arial"/>
            <w:color w:val="000000"/>
            <w:u w:val="none"/>
          </w:rPr>
          <w:t>World Resources Institute (WRI)</w:t>
        </w:r>
      </w:hyperlink>
      <w:r w:rsidRPr="00C01050">
        <w:rPr>
          <w:rFonts w:ascii="Arial" w:hAnsi="Arial" w:cs="Arial"/>
        </w:rPr>
        <w:t>)</w:t>
      </w:r>
      <w:r w:rsidRPr="00C01050">
        <w:rPr>
          <w:rFonts w:ascii="Arial" w:hAnsi="Arial" w:cs="Arial"/>
        </w:rPr>
        <w:br/>
      </w:r>
      <w:hyperlink r:id="rId28" w:history="1">
        <w:r w:rsidRPr="00C01050">
          <w:rPr>
            <w:rStyle w:val="Hyperlink"/>
            <w:rFonts w:ascii="Arial" w:hAnsi="Arial" w:cs="Arial"/>
          </w:rPr>
          <w:t>www.ghgprotocol.org</w:t>
        </w:r>
      </w:hyperlink>
      <w:r w:rsidRPr="00C01050">
        <w:rPr>
          <w:rFonts w:ascii="Arial" w:hAnsi="Arial" w:cs="Arial"/>
        </w:rPr>
        <w:t xml:space="preserve"> </w:t>
      </w:r>
    </w:p>
    <w:p w14:paraId="7DA7DCC6" w14:textId="77777777" w:rsidR="00010E2E" w:rsidRPr="00C01050" w:rsidRDefault="00010E2E">
      <w:pPr>
        <w:pStyle w:val="Heading2"/>
        <w:spacing w:before="240" w:after="0" w:line="312" w:lineRule="auto"/>
        <w:ind w:left="578" w:hanging="578"/>
        <w:rPr>
          <w:rFonts w:ascii="Arial" w:hAnsi="Arial" w:cs="Arial"/>
          <w:bCs/>
        </w:rPr>
      </w:pPr>
      <w:r w:rsidRPr="00C01050">
        <w:rPr>
          <w:rFonts w:ascii="Arial" w:hAnsi="Arial" w:cs="Arial"/>
          <w:bCs/>
        </w:rPr>
        <w:t>Contacts</w:t>
      </w:r>
    </w:p>
    <w:p w14:paraId="2BCD9536" w14:textId="77777777" w:rsidR="00010E2E" w:rsidRPr="00C01050" w:rsidRDefault="000B79B3">
      <w:pPr>
        <w:tabs>
          <w:tab w:val="left" w:pos="0"/>
          <w:tab w:val="left" w:pos="990"/>
          <w:tab w:val="left" w:pos="2250"/>
        </w:tabs>
        <w:spacing w:line="312" w:lineRule="auto"/>
        <w:ind w:left="0"/>
        <w:rPr>
          <w:rFonts w:ascii="Arial" w:hAnsi="Arial" w:cs="Arial"/>
        </w:rPr>
      </w:pPr>
      <w:r w:rsidRPr="00C01050">
        <w:rPr>
          <w:rFonts w:ascii="Arial" w:hAnsi="Arial" w:cs="Arial"/>
        </w:rPr>
        <w:t>For enquiries relating to this Workbook</w:t>
      </w:r>
    </w:p>
    <w:p w14:paraId="08E20712" w14:textId="77777777" w:rsidR="00545FE2" w:rsidRPr="00C01050" w:rsidRDefault="000B79B3">
      <w:pPr>
        <w:tabs>
          <w:tab w:val="left" w:pos="0"/>
          <w:tab w:val="left" w:pos="990"/>
          <w:tab w:val="left" w:pos="2250"/>
        </w:tabs>
        <w:spacing w:line="312" w:lineRule="auto"/>
        <w:ind w:left="0"/>
        <w:rPr>
          <w:rFonts w:ascii="Arial" w:hAnsi="Arial" w:cs="Arial"/>
        </w:rPr>
      </w:pPr>
      <w:r w:rsidRPr="00C01050">
        <w:rPr>
          <w:rFonts w:ascii="Arial" w:hAnsi="Arial" w:cs="Arial"/>
        </w:rPr>
        <w:t xml:space="preserve">Email: </w:t>
      </w:r>
      <w:hyperlink r:id="rId29" w:history="1">
        <w:r w:rsidR="00051491" w:rsidRPr="00A10FB7">
          <w:rPr>
            <w:rStyle w:val="Hyperlink"/>
            <w:rFonts w:ascii="Arial" w:hAnsi="Arial" w:cs="Arial"/>
          </w:rPr>
          <w:t>nationalgreenhouseaccounts@environment.gov.au</w:t>
        </w:r>
      </w:hyperlink>
    </w:p>
    <w:p w14:paraId="6235F7D5" w14:textId="77777777" w:rsidR="00E25CFC" w:rsidRPr="00C01050" w:rsidRDefault="00E25CFC">
      <w:pPr>
        <w:tabs>
          <w:tab w:val="left" w:pos="0"/>
          <w:tab w:val="left" w:pos="990"/>
          <w:tab w:val="left" w:pos="2250"/>
        </w:tabs>
        <w:spacing w:line="312" w:lineRule="auto"/>
        <w:ind w:left="0"/>
        <w:rPr>
          <w:rFonts w:ascii="Arial" w:hAnsi="Arial" w:cs="Arial"/>
        </w:rPr>
      </w:pPr>
    </w:p>
    <w:p w14:paraId="4B718C5B" w14:textId="77777777" w:rsidR="00010E2E" w:rsidRPr="00447AC0" w:rsidRDefault="00345E7B">
      <w:pPr>
        <w:tabs>
          <w:tab w:val="left" w:pos="0"/>
          <w:tab w:val="left" w:pos="990"/>
          <w:tab w:val="left" w:pos="2250"/>
        </w:tabs>
        <w:spacing w:line="312" w:lineRule="auto"/>
        <w:ind w:left="0"/>
        <w:rPr>
          <w:rFonts w:ascii="Arial" w:hAnsi="Arial" w:cs="Arial"/>
        </w:rPr>
      </w:pPr>
      <w:r w:rsidRPr="00447AC0">
        <w:rPr>
          <w:rFonts w:ascii="Arial" w:hAnsi="Arial" w:cs="Arial"/>
        </w:rPr>
        <w:t xml:space="preserve">For enquiries relating to National Greenhouse and Energy Reporting </w:t>
      </w:r>
    </w:p>
    <w:p w14:paraId="5E226110" w14:textId="77777777" w:rsidR="00010E2E" w:rsidRPr="00447AC0" w:rsidRDefault="00345E7B">
      <w:pPr>
        <w:tabs>
          <w:tab w:val="left" w:pos="0"/>
          <w:tab w:val="left" w:pos="990"/>
          <w:tab w:val="left" w:pos="2250"/>
        </w:tabs>
        <w:spacing w:line="312" w:lineRule="auto"/>
        <w:ind w:left="0"/>
        <w:rPr>
          <w:rFonts w:ascii="Arial" w:hAnsi="Arial" w:cs="Arial"/>
        </w:rPr>
      </w:pPr>
      <w:r w:rsidRPr="00447AC0">
        <w:rPr>
          <w:rFonts w:ascii="Arial" w:hAnsi="Arial" w:cs="Arial"/>
        </w:rPr>
        <w:t xml:space="preserve">Email: </w:t>
      </w:r>
      <w:hyperlink r:id="rId30" w:history="1">
        <w:r w:rsidR="00447AC0" w:rsidRPr="00447AC0">
          <w:rPr>
            <w:rStyle w:val="Hyperlink"/>
            <w:rFonts w:ascii="Arial" w:hAnsi="Arial" w:cs="Arial"/>
          </w:rPr>
          <w:t>reporting@cleanenergyregulator.gov.au</w:t>
        </w:r>
      </w:hyperlink>
    </w:p>
    <w:p w14:paraId="67F29321" w14:textId="77777777" w:rsidR="00010E2E" w:rsidRPr="00447AC0" w:rsidRDefault="00447AC0">
      <w:pPr>
        <w:tabs>
          <w:tab w:val="left" w:pos="0"/>
          <w:tab w:val="left" w:pos="990"/>
          <w:tab w:val="left" w:pos="2250"/>
        </w:tabs>
        <w:spacing w:line="312" w:lineRule="auto"/>
        <w:ind w:left="0"/>
        <w:rPr>
          <w:rFonts w:ascii="Arial" w:hAnsi="Arial" w:cs="Arial"/>
        </w:rPr>
      </w:pPr>
      <w:r>
        <w:rPr>
          <w:rFonts w:ascii="Arial" w:hAnsi="Arial" w:cs="Arial"/>
        </w:rPr>
        <w:t>Clean Energy Regulator general enquiries line</w:t>
      </w:r>
      <w:r w:rsidR="00345E7B" w:rsidRPr="00447AC0">
        <w:rPr>
          <w:rFonts w:ascii="Arial" w:hAnsi="Arial" w:cs="Arial"/>
        </w:rPr>
        <w:t xml:space="preserve"> </w:t>
      </w:r>
      <w:r>
        <w:rPr>
          <w:rFonts w:ascii="Arial" w:hAnsi="Arial" w:cs="Arial"/>
        </w:rPr>
        <w:t>1300 553 542</w:t>
      </w:r>
    </w:p>
    <w:p w14:paraId="60033D8A" w14:textId="77777777" w:rsidR="00010E2E" w:rsidRPr="00447AC0" w:rsidRDefault="00010E2E">
      <w:pPr>
        <w:tabs>
          <w:tab w:val="left" w:pos="0"/>
          <w:tab w:val="left" w:pos="990"/>
          <w:tab w:val="left" w:pos="2250"/>
        </w:tabs>
        <w:spacing w:line="312" w:lineRule="auto"/>
        <w:ind w:left="0"/>
        <w:rPr>
          <w:rFonts w:ascii="Arial" w:hAnsi="Arial" w:cs="Arial"/>
        </w:rPr>
      </w:pPr>
    </w:p>
    <w:p w14:paraId="775CCE31" w14:textId="77777777" w:rsidR="00010E2E" w:rsidRPr="00120517" w:rsidRDefault="00010E2E">
      <w:pPr>
        <w:tabs>
          <w:tab w:val="left" w:pos="0"/>
          <w:tab w:val="left" w:pos="990"/>
          <w:tab w:val="left" w:pos="2250"/>
        </w:tabs>
        <w:spacing w:line="312" w:lineRule="auto"/>
        <w:ind w:left="0"/>
        <w:rPr>
          <w:rFonts w:ascii="Arial" w:hAnsi="Arial" w:cs="Arial"/>
        </w:rPr>
      </w:pPr>
    </w:p>
    <w:p w14:paraId="2F7268FA" w14:textId="77777777" w:rsidR="00A11CB4" w:rsidRDefault="00A11CB4">
      <w:pPr>
        <w:ind w:left="0"/>
        <w:rPr>
          <w:spacing w:val="-40"/>
          <w:kern w:val="28"/>
          <w:sz w:val="60"/>
        </w:rPr>
      </w:pPr>
      <w:r>
        <w:br w:type="page"/>
      </w:r>
    </w:p>
    <w:p w14:paraId="3E5F1FB1" w14:textId="2E7DE978" w:rsidR="00010E2E" w:rsidRDefault="00010E2E" w:rsidP="000C2198">
      <w:pPr>
        <w:pStyle w:val="ChapterTitle"/>
        <w:ind w:left="0" w:right="-192"/>
      </w:pPr>
      <w:r>
        <w:t>National Greenhouse Accounts (NGA) Factors</w:t>
      </w:r>
    </w:p>
    <w:p w14:paraId="624FA6BC" w14:textId="77777777" w:rsidR="00010E2E" w:rsidRDefault="00010E2E">
      <w:pPr>
        <w:pStyle w:val="Heading1"/>
        <w:tabs>
          <w:tab w:val="left" w:pos="0"/>
          <w:tab w:val="left" w:pos="2250"/>
        </w:tabs>
        <w:spacing w:before="120" w:after="0" w:line="312" w:lineRule="auto"/>
        <w:ind w:left="0" w:firstLine="0"/>
        <w:rPr>
          <w:rFonts w:ascii="Arial" w:hAnsi="Arial" w:cs="Arial"/>
        </w:rPr>
      </w:pPr>
      <w:bookmarkStart w:id="37" w:name="_Toc391646677"/>
      <w:r>
        <w:rPr>
          <w:rFonts w:ascii="Arial" w:hAnsi="Arial" w:cs="Arial"/>
        </w:rPr>
        <w:t>Energy</w:t>
      </w:r>
      <w:bookmarkEnd w:id="37"/>
    </w:p>
    <w:p w14:paraId="24BC678B" w14:textId="77777777" w:rsidR="00FA1BF9" w:rsidRDefault="00FA1BF9">
      <w:pPr>
        <w:pStyle w:val="BodyText"/>
        <w:tabs>
          <w:tab w:val="left" w:pos="0"/>
          <w:tab w:val="left" w:pos="2250"/>
        </w:tabs>
        <w:spacing w:before="120" w:after="0" w:line="312" w:lineRule="auto"/>
        <w:ind w:left="0"/>
        <w:rPr>
          <w:rFonts w:ascii="Arial" w:hAnsi="Arial" w:cs="Arial"/>
        </w:rPr>
      </w:pPr>
    </w:p>
    <w:p w14:paraId="6ADD12E4"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This section addresses the estimation of emissions in the energy sector and includes emission factors for:</w:t>
      </w:r>
    </w:p>
    <w:p w14:paraId="3E2A9509" w14:textId="77777777" w:rsidR="00010E2E" w:rsidRDefault="00010E2E" w:rsidP="003536C2">
      <w:pPr>
        <w:numPr>
          <w:ilvl w:val="0"/>
          <w:numId w:val="17"/>
        </w:numPr>
        <w:spacing w:before="120" w:line="312" w:lineRule="auto"/>
        <w:rPr>
          <w:rFonts w:ascii="Arial" w:hAnsi="Arial" w:cs="Arial"/>
        </w:rPr>
      </w:pPr>
      <w:r>
        <w:rPr>
          <w:rFonts w:ascii="Arial" w:hAnsi="Arial" w:cs="Arial"/>
        </w:rPr>
        <w:t xml:space="preserve">the stationary combustion of solid, gaseous and liquid fuels (section 2.1); </w:t>
      </w:r>
    </w:p>
    <w:p w14:paraId="02A45CCE" w14:textId="77777777" w:rsidR="00010E2E" w:rsidRDefault="00010E2E" w:rsidP="003536C2">
      <w:pPr>
        <w:numPr>
          <w:ilvl w:val="0"/>
          <w:numId w:val="17"/>
        </w:numPr>
        <w:spacing w:before="120" w:line="312" w:lineRule="auto"/>
        <w:rPr>
          <w:rFonts w:ascii="Arial" w:hAnsi="Arial" w:cs="Arial"/>
        </w:rPr>
      </w:pPr>
      <w:r>
        <w:rPr>
          <w:rFonts w:ascii="Arial" w:hAnsi="Arial" w:cs="Arial"/>
        </w:rPr>
        <w:t xml:space="preserve">the combustion of liquid and gaseous fuels for </w:t>
      </w:r>
      <w:r w:rsidRPr="003536C2">
        <w:rPr>
          <w:rFonts w:ascii="Arial" w:hAnsi="Arial" w:cs="Arial"/>
        </w:rPr>
        <w:t>transport</w:t>
      </w:r>
      <w:r>
        <w:rPr>
          <w:rFonts w:ascii="Arial" w:hAnsi="Arial" w:cs="Arial"/>
        </w:rPr>
        <w:t xml:space="preserve"> (section 2.2); </w:t>
      </w:r>
    </w:p>
    <w:p w14:paraId="7688F8D7" w14:textId="77777777" w:rsidR="00010E2E" w:rsidRDefault="00010E2E" w:rsidP="003536C2">
      <w:pPr>
        <w:numPr>
          <w:ilvl w:val="0"/>
          <w:numId w:val="17"/>
        </w:numPr>
        <w:spacing w:before="120" w:line="312" w:lineRule="auto"/>
        <w:rPr>
          <w:rFonts w:ascii="Arial" w:hAnsi="Arial" w:cs="Arial"/>
        </w:rPr>
      </w:pPr>
      <w:r>
        <w:rPr>
          <w:rFonts w:ascii="Arial" w:hAnsi="Arial" w:cs="Arial"/>
        </w:rPr>
        <w:t xml:space="preserve">the </w:t>
      </w:r>
      <w:r w:rsidRPr="003536C2">
        <w:rPr>
          <w:rFonts w:ascii="Arial" w:hAnsi="Arial" w:cs="Arial"/>
        </w:rPr>
        <w:t>consumption of purchased electricity</w:t>
      </w:r>
      <w:r>
        <w:rPr>
          <w:rFonts w:ascii="Arial" w:hAnsi="Arial" w:cs="Arial"/>
        </w:rPr>
        <w:t xml:space="preserve"> (section 2.3); and </w:t>
      </w:r>
    </w:p>
    <w:p w14:paraId="7FBF3E2D" w14:textId="77777777" w:rsidR="00010E2E" w:rsidRDefault="00010E2E" w:rsidP="003536C2">
      <w:pPr>
        <w:numPr>
          <w:ilvl w:val="0"/>
          <w:numId w:val="17"/>
        </w:numPr>
        <w:spacing w:before="120" w:line="312" w:lineRule="auto"/>
        <w:rPr>
          <w:rFonts w:ascii="Arial" w:hAnsi="Arial" w:cs="Arial"/>
        </w:rPr>
      </w:pPr>
      <w:r>
        <w:rPr>
          <w:rFonts w:ascii="Arial" w:hAnsi="Arial" w:cs="Arial"/>
        </w:rPr>
        <w:t>the extraction of fossil fuels (section 2.4).</w:t>
      </w:r>
    </w:p>
    <w:p w14:paraId="1C284CBC" w14:textId="19DA04AF" w:rsidR="00010E2E" w:rsidRDefault="00010E2E" w:rsidP="00914552">
      <w:pPr>
        <w:spacing w:before="120" w:line="312" w:lineRule="auto"/>
        <w:ind w:left="0"/>
      </w:pPr>
      <w:r>
        <w:rPr>
          <w:rFonts w:ascii="Arial" w:hAnsi="Arial" w:cs="Arial"/>
        </w:rPr>
        <w:t>The princip</w:t>
      </w:r>
      <w:r w:rsidR="00990E77">
        <w:rPr>
          <w:rFonts w:ascii="Arial" w:hAnsi="Arial" w:cs="Arial"/>
        </w:rPr>
        <w:t>al</w:t>
      </w:r>
      <w:r>
        <w:rPr>
          <w:rFonts w:ascii="Arial" w:hAnsi="Arial" w:cs="Arial"/>
        </w:rPr>
        <w:t xml:space="preserve"> greenhouse gas generated by the combustion of fossil fuels for energy is carbon dioxide. The quantity of gas produced depends on the carbon content of the fuel and the degree to which the fuel is fully combusted (i.e. the oxidation factor, which usually ranges between 98% and 99.5%). Small quantities of methane and nitrous oxide are also produced, depending on the actual combustion conditions. Methane may be generated when fuel is heated, but only partially burnt, and depends on combustion temperatures and the level of oxygen present. Nitrous oxide results from the reaction between nitrogen and oxygen in the combustion air.</w:t>
      </w:r>
    </w:p>
    <w:p w14:paraId="51149061" w14:textId="77777777" w:rsidR="00010E2E" w:rsidRDefault="00010E2E">
      <w:pPr>
        <w:pStyle w:val="Heading2"/>
        <w:spacing w:before="120" w:after="0" w:line="312" w:lineRule="auto"/>
        <w:rPr>
          <w:rFonts w:ascii="Arial" w:hAnsi="Arial" w:cs="Arial"/>
          <w:bCs/>
        </w:rPr>
      </w:pPr>
      <w:r>
        <w:rPr>
          <w:rFonts w:ascii="Arial" w:hAnsi="Arial" w:cs="Arial"/>
          <w:bCs/>
        </w:rPr>
        <w:t>Stationary energy emissions (non-transport)</w:t>
      </w:r>
    </w:p>
    <w:p w14:paraId="1CF3A90A"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Estimates of emissions from the combustion of individual fuel types are made by multiplying a (physical) quantity of fuel combusted by a fuel-specific energy content factor and a fuel</w:t>
      </w:r>
      <w:r w:rsidR="00356531">
        <w:rPr>
          <w:rFonts w:ascii="Arial" w:hAnsi="Arial" w:cs="Arial"/>
        </w:rPr>
        <w:noBreakHyphen/>
      </w:r>
      <w:r>
        <w:rPr>
          <w:rFonts w:ascii="Arial" w:hAnsi="Arial" w:cs="Arial"/>
        </w:rPr>
        <w:t xml:space="preserve">specific emission factor. This is performed for each relevant greenhouse gas (in this case, carbon dioxide, methane and nitrous oxide). Separate calculations should be carried out for each fuel type. </w:t>
      </w:r>
    </w:p>
    <w:p w14:paraId="4AA8A944" w14:textId="77777777" w:rsidR="00010E2E" w:rsidRPr="000D12D8" w:rsidRDefault="00010E2E">
      <w:pPr>
        <w:pStyle w:val="BodyText"/>
        <w:tabs>
          <w:tab w:val="left" w:pos="0"/>
          <w:tab w:val="left" w:pos="2250"/>
        </w:tabs>
        <w:spacing w:before="120" w:after="0" w:line="312" w:lineRule="auto"/>
        <w:ind w:left="0"/>
        <w:rPr>
          <w:rFonts w:ascii="Arial" w:hAnsi="Arial" w:cs="Arial"/>
        </w:rPr>
      </w:pPr>
      <w:r w:rsidRPr="000D12D8">
        <w:rPr>
          <w:rFonts w:ascii="Arial" w:hAnsi="Arial" w:cs="Arial"/>
        </w:rPr>
        <w:t>Total greenhouse emissions are calculated by summing the emissions of each fuel type and each greenhouse gas.</w:t>
      </w:r>
    </w:p>
    <w:p w14:paraId="43727E3A" w14:textId="77777777" w:rsidR="00010E2E" w:rsidRDefault="00010E2E">
      <w:pPr>
        <w:pStyle w:val="BodyText"/>
        <w:tabs>
          <w:tab w:val="left" w:pos="0"/>
          <w:tab w:val="left" w:pos="2250"/>
        </w:tabs>
        <w:spacing w:before="120" w:after="0" w:line="312" w:lineRule="auto"/>
        <w:ind w:left="0"/>
        <w:rPr>
          <w:rFonts w:ascii="Arial" w:hAnsi="Arial" w:cs="Arial"/>
        </w:rPr>
      </w:pPr>
    </w:p>
    <w:p w14:paraId="1A615FD3" w14:textId="77777777" w:rsidR="00010E2E" w:rsidRDefault="00010E2E">
      <w:pPr>
        <w:pStyle w:val="Heading3"/>
        <w:tabs>
          <w:tab w:val="left" w:pos="0"/>
          <w:tab w:val="left" w:pos="2250"/>
        </w:tabs>
        <w:spacing w:before="120" w:line="312" w:lineRule="auto"/>
        <w:ind w:left="0" w:firstLine="0"/>
        <w:rPr>
          <w:rFonts w:ascii="Arial" w:hAnsi="Arial" w:cs="Arial"/>
        </w:rPr>
      </w:pPr>
      <w:bookmarkStart w:id="38" w:name="_Toc142888289"/>
      <w:r>
        <w:rPr>
          <w:rFonts w:ascii="Arial" w:hAnsi="Arial" w:cs="Arial"/>
        </w:rPr>
        <w:t>Fuel combustion emissions – solid fuels</w:t>
      </w:r>
    </w:p>
    <w:bookmarkEnd w:id="38"/>
    <w:p w14:paraId="24A5D295"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The following formula can be used to estimate greenhouse gas emissions from the combustion of each type of fuel listed in Table 1. </w:t>
      </w:r>
    </w:p>
    <w:p w14:paraId="088C6910" w14:textId="77777777" w:rsidR="00010E2E" w:rsidRDefault="00CA4FB8">
      <w:pPr>
        <w:pStyle w:val="Formula"/>
        <w:rPr>
          <w:color w:val="000000"/>
        </w:rPr>
      </w:pPr>
      <w:r>
        <w:rPr>
          <w:color w:val="000000"/>
          <w:position w:val="-24"/>
        </w:rPr>
        <w:pict w14:anchorId="2EAD6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3.75pt">
            <v:imagedata r:id="rId31" o:title=""/>
          </v:shape>
        </w:pict>
      </w:r>
    </w:p>
    <w:p w14:paraId="0DA73081" w14:textId="77777777" w:rsidR="00010E2E" w:rsidRPr="000E686B" w:rsidRDefault="00010E2E">
      <w:pPr>
        <w:pStyle w:val="EquationNote"/>
        <w:rPr>
          <w:rFonts w:ascii="Times New Roman" w:hAnsi="Times New Roman" w:cs="Times New Roman"/>
          <w:sz w:val="22"/>
          <w:szCs w:val="22"/>
        </w:rPr>
      </w:pPr>
      <w:r w:rsidRPr="000E686B">
        <w:rPr>
          <w:rFonts w:ascii="Times New Roman" w:hAnsi="Times New Roman" w:cs="Times New Roman"/>
          <w:sz w:val="22"/>
          <w:szCs w:val="22"/>
        </w:rPr>
        <w:t>where:</w:t>
      </w:r>
    </w:p>
    <w:p w14:paraId="61FC8659" w14:textId="77777777" w:rsidR="00010E2E" w:rsidRPr="000E686B" w:rsidRDefault="00010E2E">
      <w:pPr>
        <w:pStyle w:val="definition"/>
        <w:rPr>
          <w:color w:val="000000"/>
          <w:sz w:val="22"/>
          <w:szCs w:val="22"/>
        </w:rPr>
      </w:pPr>
      <w:r w:rsidRPr="000E686B">
        <w:rPr>
          <w:b/>
          <w:i/>
          <w:color w:val="000000"/>
          <w:sz w:val="22"/>
          <w:szCs w:val="22"/>
        </w:rPr>
        <w:t>E</w:t>
      </w:r>
      <w:r w:rsidRPr="000E686B">
        <w:rPr>
          <w:rStyle w:val="Subscript"/>
          <w:b/>
          <w:i/>
          <w:iCs/>
          <w:color w:val="000000"/>
          <w:sz w:val="22"/>
          <w:szCs w:val="22"/>
        </w:rPr>
        <w:t xml:space="preserve">ij </w:t>
      </w:r>
      <w:r w:rsidRPr="000E686B">
        <w:rPr>
          <w:rStyle w:val="EquationNoteChar"/>
          <w:rFonts w:ascii="Times New Roman" w:hAnsi="Times New Roman" w:cs="Times New Roman"/>
          <w:sz w:val="22"/>
          <w:szCs w:val="22"/>
        </w:rPr>
        <w:t>is the emissions of gas type (j), (carbon dioxide, methane or nitrous oxide), from fuel type (i) (CO</w:t>
      </w:r>
      <w:r w:rsidRPr="000E686B">
        <w:rPr>
          <w:rStyle w:val="EquationNoteChar"/>
          <w:rFonts w:ascii="Times New Roman" w:hAnsi="Times New Roman" w:cs="Times New Roman"/>
          <w:sz w:val="22"/>
          <w:szCs w:val="22"/>
          <w:vertAlign w:val="subscript"/>
        </w:rPr>
        <w:t>2</w:t>
      </w:r>
      <w:r w:rsidRPr="000E686B">
        <w:rPr>
          <w:rStyle w:val="EquationNoteChar"/>
          <w:rFonts w:ascii="Times New Roman" w:hAnsi="Times New Roman" w:cs="Times New Roman"/>
          <w:sz w:val="22"/>
          <w:szCs w:val="22"/>
        </w:rPr>
        <w:noBreakHyphen/>
        <w:t>e tonnes).</w:t>
      </w:r>
    </w:p>
    <w:p w14:paraId="2FBAFB18" w14:textId="77777777" w:rsidR="00010E2E" w:rsidRPr="000E686B" w:rsidRDefault="00010E2E">
      <w:pPr>
        <w:pStyle w:val="definition"/>
        <w:rPr>
          <w:rStyle w:val="EquationNoteChar"/>
          <w:rFonts w:ascii="Times New Roman" w:hAnsi="Times New Roman" w:cs="Times New Roman"/>
          <w:sz w:val="22"/>
          <w:szCs w:val="22"/>
        </w:rPr>
      </w:pPr>
      <w:r w:rsidRPr="000E686B">
        <w:rPr>
          <w:b/>
          <w:i/>
          <w:color w:val="000000"/>
          <w:sz w:val="22"/>
          <w:szCs w:val="22"/>
        </w:rPr>
        <w:t>Q</w:t>
      </w:r>
      <w:r w:rsidRPr="000E686B">
        <w:rPr>
          <w:b/>
          <w:i/>
          <w:color w:val="000000"/>
          <w:sz w:val="22"/>
          <w:szCs w:val="22"/>
          <w:vertAlign w:val="subscript"/>
        </w:rPr>
        <w:t>i</w:t>
      </w:r>
      <w:r w:rsidRPr="000E686B">
        <w:rPr>
          <w:color w:val="000000"/>
          <w:sz w:val="22"/>
          <w:szCs w:val="22"/>
          <w:vertAlign w:val="subscript"/>
        </w:rPr>
        <w:t xml:space="preserve"> </w:t>
      </w:r>
      <w:r w:rsidRPr="000E686B">
        <w:rPr>
          <w:rStyle w:val="EquationNoteChar"/>
          <w:rFonts w:ascii="Times New Roman" w:hAnsi="Times New Roman" w:cs="Times New Roman"/>
          <w:sz w:val="22"/>
          <w:szCs w:val="22"/>
        </w:rPr>
        <w:t>is the quantity of fuel type (i) (tonnes).</w:t>
      </w:r>
    </w:p>
    <w:p w14:paraId="333F9DBD" w14:textId="77777777" w:rsidR="00010E2E" w:rsidRPr="000E686B" w:rsidRDefault="00010E2E">
      <w:pPr>
        <w:pStyle w:val="definition"/>
        <w:rPr>
          <w:rStyle w:val="EquationNoteChar"/>
          <w:rFonts w:ascii="Times New Roman" w:hAnsi="Times New Roman" w:cs="Times New Roman"/>
          <w:sz w:val="22"/>
          <w:szCs w:val="22"/>
        </w:rPr>
      </w:pPr>
      <w:r w:rsidRPr="000E686B">
        <w:rPr>
          <w:b/>
          <w:i/>
          <w:color w:val="000000"/>
          <w:sz w:val="22"/>
          <w:szCs w:val="22"/>
        </w:rPr>
        <w:t>EC</w:t>
      </w:r>
      <w:r w:rsidRPr="000E686B">
        <w:rPr>
          <w:b/>
          <w:i/>
          <w:color w:val="000000"/>
          <w:sz w:val="22"/>
          <w:szCs w:val="22"/>
          <w:vertAlign w:val="subscript"/>
        </w:rPr>
        <w:t>i</w:t>
      </w:r>
      <w:r w:rsidRPr="000E686B">
        <w:rPr>
          <w:color w:val="000000"/>
          <w:sz w:val="22"/>
          <w:szCs w:val="22"/>
        </w:rPr>
        <w:t xml:space="preserve"> </w:t>
      </w:r>
      <w:r w:rsidRPr="000E686B">
        <w:rPr>
          <w:rStyle w:val="EquationNoteChar"/>
          <w:rFonts w:ascii="Times New Roman" w:hAnsi="Times New Roman" w:cs="Times New Roman"/>
          <w:sz w:val="22"/>
          <w:szCs w:val="22"/>
        </w:rPr>
        <w:t>is the energy content factor of the fuel (gigajoules per tonne) according to each fuel in Table 1.</w:t>
      </w:r>
    </w:p>
    <w:p w14:paraId="2A932338" w14:textId="77777777" w:rsidR="00010E2E" w:rsidRPr="000E686B" w:rsidRDefault="00010E2E">
      <w:pPr>
        <w:pStyle w:val="definition"/>
        <w:ind w:firstLine="116"/>
        <w:rPr>
          <w:color w:val="000000"/>
          <w:sz w:val="22"/>
          <w:szCs w:val="22"/>
        </w:rPr>
      </w:pPr>
      <w:r w:rsidRPr="000E686B">
        <w:rPr>
          <w:rStyle w:val="EquationNoteChar"/>
          <w:rFonts w:ascii="Times New Roman" w:hAnsi="Times New Roman" w:cs="Times New Roman"/>
          <w:sz w:val="22"/>
          <w:szCs w:val="22"/>
        </w:rPr>
        <w:t>If</w:t>
      </w:r>
      <w:r w:rsidRPr="000E686B">
        <w:rPr>
          <w:color w:val="000000"/>
          <w:sz w:val="22"/>
          <w:szCs w:val="22"/>
        </w:rPr>
        <w:t xml:space="preserve"> </w:t>
      </w:r>
      <w:r w:rsidRPr="000E686B">
        <w:rPr>
          <w:b/>
          <w:i/>
          <w:color w:val="000000"/>
          <w:sz w:val="22"/>
          <w:szCs w:val="22"/>
        </w:rPr>
        <w:t>Q</w:t>
      </w:r>
      <w:r w:rsidRPr="000E686B">
        <w:rPr>
          <w:b/>
          <w:i/>
          <w:color w:val="000000"/>
          <w:sz w:val="22"/>
          <w:szCs w:val="22"/>
          <w:vertAlign w:val="subscript"/>
        </w:rPr>
        <w:t xml:space="preserve">i </w:t>
      </w:r>
      <w:r w:rsidRPr="000E686B">
        <w:rPr>
          <w:rStyle w:val="EquationNoteChar"/>
          <w:rFonts w:ascii="Times New Roman" w:hAnsi="Times New Roman" w:cs="Times New Roman"/>
          <w:sz w:val="22"/>
          <w:szCs w:val="22"/>
        </w:rPr>
        <w:t xml:space="preserve">is measured in gigajoules, then </w:t>
      </w:r>
      <w:r w:rsidRPr="000E686B">
        <w:rPr>
          <w:b/>
          <w:i/>
          <w:iCs/>
          <w:color w:val="000000"/>
          <w:sz w:val="22"/>
          <w:szCs w:val="22"/>
        </w:rPr>
        <w:t>EC</w:t>
      </w:r>
      <w:r w:rsidRPr="000E686B">
        <w:rPr>
          <w:rStyle w:val="EquationNoteChar"/>
          <w:rFonts w:ascii="Times New Roman" w:hAnsi="Times New Roman" w:cs="Times New Roman"/>
          <w:b/>
          <w:i/>
          <w:sz w:val="22"/>
          <w:szCs w:val="22"/>
          <w:vertAlign w:val="subscript"/>
        </w:rPr>
        <w:t>i</w:t>
      </w:r>
      <w:r w:rsidRPr="000E686B">
        <w:rPr>
          <w:rStyle w:val="EquationNoteChar"/>
          <w:rFonts w:ascii="Times New Roman" w:hAnsi="Times New Roman" w:cs="Times New Roman"/>
          <w:sz w:val="22"/>
          <w:szCs w:val="22"/>
        </w:rPr>
        <w:t xml:space="preserve"> is 1.</w:t>
      </w:r>
    </w:p>
    <w:p w14:paraId="69BAE0BA" w14:textId="77777777" w:rsidR="00010E2E" w:rsidRPr="000E686B" w:rsidRDefault="00010E2E">
      <w:pPr>
        <w:pStyle w:val="definition"/>
        <w:rPr>
          <w:color w:val="000000"/>
          <w:sz w:val="22"/>
        </w:rPr>
      </w:pPr>
      <w:r w:rsidRPr="000E686B">
        <w:rPr>
          <w:b/>
          <w:i/>
          <w:color w:val="000000"/>
          <w:sz w:val="22"/>
          <w:szCs w:val="22"/>
        </w:rPr>
        <w:t>EF</w:t>
      </w:r>
      <w:r w:rsidRPr="000E686B">
        <w:rPr>
          <w:b/>
          <w:i/>
          <w:color w:val="000000"/>
          <w:sz w:val="22"/>
          <w:szCs w:val="22"/>
          <w:vertAlign w:val="subscript"/>
        </w:rPr>
        <w:t>ijoxec</w:t>
      </w:r>
      <w:r w:rsidRPr="000E686B">
        <w:rPr>
          <w:color w:val="000000"/>
          <w:sz w:val="22"/>
          <w:szCs w:val="22"/>
        </w:rPr>
        <w:t xml:space="preserve"> </w:t>
      </w:r>
      <w:r w:rsidRPr="000E686B">
        <w:rPr>
          <w:rStyle w:val="EquationNoteChar"/>
          <w:rFonts w:ascii="Times New Roman" w:hAnsi="Times New Roman" w:cs="Times New Roman"/>
          <w:sz w:val="22"/>
          <w:szCs w:val="22"/>
        </w:rPr>
        <w:t>is the emission factor for each gas type (j) (which includes the effect of an oxidation factor) for fuel type (i) (kilograms of CO</w:t>
      </w:r>
      <w:r w:rsidRPr="000E686B">
        <w:rPr>
          <w:rStyle w:val="EquationNoteChar"/>
          <w:rFonts w:ascii="Times New Roman" w:hAnsi="Times New Roman" w:cs="Times New Roman"/>
          <w:sz w:val="22"/>
          <w:szCs w:val="22"/>
          <w:vertAlign w:val="subscript"/>
        </w:rPr>
        <w:t>2</w:t>
      </w:r>
      <w:r w:rsidRPr="000E686B">
        <w:rPr>
          <w:rStyle w:val="EquationNoteChar"/>
          <w:rFonts w:ascii="Times New Roman" w:hAnsi="Times New Roman" w:cs="Times New Roman"/>
          <w:sz w:val="22"/>
          <w:szCs w:val="22"/>
        </w:rPr>
        <w:noBreakHyphen/>
        <w:t>e per gigajoule) according to each fuel in Table 1.</w:t>
      </w:r>
    </w:p>
    <w:p w14:paraId="414C210D" w14:textId="77777777" w:rsidR="00010E2E" w:rsidRPr="004F15DA" w:rsidRDefault="00010E2E" w:rsidP="004F15DA">
      <w:pPr>
        <w:pStyle w:val="definition"/>
        <w:rPr>
          <w:color w:val="000000"/>
          <w:sz w:val="22"/>
        </w:rPr>
      </w:pPr>
    </w:p>
    <w:p w14:paraId="209CD5A1" w14:textId="77777777" w:rsidR="00010E2E" w:rsidRDefault="00010E2E" w:rsidP="00C23E3B">
      <w:pPr>
        <w:pStyle w:val="Caption"/>
      </w:pPr>
      <w:bookmarkStart w:id="39" w:name="_Toc391646687"/>
      <w:bookmarkStart w:id="40" w:name="_Toc485728109"/>
      <w:bookmarkStart w:id="41" w:name="_Ref21250319"/>
      <w:r>
        <w:t xml:space="preserve">Table </w:t>
      </w:r>
      <w:r w:rsidR="00DC52E0">
        <w:fldChar w:fldCharType="begin"/>
      </w:r>
      <w:r w:rsidR="000570E2">
        <w:instrText xml:space="preserve"> SEQ Table \* ARABIC </w:instrText>
      </w:r>
      <w:r w:rsidR="00DC52E0">
        <w:fldChar w:fldCharType="separate"/>
      </w:r>
      <w:r w:rsidR="004A1330">
        <w:rPr>
          <w:noProof/>
        </w:rPr>
        <w:t>1</w:t>
      </w:r>
      <w:r w:rsidR="00DC52E0">
        <w:fldChar w:fldCharType="end"/>
      </w:r>
      <w:r>
        <w:t>: Fuel combustion emission factors - solid fuels and certain coal based products</w:t>
      </w:r>
      <w:bookmarkEnd w:id="39"/>
      <w:bookmarkEnd w:id="40"/>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1400"/>
        <w:gridCol w:w="1294"/>
        <w:gridCol w:w="1134"/>
        <w:gridCol w:w="1275"/>
      </w:tblGrid>
      <w:tr w:rsidR="00010E2E" w14:paraId="75DEC6B5" w14:textId="77777777" w:rsidTr="00382DF3">
        <w:trPr>
          <w:cantSplit/>
          <w:tblHeader/>
        </w:trPr>
        <w:tc>
          <w:tcPr>
            <w:tcW w:w="3402" w:type="dxa"/>
            <w:vMerge w:val="restart"/>
            <w:shd w:val="clear" w:color="auto" w:fill="D9D9D9"/>
            <w:vAlign w:val="center"/>
          </w:tcPr>
          <w:p w14:paraId="3BBC362A" w14:textId="77777777" w:rsidR="00010E2E" w:rsidRPr="00644639" w:rsidRDefault="00010E2E" w:rsidP="00382DF3">
            <w:pPr>
              <w:pStyle w:val="Table"/>
              <w:jc w:val="center"/>
              <w:rPr>
                <w:b/>
                <w:bCs/>
                <w:snapToGrid w:val="0"/>
              </w:rPr>
            </w:pPr>
            <w:r w:rsidRPr="00644639">
              <w:rPr>
                <w:b/>
                <w:bCs/>
                <w:snapToGrid w:val="0"/>
              </w:rPr>
              <w:t>Fuel combusted</w:t>
            </w:r>
          </w:p>
        </w:tc>
        <w:tc>
          <w:tcPr>
            <w:tcW w:w="1400" w:type="dxa"/>
            <w:vMerge w:val="restart"/>
            <w:shd w:val="clear" w:color="auto" w:fill="D9D9D9"/>
            <w:vAlign w:val="center"/>
          </w:tcPr>
          <w:p w14:paraId="3E76B755" w14:textId="77777777" w:rsidR="00010E2E" w:rsidRDefault="00010E2E" w:rsidP="00382DF3">
            <w:pPr>
              <w:pStyle w:val="Table"/>
              <w:jc w:val="center"/>
              <w:rPr>
                <w:rStyle w:val="Strong"/>
                <w:rFonts w:cs="Arial"/>
              </w:rPr>
            </w:pPr>
            <w:r>
              <w:rPr>
                <w:rStyle w:val="Strong"/>
                <w:rFonts w:cs="Arial"/>
              </w:rPr>
              <w:t>Energy content factor</w:t>
            </w:r>
          </w:p>
          <w:p w14:paraId="6B641C0E" w14:textId="77777777" w:rsidR="00010E2E" w:rsidRDefault="00010E2E" w:rsidP="00382DF3">
            <w:pPr>
              <w:pStyle w:val="Table"/>
              <w:jc w:val="center"/>
              <w:rPr>
                <w:rStyle w:val="Strong"/>
                <w:rFonts w:cs="Arial"/>
              </w:rPr>
            </w:pPr>
            <w:r>
              <w:rPr>
                <w:rStyle w:val="Strong"/>
                <w:rFonts w:cs="Arial"/>
              </w:rPr>
              <w:t>GJ/t</w:t>
            </w:r>
          </w:p>
        </w:tc>
        <w:tc>
          <w:tcPr>
            <w:tcW w:w="3703" w:type="dxa"/>
            <w:gridSpan w:val="3"/>
            <w:shd w:val="clear" w:color="auto" w:fill="D9D9D9"/>
            <w:vAlign w:val="center"/>
          </w:tcPr>
          <w:p w14:paraId="7A953FAA" w14:textId="77777777" w:rsidR="00010E2E" w:rsidRDefault="00010E2E" w:rsidP="00382DF3">
            <w:pPr>
              <w:pStyle w:val="Table"/>
              <w:jc w:val="center"/>
              <w:rPr>
                <w:b/>
                <w:bCs/>
              </w:rPr>
            </w:pPr>
            <w:r>
              <w:rPr>
                <w:b/>
                <w:bCs/>
              </w:rPr>
              <w:t>Emission factor</w:t>
            </w:r>
          </w:p>
          <w:p w14:paraId="4AB86341" w14:textId="77777777" w:rsidR="00010E2E" w:rsidRDefault="00010E2E" w:rsidP="00382DF3">
            <w:pPr>
              <w:pStyle w:val="Table"/>
              <w:jc w:val="center"/>
              <w:rPr>
                <w:b/>
                <w:bCs/>
              </w:rPr>
            </w:pPr>
            <w:r>
              <w:rPr>
                <w:b/>
                <w:bCs/>
              </w:rPr>
              <w:t>kg CO</w:t>
            </w:r>
            <w:r>
              <w:rPr>
                <w:b/>
                <w:bCs/>
                <w:vertAlign w:val="subscript"/>
              </w:rPr>
              <w:t>2</w:t>
            </w:r>
            <w:r>
              <w:rPr>
                <w:b/>
                <w:bCs/>
              </w:rPr>
              <w:noBreakHyphen/>
              <w:t>e/GJ</w:t>
            </w:r>
          </w:p>
          <w:p w14:paraId="1EC49041" w14:textId="77777777" w:rsidR="00010E2E" w:rsidRDefault="00010E2E" w:rsidP="00382DF3">
            <w:pPr>
              <w:pStyle w:val="Table"/>
              <w:jc w:val="center"/>
              <w:rPr>
                <w:b/>
                <w:bCs/>
              </w:rPr>
            </w:pPr>
            <w:r>
              <w:rPr>
                <w:b/>
                <w:bCs/>
              </w:rPr>
              <w:t>(relevant oxidation factors incorporated)</w:t>
            </w:r>
          </w:p>
        </w:tc>
      </w:tr>
      <w:tr w:rsidR="00010E2E" w14:paraId="696B06A5" w14:textId="77777777" w:rsidTr="00382DF3">
        <w:trPr>
          <w:cantSplit/>
          <w:tblHeader/>
        </w:trPr>
        <w:tc>
          <w:tcPr>
            <w:tcW w:w="3402" w:type="dxa"/>
            <w:vMerge/>
            <w:shd w:val="clear" w:color="auto" w:fill="D9D9D9"/>
            <w:vAlign w:val="center"/>
          </w:tcPr>
          <w:p w14:paraId="7E79F753" w14:textId="77777777" w:rsidR="00010E2E" w:rsidRPr="00644639" w:rsidRDefault="00010E2E" w:rsidP="00382DF3">
            <w:pPr>
              <w:pStyle w:val="Table"/>
              <w:jc w:val="center"/>
              <w:rPr>
                <w:snapToGrid w:val="0"/>
              </w:rPr>
            </w:pPr>
          </w:p>
        </w:tc>
        <w:tc>
          <w:tcPr>
            <w:tcW w:w="1400" w:type="dxa"/>
            <w:vMerge/>
            <w:shd w:val="clear" w:color="auto" w:fill="D9D9D9"/>
            <w:vAlign w:val="center"/>
          </w:tcPr>
          <w:p w14:paraId="281228CF" w14:textId="77777777" w:rsidR="00010E2E" w:rsidRDefault="00010E2E" w:rsidP="00382DF3">
            <w:pPr>
              <w:pStyle w:val="Table"/>
              <w:jc w:val="center"/>
              <w:rPr>
                <w:b/>
                <w:bCs/>
              </w:rPr>
            </w:pPr>
          </w:p>
        </w:tc>
        <w:tc>
          <w:tcPr>
            <w:tcW w:w="1294" w:type="dxa"/>
            <w:shd w:val="clear" w:color="auto" w:fill="D9D9D9"/>
            <w:vAlign w:val="center"/>
          </w:tcPr>
          <w:p w14:paraId="5BB45833" w14:textId="77777777" w:rsidR="00010E2E" w:rsidRDefault="00010E2E" w:rsidP="00382DF3">
            <w:pPr>
              <w:pStyle w:val="Table"/>
              <w:jc w:val="center"/>
              <w:rPr>
                <w:b/>
                <w:bCs/>
              </w:rPr>
            </w:pPr>
            <w:r>
              <w:rPr>
                <w:b/>
                <w:bCs/>
                <w:snapToGrid w:val="0"/>
              </w:rPr>
              <w:t>CO</w:t>
            </w:r>
            <w:r>
              <w:rPr>
                <w:b/>
                <w:bCs/>
                <w:snapToGrid w:val="0"/>
                <w:vertAlign w:val="subscript"/>
              </w:rPr>
              <w:t>2</w:t>
            </w:r>
          </w:p>
        </w:tc>
        <w:tc>
          <w:tcPr>
            <w:tcW w:w="1134" w:type="dxa"/>
            <w:shd w:val="clear" w:color="auto" w:fill="D9D9D9"/>
            <w:vAlign w:val="center"/>
          </w:tcPr>
          <w:p w14:paraId="30A895EA" w14:textId="77777777" w:rsidR="00010E2E" w:rsidRDefault="00010E2E" w:rsidP="00382DF3">
            <w:pPr>
              <w:pStyle w:val="Table"/>
              <w:jc w:val="center"/>
              <w:rPr>
                <w:rStyle w:val="Strong"/>
                <w:rFonts w:cs="Arial"/>
              </w:rPr>
            </w:pPr>
            <w:r>
              <w:rPr>
                <w:b/>
                <w:bCs/>
                <w:snapToGrid w:val="0"/>
              </w:rPr>
              <w:t>CH</w:t>
            </w:r>
            <w:r>
              <w:rPr>
                <w:b/>
                <w:bCs/>
                <w:snapToGrid w:val="0"/>
                <w:vertAlign w:val="subscript"/>
              </w:rPr>
              <w:t>4</w:t>
            </w:r>
          </w:p>
        </w:tc>
        <w:tc>
          <w:tcPr>
            <w:tcW w:w="1275" w:type="dxa"/>
            <w:shd w:val="clear" w:color="auto" w:fill="D9D9D9"/>
            <w:vAlign w:val="center"/>
          </w:tcPr>
          <w:p w14:paraId="4E8BEF60" w14:textId="77777777" w:rsidR="00010E2E" w:rsidRDefault="00010E2E" w:rsidP="00382DF3">
            <w:pPr>
              <w:pStyle w:val="Table"/>
              <w:jc w:val="center"/>
              <w:rPr>
                <w:rStyle w:val="Strong"/>
                <w:rFonts w:cs="Arial"/>
              </w:rPr>
            </w:pPr>
            <w:r>
              <w:rPr>
                <w:b/>
                <w:bCs/>
                <w:snapToGrid w:val="0"/>
              </w:rPr>
              <w:t>N</w:t>
            </w:r>
            <w:r>
              <w:rPr>
                <w:b/>
                <w:bCs/>
                <w:snapToGrid w:val="0"/>
                <w:vertAlign w:val="subscript"/>
              </w:rPr>
              <w:t>2</w:t>
            </w:r>
            <w:r>
              <w:rPr>
                <w:b/>
                <w:bCs/>
                <w:snapToGrid w:val="0"/>
              </w:rPr>
              <w:t>O</w:t>
            </w:r>
          </w:p>
        </w:tc>
      </w:tr>
      <w:tr w:rsidR="008C2594" w14:paraId="4550856E" w14:textId="77777777" w:rsidTr="00382DF3">
        <w:trPr>
          <w:cantSplit/>
        </w:trPr>
        <w:tc>
          <w:tcPr>
            <w:tcW w:w="3402" w:type="dxa"/>
          </w:tcPr>
          <w:p w14:paraId="49EAE0CD" w14:textId="77777777" w:rsidR="008C2594" w:rsidRPr="003F782F" w:rsidRDefault="008C2594" w:rsidP="00545FE2">
            <w:pPr>
              <w:pStyle w:val="Table"/>
              <w:rPr>
                <w:snapToGrid w:val="0"/>
              </w:rPr>
            </w:pPr>
            <w:r w:rsidRPr="003F782F">
              <w:rPr>
                <w:snapToGrid w:val="0"/>
              </w:rPr>
              <w:t xml:space="preserve">Bituminous coal </w:t>
            </w:r>
          </w:p>
        </w:tc>
        <w:tc>
          <w:tcPr>
            <w:tcW w:w="1400" w:type="dxa"/>
          </w:tcPr>
          <w:p w14:paraId="52BEF1C9" w14:textId="77777777" w:rsidR="008C2594" w:rsidRDefault="008C2594" w:rsidP="00545FE2">
            <w:pPr>
              <w:pStyle w:val="TableCentre"/>
            </w:pPr>
            <w:r w:rsidRPr="00545FE2">
              <w:t xml:space="preserve">27.0 </w:t>
            </w:r>
          </w:p>
        </w:tc>
        <w:tc>
          <w:tcPr>
            <w:tcW w:w="1294" w:type="dxa"/>
          </w:tcPr>
          <w:p w14:paraId="024E99A5" w14:textId="77777777" w:rsidR="008C2594" w:rsidRDefault="008C2594" w:rsidP="00545FE2">
            <w:pPr>
              <w:pStyle w:val="TableCentre"/>
            </w:pPr>
            <w:r w:rsidRPr="008C2594">
              <w:t>90</w:t>
            </w:r>
          </w:p>
        </w:tc>
        <w:tc>
          <w:tcPr>
            <w:tcW w:w="1134" w:type="dxa"/>
          </w:tcPr>
          <w:p w14:paraId="1C68F874" w14:textId="77777777" w:rsidR="008C2594" w:rsidRDefault="008C2594" w:rsidP="00545FE2">
            <w:pPr>
              <w:pStyle w:val="TableCentre"/>
            </w:pPr>
            <w:r w:rsidRPr="008C2594">
              <w:t>0.03</w:t>
            </w:r>
          </w:p>
        </w:tc>
        <w:tc>
          <w:tcPr>
            <w:tcW w:w="1275" w:type="dxa"/>
          </w:tcPr>
          <w:p w14:paraId="021045C0" w14:textId="77777777" w:rsidR="008C2594" w:rsidRDefault="008C2594" w:rsidP="00545FE2">
            <w:pPr>
              <w:pStyle w:val="TableCentre"/>
            </w:pPr>
            <w:r w:rsidRPr="008C2594">
              <w:t>0.2</w:t>
            </w:r>
          </w:p>
        </w:tc>
      </w:tr>
      <w:tr w:rsidR="008C2594" w14:paraId="16D9A40D" w14:textId="77777777" w:rsidTr="00382DF3">
        <w:trPr>
          <w:cantSplit/>
        </w:trPr>
        <w:tc>
          <w:tcPr>
            <w:tcW w:w="3402" w:type="dxa"/>
          </w:tcPr>
          <w:p w14:paraId="3D1BAD06" w14:textId="77777777" w:rsidR="008C2594" w:rsidRPr="003F782F" w:rsidRDefault="008C2594" w:rsidP="00545FE2">
            <w:pPr>
              <w:pStyle w:val="Table"/>
              <w:rPr>
                <w:snapToGrid w:val="0"/>
              </w:rPr>
            </w:pPr>
            <w:r w:rsidRPr="003F782F">
              <w:rPr>
                <w:snapToGrid w:val="0"/>
              </w:rPr>
              <w:t xml:space="preserve">Sub-bituminous coal </w:t>
            </w:r>
          </w:p>
        </w:tc>
        <w:tc>
          <w:tcPr>
            <w:tcW w:w="1400" w:type="dxa"/>
          </w:tcPr>
          <w:p w14:paraId="69C98469" w14:textId="77777777" w:rsidR="008C2594" w:rsidRPr="001D08C4" w:rsidRDefault="008C2594" w:rsidP="00545FE2">
            <w:pPr>
              <w:pStyle w:val="TableCentre"/>
            </w:pPr>
            <w:r w:rsidRPr="00545FE2">
              <w:t xml:space="preserve">21.0 </w:t>
            </w:r>
          </w:p>
        </w:tc>
        <w:tc>
          <w:tcPr>
            <w:tcW w:w="1294" w:type="dxa"/>
          </w:tcPr>
          <w:p w14:paraId="72E9AA0D" w14:textId="77777777" w:rsidR="008C2594" w:rsidRPr="001D08C4" w:rsidRDefault="008C2594" w:rsidP="00545FE2">
            <w:pPr>
              <w:pStyle w:val="TableCentre"/>
            </w:pPr>
            <w:r w:rsidRPr="008C2594">
              <w:t>90</w:t>
            </w:r>
          </w:p>
        </w:tc>
        <w:tc>
          <w:tcPr>
            <w:tcW w:w="1134" w:type="dxa"/>
          </w:tcPr>
          <w:p w14:paraId="092DA2DF" w14:textId="77777777" w:rsidR="008C2594" w:rsidRPr="001D08C4" w:rsidRDefault="008C2594" w:rsidP="00545FE2">
            <w:pPr>
              <w:pStyle w:val="TableCentre"/>
            </w:pPr>
            <w:r w:rsidRPr="008C2594">
              <w:t>0.03</w:t>
            </w:r>
          </w:p>
        </w:tc>
        <w:tc>
          <w:tcPr>
            <w:tcW w:w="1275" w:type="dxa"/>
          </w:tcPr>
          <w:p w14:paraId="36CDF916" w14:textId="77777777" w:rsidR="008C2594" w:rsidRPr="001D08C4" w:rsidRDefault="008C2594" w:rsidP="00545FE2">
            <w:pPr>
              <w:pStyle w:val="TableCentre"/>
            </w:pPr>
            <w:r w:rsidRPr="008C2594">
              <w:t>0.2</w:t>
            </w:r>
          </w:p>
        </w:tc>
      </w:tr>
      <w:tr w:rsidR="008C2594" w14:paraId="048749CA" w14:textId="77777777" w:rsidTr="00382DF3">
        <w:trPr>
          <w:cantSplit/>
        </w:trPr>
        <w:tc>
          <w:tcPr>
            <w:tcW w:w="3402" w:type="dxa"/>
          </w:tcPr>
          <w:p w14:paraId="36773F25" w14:textId="77777777" w:rsidR="008C2594" w:rsidRPr="003F782F" w:rsidRDefault="008C2594" w:rsidP="00545FE2">
            <w:pPr>
              <w:pStyle w:val="Table"/>
              <w:rPr>
                <w:snapToGrid w:val="0"/>
              </w:rPr>
            </w:pPr>
            <w:r w:rsidRPr="003F782F">
              <w:rPr>
                <w:snapToGrid w:val="0"/>
              </w:rPr>
              <w:t xml:space="preserve">Anthracite </w:t>
            </w:r>
          </w:p>
        </w:tc>
        <w:tc>
          <w:tcPr>
            <w:tcW w:w="1400" w:type="dxa"/>
          </w:tcPr>
          <w:p w14:paraId="17BE3FAB" w14:textId="77777777" w:rsidR="008C2594" w:rsidRPr="001D08C4" w:rsidRDefault="008C2594" w:rsidP="00545FE2">
            <w:pPr>
              <w:pStyle w:val="TableCentre"/>
            </w:pPr>
            <w:r w:rsidRPr="00545FE2">
              <w:t xml:space="preserve">29.0 </w:t>
            </w:r>
          </w:p>
        </w:tc>
        <w:tc>
          <w:tcPr>
            <w:tcW w:w="1294" w:type="dxa"/>
          </w:tcPr>
          <w:p w14:paraId="789D32B3" w14:textId="77777777" w:rsidR="008C2594" w:rsidRPr="001D08C4" w:rsidRDefault="008C2594" w:rsidP="00545FE2">
            <w:pPr>
              <w:pStyle w:val="TableCentre"/>
            </w:pPr>
            <w:r w:rsidRPr="008C2594">
              <w:t>90</w:t>
            </w:r>
          </w:p>
        </w:tc>
        <w:tc>
          <w:tcPr>
            <w:tcW w:w="1134" w:type="dxa"/>
          </w:tcPr>
          <w:p w14:paraId="41AEE3FB" w14:textId="77777777" w:rsidR="008C2594" w:rsidRPr="001D08C4" w:rsidRDefault="008C2594" w:rsidP="00545FE2">
            <w:pPr>
              <w:pStyle w:val="TableCentre"/>
            </w:pPr>
            <w:r w:rsidRPr="008C2594">
              <w:t>0.03</w:t>
            </w:r>
          </w:p>
        </w:tc>
        <w:tc>
          <w:tcPr>
            <w:tcW w:w="1275" w:type="dxa"/>
          </w:tcPr>
          <w:p w14:paraId="6D6CDDD6" w14:textId="77777777" w:rsidR="008C2594" w:rsidRPr="001D08C4" w:rsidRDefault="008C2594" w:rsidP="00545FE2">
            <w:pPr>
              <w:pStyle w:val="TableCentre"/>
            </w:pPr>
            <w:r w:rsidRPr="008C2594">
              <w:t>0.2</w:t>
            </w:r>
          </w:p>
        </w:tc>
      </w:tr>
      <w:tr w:rsidR="008C2594" w14:paraId="25E62C53" w14:textId="77777777" w:rsidTr="00382DF3">
        <w:trPr>
          <w:cantSplit/>
        </w:trPr>
        <w:tc>
          <w:tcPr>
            <w:tcW w:w="3402" w:type="dxa"/>
          </w:tcPr>
          <w:p w14:paraId="5526855A" w14:textId="77777777" w:rsidR="008C2594" w:rsidRPr="00240BBE" w:rsidRDefault="008C2594">
            <w:pPr>
              <w:pStyle w:val="Table"/>
            </w:pPr>
            <w:r w:rsidRPr="00644639">
              <w:rPr>
                <w:snapToGrid w:val="0"/>
              </w:rPr>
              <w:t>Brown coal</w:t>
            </w:r>
          </w:p>
        </w:tc>
        <w:tc>
          <w:tcPr>
            <w:tcW w:w="1400" w:type="dxa"/>
          </w:tcPr>
          <w:p w14:paraId="41D6A5A9" w14:textId="77777777" w:rsidR="008C2594" w:rsidRDefault="008C2594">
            <w:pPr>
              <w:pStyle w:val="TableCentre"/>
            </w:pPr>
            <w:r>
              <w:t>10.2</w:t>
            </w:r>
          </w:p>
        </w:tc>
        <w:tc>
          <w:tcPr>
            <w:tcW w:w="1294" w:type="dxa"/>
          </w:tcPr>
          <w:p w14:paraId="629E27AC" w14:textId="77777777" w:rsidR="008C2594" w:rsidRDefault="008C2594">
            <w:pPr>
              <w:pStyle w:val="TableCentre"/>
            </w:pPr>
            <w:r w:rsidRPr="008C2594">
              <w:t>93.5</w:t>
            </w:r>
          </w:p>
        </w:tc>
        <w:tc>
          <w:tcPr>
            <w:tcW w:w="1134" w:type="dxa"/>
          </w:tcPr>
          <w:p w14:paraId="6864E52C" w14:textId="77777777" w:rsidR="008C2594" w:rsidRDefault="008C2594">
            <w:pPr>
              <w:pStyle w:val="TableCentre"/>
            </w:pPr>
            <w:r w:rsidRPr="008C2594">
              <w:t>0.02</w:t>
            </w:r>
          </w:p>
        </w:tc>
        <w:tc>
          <w:tcPr>
            <w:tcW w:w="1275" w:type="dxa"/>
          </w:tcPr>
          <w:p w14:paraId="01B8B436" w14:textId="77777777" w:rsidR="008C2594" w:rsidRDefault="008C2594">
            <w:pPr>
              <w:pStyle w:val="TableCentre"/>
            </w:pPr>
            <w:r w:rsidRPr="008C2594">
              <w:t>0.4</w:t>
            </w:r>
          </w:p>
        </w:tc>
      </w:tr>
      <w:tr w:rsidR="008C2594" w14:paraId="25EBA228" w14:textId="77777777" w:rsidTr="00382DF3">
        <w:trPr>
          <w:cantSplit/>
        </w:trPr>
        <w:tc>
          <w:tcPr>
            <w:tcW w:w="3402" w:type="dxa"/>
          </w:tcPr>
          <w:p w14:paraId="0A3F222E" w14:textId="77777777" w:rsidR="008C2594" w:rsidRDefault="008C2594">
            <w:pPr>
              <w:pStyle w:val="Table"/>
            </w:pPr>
            <w:r>
              <w:rPr>
                <w:snapToGrid w:val="0"/>
              </w:rPr>
              <w:t>Coking coal</w:t>
            </w:r>
          </w:p>
        </w:tc>
        <w:tc>
          <w:tcPr>
            <w:tcW w:w="1400" w:type="dxa"/>
          </w:tcPr>
          <w:p w14:paraId="330F07C4" w14:textId="77777777" w:rsidR="008C2594" w:rsidRDefault="008C2594">
            <w:pPr>
              <w:pStyle w:val="TableCentre"/>
            </w:pPr>
            <w:r>
              <w:t>30.0</w:t>
            </w:r>
          </w:p>
        </w:tc>
        <w:tc>
          <w:tcPr>
            <w:tcW w:w="1294" w:type="dxa"/>
          </w:tcPr>
          <w:p w14:paraId="62A9C7DD" w14:textId="77777777" w:rsidR="008C2594" w:rsidRDefault="008C2594">
            <w:pPr>
              <w:pStyle w:val="TableCentre"/>
            </w:pPr>
            <w:r w:rsidRPr="008C2594">
              <w:t>91.8</w:t>
            </w:r>
          </w:p>
        </w:tc>
        <w:tc>
          <w:tcPr>
            <w:tcW w:w="1134" w:type="dxa"/>
          </w:tcPr>
          <w:p w14:paraId="26654513" w14:textId="77777777" w:rsidR="008C2594" w:rsidRDefault="008C2594">
            <w:pPr>
              <w:pStyle w:val="TableCentre"/>
            </w:pPr>
            <w:r w:rsidRPr="008C2594">
              <w:t>0.02</w:t>
            </w:r>
          </w:p>
        </w:tc>
        <w:tc>
          <w:tcPr>
            <w:tcW w:w="1275" w:type="dxa"/>
          </w:tcPr>
          <w:p w14:paraId="1617B0F0" w14:textId="77777777" w:rsidR="008C2594" w:rsidRDefault="008C2594">
            <w:pPr>
              <w:pStyle w:val="TableCentre"/>
            </w:pPr>
            <w:r w:rsidRPr="008C2594">
              <w:t>0.2</w:t>
            </w:r>
          </w:p>
        </w:tc>
      </w:tr>
      <w:tr w:rsidR="008C2594" w14:paraId="33EC524B" w14:textId="77777777" w:rsidTr="00382DF3">
        <w:trPr>
          <w:cantSplit/>
        </w:trPr>
        <w:tc>
          <w:tcPr>
            <w:tcW w:w="3402" w:type="dxa"/>
          </w:tcPr>
          <w:p w14:paraId="5BB8B07F" w14:textId="77777777" w:rsidR="008C2594" w:rsidRDefault="008C2594">
            <w:pPr>
              <w:pStyle w:val="Table"/>
            </w:pPr>
            <w:r>
              <w:t>Coal briquettes</w:t>
            </w:r>
          </w:p>
        </w:tc>
        <w:tc>
          <w:tcPr>
            <w:tcW w:w="1400" w:type="dxa"/>
          </w:tcPr>
          <w:p w14:paraId="5757DB6A" w14:textId="77777777" w:rsidR="008C2594" w:rsidRDefault="008C2594">
            <w:pPr>
              <w:pStyle w:val="TableCentre"/>
            </w:pPr>
            <w:r>
              <w:t>22.1</w:t>
            </w:r>
          </w:p>
        </w:tc>
        <w:tc>
          <w:tcPr>
            <w:tcW w:w="1294" w:type="dxa"/>
          </w:tcPr>
          <w:p w14:paraId="60896532" w14:textId="77777777" w:rsidR="008C2594" w:rsidRDefault="008C2594">
            <w:pPr>
              <w:pStyle w:val="TableCentre"/>
            </w:pPr>
            <w:r w:rsidRPr="008C2594">
              <w:t>95</w:t>
            </w:r>
          </w:p>
        </w:tc>
        <w:tc>
          <w:tcPr>
            <w:tcW w:w="1134" w:type="dxa"/>
          </w:tcPr>
          <w:p w14:paraId="11FC1A64" w14:textId="77777777" w:rsidR="008C2594" w:rsidRDefault="008C2594">
            <w:pPr>
              <w:pStyle w:val="TableCentre"/>
            </w:pPr>
            <w:r w:rsidRPr="008C2594">
              <w:t>0.07</w:t>
            </w:r>
          </w:p>
        </w:tc>
        <w:tc>
          <w:tcPr>
            <w:tcW w:w="1275" w:type="dxa"/>
          </w:tcPr>
          <w:p w14:paraId="0F8D1F09" w14:textId="77777777" w:rsidR="008C2594" w:rsidRDefault="008C2594">
            <w:pPr>
              <w:pStyle w:val="TableCentre"/>
            </w:pPr>
            <w:r w:rsidRPr="008C2594">
              <w:t>0.3</w:t>
            </w:r>
          </w:p>
        </w:tc>
      </w:tr>
      <w:tr w:rsidR="008C2594" w14:paraId="163B5AEF" w14:textId="77777777" w:rsidTr="00382DF3">
        <w:trPr>
          <w:cantSplit/>
        </w:trPr>
        <w:tc>
          <w:tcPr>
            <w:tcW w:w="3402" w:type="dxa"/>
          </w:tcPr>
          <w:p w14:paraId="0C1DDFAA" w14:textId="77777777" w:rsidR="008C2594" w:rsidRDefault="008C2594">
            <w:pPr>
              <w:pStyle w:val="Table"/>
            </w:pPr>
            <w:r>
              <w:t>Coal coke</w:t>
            </w:r>
          </w:p>
        </w:tc>
        <w:tc>
          <w:tcPr>
            <w:tcW w:w="1400" w:type="dxa"/>
          </w:tcPr>
          <w:p w14:paraId="711A3D1E" w14:textId="77777777" w:rsidR="008C2594" w:rsidRDefault="008C2594">
            <w:pPr>
              <w:pStyle w:val="TableCentre"/>
            </w:pPr>
            <w:r>
              <w:t>27.0</w:t>
            </w:r>
          </w:p>
        </w:tc>
        <w:tc>
          <w:tcPr>
            <w:tcW w:w="1294" w:type="dxa"/>
          </w:tcPr>
          <w:p w14:paraId="16A7A93A" w14:textId="77777777" w:rsidR="008C2594" w:rsidRDefault="008C2594">
            <w:pPr>
              <w:pStyle w:val="TableCentre"/>
            </w:pPr>
            <w:r w:rsidRPr="008C2594">
              <w:t>107</w:t>
            </w:r>
          </w:p>
        </w:tc>
        <w:tc>
          <w:tcPr>
            <w:tcW w:w="1134" w:type="dxa"/>
          </w:tcPr>
          <w:p w14:paraId="3913DD54" w14:textId="77777777" w:rsidR="008C2594" w:rsidRDefault="008C2594">
            <w:pPr>
              <w:pStyle w:val="TableCentre"/>
            </w:pPr>
            <w:r w:rsidRPr="008C2594">
              <w:t>0.04</w:t>
            </w:r>
          </w:p>
        </w:tc>
        <w:tc>
          <w:tcPr>
            <w:tcW w:w="1275" w:type="dxa"/>
          </w:tcPr>
          <w:p w14:paraId="4A1EAF64" w14:textId="77777777" w:rsidR="008C2594" w:rsidRDefault="008C2594">
            <w:pPr>
              <w:pStyle w:val="TableCentre"/>
            </w:pPr>
            <w:r w:rsidRPr="008C2594">
              <w:t>0.2</w:t>
            </w:r>
          </w:p>
        </w:tc>
      </w:tr>
      <w:tr w:rsidR="008C2594" w14:paraId="2E55B00B" w14:textId="77777777" w:rsidTr="00382DF3">
        <w:trPr>
          <w:cantSplit/>
        </w:trPr>
        <w:tc>
          <w:tcPr>
            <w:tcW w:w="3402" w:type="dxa"/>
          </w:tcPr>
          <w:p w14:paraId="7E1C40DD" w14:textId="77777777" w:rsidR="008C2594" w:rsidRDefault="008C2594">
            <w:pPr>
              <w:pStyle w:val="Table"/>
            </w:pPr>
            <w:r>
              <w:rPr>
                <w:snapToGrid w:val="0"/>
                <w:szCs w:val="18"/>
              </w:rPr>
              <w:t>Coal tar</w:t>
            </w:r>
          </w:p>
        </w:tc>
        <w:tc>
          <w:tcPr>
            <w:tcW w:w="1400" w:type="dxa"/>
          </w:tcPr>
          <w:p w14:paraId="1CF14769" w14:textId="77777777" w:rsidR="008C2594" w:rsidRDefault="008C2594">
            <w:pPr>
              <w:pStyle w:val="TableCentre"/>
            </w:pPr>
            <w:r>
              <w:t>37.5</w:t>
            </w:r>
          </w:p>
        </w:tc>
        <w:tc>
          <w:tcPr>
            <w:tcW w:w="1294" w:type="dxa"/>
          </w:tcPr>
          <w:p w14:paraId="6F4D5AFD" w14:textId="77777777" w:rsidR="008C2594" w:rsidRDefault="008C2594">
            <w:pPr>
              <w:pStyle w:val="TableCentre"/>
            </w:pPr>
            <w:r w:rsidRPr="008C2594">
              <w:t>81.8</w:t>
            </w:r>
          </w:p>
        </w:tc>
        <w:tc>
          <w:tcPr>
            <w:tcW w:w="1134" w:type="dxa"/>
          </w:tcPr>
          <w:p w14:paraId="05A87F92" w14:textId="77777777" w:rsidR="008C2594" w:rsidRDefault="008C2594">
            <w:pPr>
              <w:pStyle w:val="TableCentre"/>
            </w:pPr>
            <w:r w:rsidRPr="008C2594">
              <w:t>0.03</w:t>
            </w:r>
          </w:p>
        </w:tc>
        <w:tc>
          <w:tcPr>
            <w:tcW w:w="1275" w:type="dxa"/>
          </w:tcPr>
          <w:p w14:paraId="2C32A7A2" w14:textId="77777777" w:rsidR="008C2594" w:rsidRDefault="008C2594">
            <w:pPr>
              <w:pStyle w:val="TableCentre"/>
            </w:pPr>
            <w:r w:rsidRPr="008C2594">
              <w:t>0.2</w:t>
            </w:r>
          </w:p>
        </w:tc>
      </w:tr>
      <w:tr w:rsidR="008C2594" w14:paraId="5DBFC389" w14:textId="77777777" w:rsidTr="00382DF3">
        <w:trPr>
          <w:cantSplit/>
        </w:trPr>
        <w:tc>
          <w:tcPr>
            <w:tcW w:w="3402" w:type="dxa"/>
          </w:tcPr>
          <w:p w14:paraId="284F66B2" w14:textId="77777777" w:rsidR="008C2594" w:rsidRDefault="008C2594">
            <w:pPr>
              <w:pStyle w:val="Table"/>
              <w:rPr>
                <w:sz w:val="32"/>
                <w:szCs w:val="32"/>
                <w:vertAlign w:val="superscript"/>
              </w:rPr>
            </w:pPr>
            <w:r>
              <w:t>Solid fossil fuels other than those mentioned in the items above</w:t>
            </w:r>
          </w:p>
        </w:tc>
        <w:tc>
          <w:tcPr>
            <w:tcW w:w="1400" w:type="dxa"/>
          </w:tcPr>
          <w:p w14:paraId="09238632" w14:textId="77777777" w:rsidR="008C2594" w:rsidRDefault="008C2594">
            <w:pPr>
              <w:pStyle w:val="TableCentre"/>
            </w:pPr>
            <w:r>
              <w:t>22.1</w:t>
            </w:r>
          </w:p>
        </w:tc>
        <w:tc>
          <w:tcPr>
            <w:tcW w:w="1294" w:type="dxa"/>
          </w:tcPr>
          <w:p w14:paraId="32DFE33D" w14:textId="77777777" w:rsidR="008C2594" w:rsidRDefault="008C2594">
            <w:pPr>
              <w:pStyle w:val="TableCentre"/>
            </w:pPr>
            <w:r w:rsidRPr="008C2594">
              <w:t>95</w:t>
            </w:r>
          </w:p>
        </w:tc>
        <w:tc>
          <w:tcPr>
            <w:tcW w:w="1134" w:type="dxa"/>
          </w:tcPr>
          <w:p w14:paraId="521D620B" w14:textId="77777777" w:rsidR="008C2594" w:rsidRDefault="008C2594">
            <w:pPr>
              <w:pStyle w:val="TableCentre"/>
            </w:pPr>
            <w:r w:rsidRPr="008C2594">
              <w:t>0.07</w:t>
            </w:r>
          </w:p>
        </w:tc>
        <w:tc>
          <w:tcPr>
            <w:tcW w:w="1275" w:type="dxa"/>
          </w:tcPr>
          <w:p w14:paraId="4C471364" w14:textId="77777777" w:rsidR="008C2594" w:rsidRDefault="008C2594">
            <w:pPr>
              <w:pStyle w:val="TableCentre"/>
            </w:pPr>
            <w:r w:rsidRPr="008C2594">
              <w:t>0.3</w:t>
            </w:r>
          </w:p>
        </w:tc>
      </w:tr>
      <w:tr w:rsidR="008C2594" w14:paraId="067A3E94" w14:textId="77777777" w:rsidTr="00382DF3">
        <w:trPr>
          <w:cantSplit/>
        </w:trPr>
        <w:tc>
          <w:tcPr>
            <w:tcW w:w="3402" w:type="dxa"/>
          </w:tcPr>
          <w:p w14:paraId="20BD414D" w14:textId="77777777" w:rsidR="008C2594" w:rsidRDefault="008C2594">
            <w:pPr>
              <w:pStyle w:val="Table"/>
            </w:pPr>
            <w:r>
              <w:rPr>
                <w:snapToGrid w:val="0"/>
              </w:rPr>
              <w:t>Industrial materials and tyres that are derived from fossil fuels, if recycled and combusted to produce heat or electricity</w:t>
            </w:r>
          </w:p>
        </w:tc>
        <w:tc>
          <w:tcPr>
            <w:tcW w:w="1400" w:type="dxa"/>
          </w:tcPr>
          <w:p w14:paraId="177EFB58" w14:textId="77777777" w:rsidR="008C2594" w:rsidRDefault="008C2594">
            <w:pPr>
              <w:pStyle w:val="TableCentre"/>
            </w:pPr>
            <w:r>
              <w:t>26.3</w:t>
            </w:r>
          </w:p>
        </w:tc>
        <w:tc>
          <w:tcPr>
            <w:tcW w:w="1294" w:type="dxa"/>
          </w:tcPr>
          <w:p w14:paraId="7D7D26AC" w14:textId="77777777" w:rsidR="008C2594" w:rsidRDefault="008C2594">
            <w:pPr>
              <w:pStyle w:val="TableCentre"/>
            </w:pPr>
            <w:r w:rsidRPr="008C2594">
              <w:t>81.6</w:t>
            </w:r>
          </w:p>
        </w:tc>
        <w:tc>
          <w:tcPr>
            <w:tcW w:w="1134" w:type="dxa"/>
          </w:tcPr>
          <w:p w14:paraId="45418E2B" w14:textId="77777777" w:rsidR="008C2594" w:rsidRDefault="008C2594">
            <w:pPr>
              <w:pStyle w:val="TableCentre"/>
            </w:pPr>
            <w:r w:rsidRPr="008C2594">
              <w:t>0.02</w:t>
            </w:r>
          </w:p>
        </w:tc>
        <w:tc>
          <w:tcPr>
            <w:tcW w:w="1275" w:type="dxa"/>
          </w:tcPr>
          <w:p w14:paraId="7EF7E0DB" w14:textId="77777777" w:rsidR="008C2594" w:rsidRDefault="008C2594">
            <w:pPr>
              <w:pStyle w:val="TableCentre"/>
            </w:pPr>
            <w:r w:rsidRPr="008C2594">
              <w:t>0.2</w:t>
            </w:r>
          </w:p>
        </w:tc>
      </w:tr>
      <w:tr w:rsidR="008C2594" w14:paraId="1C283484" w14:textId="77777777" w:rsidTr="00382DF3">
        <w:trPr>
          <w:cantSplit/>
        </w:trPr>
        <w:tc>
          <w:tcPr>
            <w:tcW w:w="3402" w:type="dxa"/>
          </w:tcPr>
          <w:p w14:paraId="1ABF618D" w14:textId="77777777" w:rsidR="008C2594" w:rsidRDefault="008C2594">
            <w:pPr>
              <w:pStyle w:val="Table"/>
            </w:pPr>
            <w:r>
              <w:rPr>
                <w:snapToGrid w:val="0"/>
              </w:rPr>
              <w:t>Non</w:t>
            </w:r>
            <w:r>
              <w:rPr>
                <w:snapToGrid w:val="0"/>
              </w:rPr>
              <w:noBreakHyphen/>
              <w:t>biomass municipal materials, if recycled and combusted to produce heat or electricity</w:t>
            </w:r>
          </w:p>
        </w:tc>
        <w:tc>
          <w:tcPr>
            <w:tcW w:w="1400" w:type="dxa"/>
          </w:tcPr>
          <w:p w14:paraId="3B0E1106" w14:textId="77777777" w:rsidR="008C2594" w:rsidRDefault="008C2594">
            <w:pPr>
              <w:pStyle w:val="TableCentre"/>
            </w:pPr>
            <w:r>
              <w:t>10.5</w:t>
            </w:r>
          </w:p>
        </w:tc>
        <w:tc>
          <w:tcPr>
            <w:tcW w:w="1294" w:type="dxa"/>
          </w:tcPr>
          <w:p w14:paraId="25AFF2DD" w14:textId="77777777" w:rsidR="008C2594" w:rsidRDefault="008C2594">
            <w:pPr>
              <w:pStyle w:val="TableCentre"/>
            </w:pPr>
            <w:r w:rsidRPr="008C2594">
              <w:t>87.1</w:t>
            </w:r>
          </w:p>
        </w:tc>
        <w:tc>
          <w:tcPr>
            <w:tcW w:w="1134" w:type="dxa"/>
          </w:tcPr>
          <w:p w14:paraId="6A04E066" w14:textId="77777777" w:rsidR="008C2594" w:rsidRDefault="008C2594">
            <w:pPr>
              <w:pStyle w:val="TableCentre"/>
            </w:pPr>
            <w:r w:rsidRPr="008C2594">
              <w:t>0.7</w:t>
            </w:r>
          </w:p>
        </w:tc>
        <w:tc>
          <w:tcPr>
            <w:tcW w:w="1275" w:type="dxa"/>
          </w:tcPr>
          <w:p w14:paraId="58219A45" w14:textId="77777777" w:rsidR="008C2594" w:rsidRDefault="008C2594">
            <w:pPr>
              <w:pStyle w:val="TableCentre"/>
            </w:pPr>
            <w:r w:rsidRPr="008C2594">
              <w:t>1.1</w:t>
            </w:r>
          </w:p>
        </w:tc>
      </w:tr>
      <w:tr w:rsidR="008C2594" w14:paraId="06AF5534" w14:textId="77777777" w:rsidTr="00382DF3">
        <w:trPr>
          <w:cantSplit/>
        </w:trPr>
        <w:tc>
          <w:tcPr>
            <w:tcW w:w="3402" w:type="dxa"/>
          </w:tcPr>
          <w:p w14:paraId="4D737190" w14:textId="77777777" w:rsidR="008C2594" w:rsidRDefault="008C2594">
            <w:pPr>
              <w:pStyle w:val="Table"/>
            </w:pPr>
            <w:r>
              <w:t>Dry wood</w:t>
            </w:r>
          </w:p>
        </w:tc>
        <w:tc>
          <w:tcPr>
            <w:tcW w:w="1400" w:type="dxa"/>
          </w:tcPr>
          <w:p w14:paraId="60D87156" w14:textId="77777777" w:rsidR="008C2594" w:rsidRDefault="008C2594">
            <w:pPr>
              <w:pStyle w:val="TableCentre"/>
            </w:pPr>
            <w:r>
              <w:t>16.2</w:t>
            </w:r>
          </w:p>
        </w:tc>
        <w:tc>
          <w:tcPr>
            <w:tcW w:w="1294" w:type="dxa"/>
          </w:tcPr>
          <w:p w14:paraId="6A80C9C7" w14:textId="77777777" w:rsidR="008C2594" w:rsidRDefault="008C2594">
            <w:pPr>
              <w:pStyle w:val="TableCentre"/>
            </w:pPr>
            <w:r w:rsidRPr="008C2594">
              <w:t>0</w:t>
            </w:r>
          </w:p>
        </w:tc>
        <w:tc>
          <w:tcPr>
            <w:tcW w:w="1134" w:type="dxa"/>
          </w:tcPr>
          <w:p w14:paraId="69C9D9D1" w14:textId="77777777" w:rsidR="008C2594" w:rsidRDefault="008C2594">
            <w:pPr>
              <w:pStyle w:val="TableCentre"/>
            </w:pPr>
            <w:r w:rsidRPr="008C2594">
              <w:t>0.1</w:t>
            </w:r>
          </w:p>
        </w:tc>
        <w:tc>
          <w:tcPr>
            <w:tcW w:w="1275" w:type="dxa"/>
          </w:tcPr>
          <w:p w14:paraId="7FB610CC" w14:textId="77777777" w:rsidR="008C2594" w:rsidRDefault="008C2594">
            <w:pPr>
              <w:pStyle w:val="TableCentre"/>
            </w:pPr>
            <w:r w:rsidRPr="008C2594">
              <w:t>1.2</w:t>
            </w:r>
          </w:p>
        </w:tc>
      </w:tr>
      <w:tr w:rsidR="008C2594" w14:paraId="03355E09" w14:textId="77777777" w:rsidTr="00382DF3">
        <w:trPr>
          <w:cantSplit/>
        </w:trPr>
        <w:tc>
          <w:tcPr>
            <w:tcW w:w="3402" w:type="dxa"/>
          </w:tcPr>
          <w:p w14:paraId="0F645F5F" w14:textId="77777777" w:rsidR="008C2594" w:rsidRDefault="008C2594">
            <w:pPr>
              <w:pStyle w:val="Table"/>
            </w:pPr>
            <w:r>
              <w:t>Green and air dried wood</w:t>
            </w:r>
          </w:p>
        </w:tc>
        <w:tc>
          <w:tcPr>
            <w:tcW w:w="1400" w:type="dxa"/>
          </w:tcPr>
          <w:p w14:paraId="18AB6AD3" w14:textId="77777777" w:rsidR="008C2594" w:rsidRDefault="008C2594">
            <w:pPr>
              <w:pStyle w:val="TableCentre"/>
            </w:pPr>
            <w:r>
              <w:t>10.4</w:t>
            </w:r>
          </w:p>
        </w:tc>
        <w:tc>
          <w:tcPr>
            <w:tcW w:w="1294" w:type="dxa"/>
          </w:tcPr>
          <w:p w14:paraId="032DD3AF" w14:textId="77777777" w:rsidR="008C2594" w:rsidRDefault="008C2594">
            <w:pPr>
              <w:pStyle w:val="TableCentre"/>
            </w:pPr>
            <w:r w:rsidRPr="008C2594">
              <w:t>0</w:t>
            </w:r>
          </w:p>
        </w:tc>
        <w:tc>
          <w:tcPr>
            <w:tcW w:w="1134" w:type="dxa"/>
          </w:tcPr>
          <w:p w14:paraId="101E8870" w14:textId="77777777" w:rsidR="008C2594" w:rsidRDefault="008C2594">
            <w:pPr>
              <w:pStyle w:val="TableCentre"/>
            </w:pPr>
            <w:r w:rsidRPr="008C2594">
              <w:t>0.1</w:t>
            </w:r>
          </w:p>
        </w:tc>
        <w:tc>
          <w:tcPr>
            <w:tcW w:w="1275" w:type="dxa"/>
          </w:tcPr>
          <w:p w14:paraId="7E64FC70" w14:textId="77777777" w:rsidR="008C2594" w:rsidRDefault="008C2594">
            <w:pPr>
              <w:pStyle w:val="TableCentre"/>
            </w:pPr>
            <w:r w:rsidRPr="008C2594">
              <w:t>1.2</w:t>
            </w:r>
          </w:p>
        </w:tc>
      </w:tr>
      <w:tr w:rsidR="008C2594" w14:paraId="00439684" w14:textId="77777777" w:rsidTr="00382DF3">
        <w:trPr>
          <w:cantSplit/>
        </w:trPr>
        <w:tc>
          <w:tcPr>
            <w:tcW w:w="3402" w:type="dxa"/>
          </w:tcPr>
          <w:p w14:paraId="316530CC" w14:textId="77777777" w:rsidR="008C2594" w:rsidRDefault="008C2594">
            <w:pPr>
              <w:pStyle w:val="Table"/>
            </w:pPr>
            <w:r>
              <w:t xml:space="preserve">Sulphite lyes </w:t>
            </w:r>
          </w:p>
        </w:tc>
        <w:tc>
          <w:tcPr>
            <w:tcW w:w="1400" w:type="dxa"/>
          </w:tcPr>
          <w:p w14:paraId="120DDE6D" w14:textId="77777777" w:rsidR="008C2594" w:rsidRDefault="008C2594">
            <w:pPr>
              <w:pStyle w:val="TableCentre"/>
            </w:pPr>
            <w:r>
              <w:t>12.4</w:t>
            </w:r>
          </w:p>
        </w:tc>
        <w:tc>
          <w:tcPr>
            <w:tcW w:w="1294" w:type="dxa"/>
          </w:tcPr>
          <w:p w14:paraId="391ABDAF" w14:textId="77777777" w:rsidR="008C2594" w:rsidRDefault="008C2594">
            <w:pPr>
              <w:pStyle w:val="TableCentre"/>
            </w:pPr>
            <w:r w:rsidRPr="008C2594">
              <w:t>0</w:t>
            </w:r>
          </w:p>
        </w:tc>
        <w:tc>
          <w:tcPr>
            <w:tcW w:w="1134" w:type="dxa"/>
          </w:tcPr>
          <w:p w14:paraId="51EBC45B" w14:textId="77777777" w:rsidR="008C2594" w:rsidRDefault="008C2594">
            <w:pPr>
              <w:pStyle w:val="TableCentre"/>
            </w:pPr>
            <w:r w:rsidRPr="008C2594">
              <w:t>0.07</w:t>
            </w:r>
          </w:p>
        </w:tc>
        <w:tc>
          <w:tcPr>
            <w:tcW w:w="1275" w:type="dxa"/>
          </w:tcPr>
          <w:p w14:paraId="5CD8B278" w14:textId="77777777" w:rsidR="008C2594" w:rsidRDefault="008C2594">
            <w:pPr>
              <w:pStyle w:val="TableCentre"/>
            </w:pPr>
            <w:r w:rsidRPr="008C2594">
              <w:t>0.6</w:t>
            </w:r>
          </w:p>
        </w:tc>
      </w:tr>
      <w:tr w:rsidR="008C2594" w14:paraId="40D30097" w14:textId="77777777" w:rsidTr="00382DF3">
        <w:trPr>
          <w:cantSplit/>
        </w:trPr>
        <w:tc>
          <w:tcPr>
            <w:tcW w:w="3402" w:type="dxa"/>
          </w:tcPr>
          <w:p w14:paraId="3BF1EF2A" w14:textId="77777777" w:rsidR="008C2594" w:rsidRDefault="008C2594">
            <w:pPr>
              <w:pStyle w:val="Table"/>
            </w:pPr>
            <w:r>
              <w:t>Bagasse</w:t>
            </w:r>
          </w:p>
        </w:tc>
        <w:tc>
          <w:tcPr>
            <w:tcW w:w="1400" w:type="dxa"/>
          </w:tcPr>
          <w:p w14:paraId="4B70F45A" w14:textId="77777777" w:rsidR="008C2594" w:rsidRDefault="008C2594">
            <w:pPr>
              <w:pStyle w:val="TableCentre"/>
            </w:pPr>
            <w:r>
              <w:t>9.6</w:t>
            </w:r>
          </w:p>
        </w:tc>
        <w:tc>
          <w:tcPr>
            <w:tcW w:w="1294" w:type="dxa"/>
          </w:tcPr>
          <w:p w14:paraId="475AFD9B" w14:textId="77777777" w:rsidR="008C2594" w:rsidRDefault="008C2594">
            <w:pPr>
              <w:pStyle w:val="TableCentre"/>
            </w:pPr>
            <w:r w:rsidRPr="008C2594">
              <w:t>0</w:t>
            </w:r>
          </w:p>
        </w:tc>
        <w:tc>
          <w:tcPr>
            <w:tcW w:w="1134" w:type="dxa"/>
          </w:tcPr>
          <w:p w14:paraId="08C00625" w14:textId="77777777" w:rsidR="008C2594" w:rsidRDefault="008C2594">
            <w:pPr>
              <w:pStyle w:val="TableCentre"/>
            </w:pPr>
            <w:r w:rsidRPr="008C2594">
              <w:t>0.2</w:t>
            </w:r>
          </w:p>
        </w:tc>
        <w:tc>
          <w:tcPr>
            <w:tcW w:w="1275" w:type="dxa"/>
          </w:tcPr>
          <w:p w14:paraId="49B85CF5" w14:textId="77777777" w:rsidR="008C2594" w:rsidRDefault="008C2594">
            <w:pPr>
              <w:pStyle w:val="TableCentre"/>
            </w:pPr>
            <w:r w:rsidRPr="008C2594">
              <w:t>1.2</w:t>
            </w:r>
          </w:p>
        </w:tc>
      </w:tr>
      <w:tr w:rsidR="008C2594" w14:paraId="776F1144" w14:textId="77777777" w:rsidTr="00382DF3">
        <w:trPr>
          <w:cantSplit/>
        </w:trPr>
        <w:tc>
          <w:tcPr>
            <w:tcW w:w="3402" w:type="dxa"/>
          </w:tcPr>
          <w:p w14:paraId="79CA75AC" w14:textId="77777777" w:rsidR="008C2594" w:rsidRDefault="008C2594">
            <w:pPr>
              <w:pStyle w:val="Table"/>
            </w:pPr>
            <w:r>
              <w:t>Biomass municipal and industrial materials, if recycled and combusted to produce heat or electricity</w:t>
            </w:r>
          </w:p>
        </w:tc>
        <w:tc>
          <w:tcPr>
            <w:tcW w:w="1400" w:type="dxa"/>
          </w:tcPr>
          <w:p w14:paraId="67113900" w14:textId="77777777" w:rsidR="008C2594" w:rsidRDefault="008C2594">
            <w:pPr>
              <w:pStyle w:val="TableCentre"/>
            </w:pPr>
            <w:r>
              <w:t>12.2</w:t>
            </w:r>
          </w:p>
        </w:tc>
        <w:tc>
          <w:tcPr>
            <w:tcW w:w="1294" w:type="dxa"/>
          </w:tcPr>
          <w:p w14:paraId="1AC49609" w14:textId="77777777" w:rsidR="008C2594" w:rsidRDefault="008C2594">
            <w:pPr>
              <w:pStyle w:val="TableCentre"/>
            </w:pPr>
            <w:r w:rsidRPr="008C2594">
              <w:t>0</w:t>
            </w:r>
          </w:p>
        </w:tc>
        <w:tc>
          <w:tcPr>
            <w:tcW w:w="1134" w:type="dxa"/>
          </w:tcPr>
          <w:p w14:paraId="02BC935E" w14:textId="77777777" w:rsidR="008C2594" w:rsidRDefault="008C2594">
            <w:pPr>
              <w:pStyle w:val="TableCentre"/>
            </w:pPr>
            <w:r w:rsidRPr="008C2594">
              <w:t>0.7</w:t>
            </w:r>
          </w:p>
        </w:tc>
        <w:tc>
          <w:tcPr>
            <w:tcW w:w="1275" w:type="dxa"/>
          </w:tcPr>
          <w:p w14:paraId="176E2430" w14:textId="77777777" w:rsidR="008C2594" w:rsidRDefault="008C2594">
            <w:pPr>
              <w:pStyle w:val="TableCentre"/>
            </w:pPr>
            <w:r w:rsidRPr="008C2594">
              <w:t>1.1</w:t>
            </w:r>
          </w:p>
        </w:tc>
      </w:tr>
      <w:tr w:rsidR="008C2594" w14:paraId="6E076441" w14:textId="77777777" w:rsidTr="00382DF3">
        <w:trPr>
          <w:cantSplit/>
        </w:trPr>
        <w:tc>
          <w:tcPr>
            <w:tcW w:w="3402" w:type="dxa"/>
          </w:tcPr>
          <w:p w14:paraId="7AF647A6" w14:textId="77777777" w:rsidR="008C2594" w:rsidRDefault="008C2594">
            <w:pPr>
              <w:pStyle w:val="Table"/>
            </w:pPr>
            <w:r>
              <w:t>Charcoal</w:t>
            </w:r>
          </w:p>
        </w:tc>
        <w:tc>
          <w:tcPr>
            <w:tcW w:w="1400" w:type="dxa"/>
          </w:tcPr>
          <w:p w14:paraId="5527A583" w14:textId="77777777" w:rsidR="008C2594" w:rsidRDefault="008C2594">
            <w:pPr>
              <w:pStyle w:val="TableCentre"/>
            </w:pPr>
            <w:r>
              <w:t>31.1</w:t>
            </w:r>
          </w:p>
        </w:tc>
        <w:tc>
          <w:tcPr>
            <w:tcW w:w="1294" w:type="dxa"/>
          </w:tcPr>
          <w:p w14:paraId="6D057651" w14:textId="77777777" w:rsidR="008C2594" w:rsidRDefault="008C2594">
            <w:pPr>
              <w:pStyle w:val="TableCentre"/>
            </w:pPr>
            <w:r w:rsidRPr="008C2594">
              <w:t>0</w:t>
            </w:r>
          </w:p>
        </w:tc>
        <w:tc>
          <w:tcPr>
            <w:tcW w:w="1134" w:type="dxa"/>
          </w:tcPr>
          <w:p w14:paraId="0598F891" w14:textId="77777777" w:rsidR="008C2594" w:rsidRDefault="008C2594">
            <w:pPr>
              <w:pStyle w:val="TableCentre"/>
            </w:pPr>
            <w:r w:rsidRPr="008C2594">
              <w:t>4.8</w:t>
            </w:r>
          </w:p>
        </w:tc>
        <w:tc>
          <w:tcPr>
            <w:tcW w:w="1275" w:type="dxa"/>
          </w:tcPr>
          <w:p w14:paraId="58847EF5" w14:textId="77777777" w:rsidR="008C2594" w:rsidRDefault="008C2594">
            <w:pPr>
              <w:pStyle w:val="TableCentre"/>
            </w:pPr>
            <w:r w:rsidRPr="008C2594">
              <w:t>1.1</w:t>
            </w:r>
          </w:p>
        </w:tc>
      </w:tr>
      <w:tr w:rsidR="008C2594" w14:paraId="3575365C" w14:textId="77777777" w:rsidTr="00382DF3">
        <w:trPr>
          <w:cantSplit/>
        </w:trPr>
        <w:tc>
          <w:tcPr>
            <w:tcW w:w="3402" w:type="dxa"/>
          </w:tcPr>
          <w:p w14:paraId="2C9DF6FE" w14:textId="77777777" w:rsidR="008C2594" w:rsidRDefault="008C2594">
            <w:pPr>
              <w:pStyle w:val="Table"/>
            </w:pPr>
            <w:r>
              <w:t>Primary solid biomass fuels other than those mentioned in the items above</w:t>
            </w:r>
          </w:p>
        </w:tc>
        <w:tc>
          <w:tcPr>
            <w:tcW w:w="1400" w:type="dxa"/>
          </w:tcPr>
          <w:p w14:paraId="43193EF9" w14:textId="77777777" w:rsidR="008C2594" w:rsidRDefault="008C2594">
            <w:pPr>
              <w:pStyle w:val="TableCentre"/>
            </w:pPr>
            <w:r>
              <w:t>12.2</w:t>
            </w:r>
          </w:p>
        </w:tc>
        <w:tc>
          <w:tcPr>
            <w:tcW w:w="1294" w:type="dxa"/>
          </w:tcPr>
          <w:p w14:paraId="3A91A1FC" w14:textId="77777777" w:rsidR="008C2594" w:rsidRDefault="008C2594">
            <w:pPr>
              <w:pStyle w:val="TableCentre"/>
            </w:pPr>
            <w:r w:rsidRPr="008C2594">
              <w:t>0</w:t>
            </w:r>
          </w:p>
        </w:tc>
        <w:tc>
          <w:tcPr>
            <w:tcW w:w="1134" w:type="dxa"/>
          </w:tcPr>
          <w:p w14:paraId="00001DFD" w14:textId="77777777" w:rsidR="008C2594" w:rsidRDefault="008C2594">
            <w:pPr>
              <w:pStyle w:val="TableCentre"/>
            </w:pPr>
            <w:r w:rsidRPr="008C2594">
              <w:t>0.7</w:t>
            </w:r>
          </w:p>
        </w:tc>
        <w:tc>
          <w:tcPr>
            <w:tcW w:w="1275" w:type="dxa"/>
          </w:tcPr>
          <w:p w14:paraId="1F8B136E" w14:textId="77777777" w:rsidR="008C2594" w:rsidRDefault="008C2594">
            <w:pPr>
              <w:pStyle w:val="TableCentre"/>
            </w:pPr>
            <w:r w:rsidRPr="008C2594">
              <w:t>1.1</w:t>
            </w:r>
          </w:p>
        </w:tc>
      </w:tr>
    </w:tbl>
    <w:p w14:paraId="6CB32F0D" w14:textId="77777777" w:rsidR="00010E2E" w:rsidRDefault="00010E2E">
      <w:pPr>
        <w:pStyle w:val="TableNote"/>
        <w:spacing w:before="60"/>
      </w:pPr>
      <w:r>
        <w:t>Source: National Greenhouse and Energy Reporting (Measurement) Determination 20</w:t>
      </w:r>
      <w:r w:rsidR="00545FE2">
        <w:t>08</w:t>
      </w:r>
      <w:r>
        <w:t xml:space="preserve"> (Schedule 1)</w:t>
      </w:r>
      <w:r w:rsidR="00554938">
        <w:t xml:space="preserve"> </w:t>
      </w:r>
    </w:p>
    <w:p w14:paraId="3120F870" w14:textId="7A9FD332" w:rsidR="00010E2E" w:rsidRDefault="00010E2E">
      <w:pPr>
        <w:pStyle w:val="TableNote"/>
      </w:pPr>
      <w:r>
        <w:t xml:space="preserve">Notes: All emission factors incorporate relevant oxidation factors (sourced from the </w:t>
      </w:r>
      <w:r w:rsidR="00D87633">
        <w:t xml:space="preserve">Department of the </w:t>
      </w:r>
      <w:r w:rsidR="00BA6A01">
        <w:t>Environment and</w:t>
      </w:r>
      <w:r w:rsidR="000873D9">
        <w:t xml:space="preserve"> Energy </w:t>
      </w:r>
      <w:r>
        <w:t xml:space="preserve">National Inventory Report).   </w:t>
      </w:r>
    </w:p>
    <w:p w14:paraId="58E7BE1F" w14:textId="77777777" w:rsidR="00AB1C42" w:rsidRDefault="00010E2E">
      <w:pPr>
        <w:pStyle w:val="TableNote"/>
      </w:pPr>
      <w:r>
        <w:rPr>
          <w:i/>
        </w:rPr>
        <w:t>Note   </w:t>
      </w:r>
      <w:r>
        <w:t xml:space="preserve">Energy content and emission factors for coal products are measured on an as </w:t>
      </w:r>
      <w:r w:rsidR="00ED5DCA">
        <w:t>combusted</w:t>
      </w:r>
      <w:r>
        <w:t xml:space="preserve"> basis.  The energy content for black coal </w:t>
      </w:r>
      <w:r w:rsidR="00623A30">
        <w:t xml:space="preserve">types </w:t>
      </w:r>
      <w:r>
        <w:t xml:space="preserve">and coking coal (metallurgical coal) is on a washed basis. </w:t>
      </w:r>
    </w:p>
    <w:p w14:paraId="4D759882" w14:textId="77777777" w:rsidR="00AB1C42" w:rsidRDefault="00AB1C42">
      <w:pPr>
        <w:ind w:left="0"/>
        <w:rPr>
          <w:rFonts w:ascii="Arial" w:hAnsi="Arial" w:cs="Arial"/>
          <w:sz w:val="16"/>
        </w:rPr>
      </w:pPr>
      <w:r>
        <w:br w:type="page"/>
      </w:r>
    </w:p>
    <w:p w14:paraId="3368869F"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b/>
        </w:rPr>
      </w:pPr>
      <w:r>
        <w:rPr>
          <w:rFonts w:ascii="Arial" w:hAnsi="Arial" w:cs="Arial"/>
          <w:b/>
        </w:rPr>
        <w:t>Example: calculation of emissions from black coal consumption</w:t>
      </w:r>
    </w:p>
    <w:p w14:paraId="4C0161F8"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b/>
        </w:rPr>
      </w:pPr>
      <w:r>
        <w:rPr>
          <w:rFonts w:ascii="Arial" w:hAnsi="Arial" w:cs="Arial"/>
        </w:rPr>
        <w:t>A facilit</w:t>
      </w:r>
      <w:r w:rsidR="00545FE2">
        <w:rPr>
          <w:rFonts w:ascii="Arial" w:hAnsi="Arial" w:cs="Arial"/>
        </w:rPr>
        <w:t>y consumes 20,000 tonnes of bituminous</w:t>
      </w:r>
      <w:r>
        <w:rPr>
          <w:rFonts w:ascii="Arial" w:hAnsi="Arial" w:cs="Arial"/>
        </w:rPr>
        <w:t xml:space="preserve"> coal for a purpose other than for the production of electricity or </w:t>
      </w:r>
      <w:r w:rsidR="00E10CAB">
        <w:rPr>
          <w:rFonts w:ascii="Arial" w:hAnsi="Arial" w:cs="Arial"/>
        </w:rPr>
        <w:t xml:space="preserve">to produce </w:t>
      </w:r>
      <w:r>
        <w:rPr>
          <w:rFonts w:ascii="Arial" w:hAnsi="Arial" w:cs="Arial"/>
        </w:rPr>
        <w:t xml:space="preserve">coke. </w:t>
      </w:r>
    </w:p>
    <w:p w14:paraId="6C18499F"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rPr>
      </w:pPr>
      <w:r>
        <w:rPr>
          <w:rFonts w:ascii="Arial" w:hAnsi="Arial" w:cs="Arial"/>
        </w:rPr>
        <w:t>Emissions of greenhouse gases (carbon dioxide, methane and nitrous oxide) in tonnes of CO</w:t>
      </w:r>
      <w:r>
        <w:rPr>
          <w:rFonts w:ascii="Arial" w:hAnsi="Arial" w:cs="Arial"/>
          <w:vertAlign w:val="subscript"/>
        </w:rPr>
        <w:t>2</w:t>
      </w:r>
      <w:r>
        <w:rPr>
          <w:rFonts w:ascii="Arial" w:hAnsi="Arial" w:cs="Arial"/>
        </w:rPr>
        <w:noBreakHyphen/>
        <w:t xml:space="preserve">e are estimated as follows: </w:t>
      </w:r>
    </w:p>
    <w:p w14:paraId="7ACD537E"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Emissions of carbon dioxide: </w:t>
      </w:r>
    </w:p>
    <w:p w14:paraId="3208F6FE"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 (20,000 x 27.0 x </w:t>
      </w:r>
      <w:r w:rsidR="008C2594">
        <w:rPr>
          <w:rFonts w:ascii="Arial" w:hAnsi="Arial" w:cs="Arial"/>
        </w:rPr>
        <w:t>90</w:t>
      </w:r>
      <w:r>
        <w:rPr>
          <w:rFonts w:ascii="Arial" w:hAnsi="Arial" w:cs="Arial"/>
        </w:rPr>
        <w:t>)/1,000</w:t>
      </w:r>
    </w:p>
    <w:p w14:paraId="1CF84F9C"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4</w:t>
      </w:r>
      <w:r w:rsidR="006B7725">
        <w:rPr>
          <w:rFonts w:ascii="Arial" w:hAnsi="Arial" w:cs="Arial"/>
        </w:rPr>
        <w:t>8,600</w:t>
      </w:r>
      <w:r>
        <w:rPr>
          <w:rFonts w:ascii="Arial" w:hAnsi="Arial" w:cs="Arial"/>
        </w:rPr>
        <w:t xml:space="preserve"> t CO</w:t>
      </w:r>
      <w:r>
        <w:rPr>
          <w:rFonts w:ascii="Arial" w:hAnsi="Arial" w:cs="Arial"/>
          <w:vertAlign w:val="subscript"/>
        </w:rPr>
        <w:t>2</w:t>
      </w:r>
      <w:r>
        <w:rPr>
          <w:rFonts w:ascii="Arial" w:hAnsi="Arial" w:cs="Arial"/>
        </w:rPr>
        <w:t xml:space="preserve">-e </w:t>
      </w:r>
    </w:p>
    <w:p w14:paraId="7D12C545"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Emissions of methane: </w:t>
      </w:r>
    </w:p>
    <w:p w14:paraId="5426F1B5"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 (20,000 x 27.0 x 0.03)/1,000 </w:t>
      </w:r>
    </w:p>
    <w:p w14:paraId="7513A084"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16 t CO</w:t>
      </w:r>
      <w:r>
        <w:rPr>
          <w:rFonts w:ascii="Arial" w:hAnsi="Arial" w:cs="Arial"/>
          <w:vertAlign w:val="subscript"/>
        </w:rPr>
        <w:t>2</w:t>
      </w:r>
      <w:r>
        <w:rPr>
          <w:rFonts w:ascii="Arial" w:hAnsi="Arial" w:cs="Arial"/>
        </w:rPr>
        <w:t>-e</w:t>
      </w:r>
    </w:p>
    <w:p w14:paraId="0D01DA26"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Emissions of nitrous oxide:</w:t>
      </w:r>
    </w:p>
    <w:p w14:paraId="1B1A9064"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 (20,000 x 27.0 x 0.2)/1,000 </w:t>
      </w:r>
    </w:p>
    <w:p w14:paraId="652202B9"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108 t CO</w:t>
      </w:r>
      <w:r>
        <w:rPr>
          <w:rFonts w:ascii="Arial" w:hAnsi="Arial" w:cs="Arial"/>
          <w:vertAlign w:val="subscript"/>
        </w:rPr>
        <w:t>2</w:t>
      </w:r>
      <w:r>
        <w:rPr>
          <w:rFonts w:ascii="Arial" w:hAnsi="Arial" w:cs="Arial"/>
        </w:rPr>
        <w:t xml:space="preserve">-e </w:t>
      </w:r>
    </w:p>
    <w:p w14:paraId="64CF6E76"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rPr>
      </w:pPr>
      <w:r>
        <w:rPr>
          <w:rFonts w:ascii="Arial" w:hAnsi="Arial" w:cs="Arial"/>
        </w:rPr>
        <w:t>Total scope 1 GHG emissions   = 4</w:t>
      </w:r>
      <w:r w:rsidR="00452E33">
        <w:rPr>
          <w:rFonts w:ascii="Arial" w:hAnsi="Arial" w:cs="Arial"/>
        </w:rPr>
        <w:t>8,600</w:t>
      </w:r>
      <w:r>
        <w:rPr>
          <w:rFonts w:ascii="Arial" w:hAnsi="Arial" w:cs="Arial"/>
        </w:rPr>
        <w:t xml:space="preserve">  + 16 + 108</w:t>
      </w:r>
    </w:p>
    <w:p w14:paraId="04CD9D5B"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2835"/>
        <w:rPr>
          <w:rFonts w:ascii="Arial" w:hAnsi="Arial" w:cs="Arial"/>
        </w:rPr>
      </w:pPr>
      <w:r>
        <w:rPr>
          <w:rFonts w:ascii="Arial" w:hAnsi="Arial" w:cs="Arial"/>
        </w:rPr>
        <w:t xml:space="preserve">= </w:t>
      </w:r>
      <w:r w:rsidR="00452E33">
        <w:rPr>
          <w:rFonts w:ascii="Arial" w:hAnsi="Arial" w:cs="Arial"/>
        </w:rPr>
        <w:t>48,7</w:t>
      </w:r>
      <w:r w:rsidR="005757C1">
        <w:rPr>
          <w:rFonts w:ascii="Arial" w:hAnsi="Arial" w:cs="Arial"/>
        </w:rPr>
        <w:t xml:space="preserve">24 </w:t>
      </w:r>
      <w:r>
        <w:rPr>
          <w:rFonts w:ascii="Arial" w:hAnsi="Arial" w:cs="Arial"/>
        </w:rPr>
        <w:t>t CO</w:t>
      </w:r>
      <w:r>
        <w:rPr>
          <w:rFonts w:ascii="Arial" w:hAnsi="Arial" w:cs="Arial"/>
          <w:vertAlign w:val="subscript"/>
        </w:rPr>
        <w:t>2</w:t>
      </w:r>
      <w:r>
        <w:rPr>
          <w:rFonts w:ascii="Arial" w:hAnsi="Arial" w:cs="Arial"/>
        </w:rPr>
        <w:t xml:space="preserve">-e </w:t>
      </w:r>
    </w:p>
    <w:p w14:paraId="5F1A6288" w14:textId="77777777" w:rsidR="00010E2E" w:rsidRDefault="00010E2E">
      <w:pPr>
        <w:pStyle w:val="TableNote"/>
      </w:pPr>
    </w:p>
    <w:p w14:paraId="1242D745" w14:textId="77777777" w:rsidR="00010E2E" w:rsidRDefault="00010E2E">
      <w:pPr>
        <w:pStyle w:val="Heading3"/>
        <w:tabs>
          <w:tab w:val="left" w:pos="0"/>
          <w:tab w:val="left" w:pos="2250"/>
        </w:tabs>
        <w:spacing w:before="120" w:line="312" w:lineRule="auto"/>
        <w:ind w:left="0" w:firstLine="0"/>
        <w:rPr>
          <w:rFonts w:ascii="Arial" w:hAnsi="Arial" w:cs="Arial"/>
        </w:rPr>
      </w:pPr>
      <w:bookmarkStart w:id="42" w:name="_Toc185914348"/>
      <w:r>
        <w:rPr>
          <w:rFonts w:ascii="Arial" w:hAnsi="Arial" w:cs="Arial"/>
        </w:rPr>
        <w:t>Fuel combustion emissions – gaseous fuels</w:t>
      </w:r>
      <w:bookmarkEnd w:id="42"/>
    </w:p>
    <w:p w14:paraId="29494012" w14:textId="77777777" w:rsidR="00010E2E" w:rsidRDefault="00010E2E">
      <w:pPr>
        <w:pStyle w:val="EquationNote"/>
      </w:pPr>
    </w:p>
    <w:p w14:paraId="7A2BA962"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The following formula can be used to estimate greenhouse gas emissions from the combustion of each type of fuel listed in Table 2.  </w:t>
      </w:r>
    </w:p>
    <w:p w14:paraId="780E134D" w14:textId="77777777" w:rsidR="00010E2E" w:rsidRDefault="00CA4FB8">
      <w:pPr>
        <w:pStyle w:val="Formula"/>
        <w:rPr>
          <w:color w:val="000000"/>
        </w:rPr>
      </w:pPr>
      <w:r>
        <w:rPr>
          <w:color w:val="000000"/>
          <w:position w:val="-24"/>
        </w:rPr>
        <w:pict w14:anchorId="4E1A165D">
          <v:shape id="_x0000_i1026" type="#_x0000_t75" style="width:129pt;height:33.75pt">
            <v:imagedata r:id="rId31" o:title=""/>
          </v:shape>
        </w:pict>
      </w:r>
    </w:p>
    <w:p w14:paraId="4F07772B" w14:textId="77777777" w:rsidR="00010E2E" w:rsidRPr="000E686B" w:rsidRDefault="00010E2E">
      <w:pPr>
        <w:pStyle w:val="EquationNote"/>
        <w:rPr>
          <w:rFonts w:ascii="Times New Roman" w:hAnsi="Times New Roman" w:cs="Times New Roman"/>
          <w:sz w:val="22"/>
          <w:szCs w:val="22"/>
        </w:rPr>
      </w:pPr>
      <w:r w:rsidRPr="000E686B">
        <w:rPr>
          <w:rFonts w:ascii="Times New Roman" w:hAnsi="Times New Roman" w:cs="Times New Roman"/>
          <w:sz w:val="22"/>
          <w:szCs w:val="22"/>
        </w:rPr>
        <w:tab/>
        <w:t>where:</w:t>
      </w:r>
    </w:p>
    <w:p w14:paraId="6C7392BF" w14:textId="77777777" w:rsidR="00010E2E" w:rsidRPr="000E686B" w:rsidRDefault="00010E2E">
      <w:pPr>
        <w:pStyle w:val="definition"/>
        <w:rPr>
          <w:color w:val="000000"/>
          <w:sz w:val="22"/>
          <w:szCs w:val="22"/>
        </w:rPr>
      </w:pPr>
      <w:r w:rsidRPr="000E686B">
        <w:rPr>
          <w:b/>
          <w:i/>
          <w:color w:val="000000"/>
          <w:sz w:val="22"/>
          <w:szCs w:val="22"/>
        </w:rPr>
        <w:t>E</w:t>
      </w:r>
      <w:r w:rsidRPr="000E686B">
        <w:rPr>
          <w:rStyle w:val="Subscript"/>
          <w:b/>
          <w:i/>
          <w:iCs/>
          <w:color w:val="000000"/>
          <w:sz w:val="22"/>
          <w:szCs w:val="22"/>
        </w:rPr>
        <w:t xml:space="preserve">ij </w:t>
      </w:r>
      <w:r w:rsidRPr="000E686B">
        <w:rPr>
          <w:rStyle w:val="EquationNoteChar"/>
          <w:rFonts w:ascii="Times New Roman" w:hAnsi="Times New Roman" w:cs="Times New Roman"/>
          <w:sz w:val="22"/>
          <w:szCs w:val="22"/>
        </w:rPr>
        <w:t>is the emissions of gas type (j), (carbon dioxide, methane or nitrous oxide), from gaseous fuel type (i) (CO</w:t>
      </w:r>
      <w:r w:rsidRPr="000E686B">
        <w:rPr>
          <w:rStyle w:val="EquationNoteChar"/>
          <w:rFonts w:ascii="Times New Roman" w:hAnsi="Times New Roman" w:cs="Times New Roman"/>
          <w:sz w:val="22"/>
          <w:szCs w:val="22"/>
          <w:vertAlign w:val="subscript"/>
        </w:rPr>
        <w:t>2</w:t>
      </w:r>
      <w:r w:rsidRPr="000E686B">
        <w:rPr>
          <w:rStyle w:val="EquationNoteChar"/>
          <w:rFonts w:ascii="Times New Roman" w:hAnsi="Times New Roman" w:cs="Times New Roman"/>
          <w:sz w:val="22"/>
          <w:szCs w:val="22"/>
        </w:rPr>
        <w:noBreakHyphen/>
        <w:t>e tonnes).</w:t>
      </w:r>
    </w:p>
    <w:p w14:paraId="28D19955" w14:textId="77777777" w:rsidR="00010E2E" w:rsidRPr="000E686B" w:rsidRDefault="00010E2E">
      <w:pPr>
        <w:pStyle w:val="definition"/>
        <w:rPr>
          <w:color w:val="000000"/>
          <w:sz w:val="22"/>
          <w:szCs w:val="22"/>
        </w:rPr>
      </w:pPr>
      <w:r w:rsidRPr="000E686B">
        <w:rPr>
          <w:b/>
          <w:i/>
          <w:color w:val="000000"/>
          <w:sz w:val="22"/>
          <w:szCs w:val="22"/>
        </w:rPr>
        <w:t>Q</w:t>
      </w:r>
      <w:r w:rsidRPr="000E686B">
        <w:rPr>
          <w:b/>
          <w:i/>
          <w:color w:val="000000"/>
          <w:sz w:val="22"/>
          <w:szCs w:val="22"/>
          <w:vertAlign w:val="subscript"/>
        </w:rPr>
        <w:t>i</w:t>
      </w:r>
      <w:r w:rsidRPr="000E686B">
        <w:rPr>
          <w:color w:val="000000"/>
          <w:sz w:val="22"/>
          <w:szCs w:val="22"/>
          <w:vertAlign w:val="subscript"/>
        </w:rPr>
        <w:t xml:space="preserve"> </w:t>
      </w:r>
      <w:r w:rsidRPr="000E686B">
        <w:rPr>
          <w:rStyle w:val="EquationNoteChar"/>
          <w:rFonts w:ascii="Times New Roman" w:hAnsi="Times New Roman" w:cs="Times New Roman"/>
          <w:sz w:val="22"/>
          <w:szCs w:val="22"/>
        </w:rPr>
        <w:t>is the quantity of fuel type (i) (cubic metres)</w:t>
      </w:r>
      <w:r w:rsidRPr="000E686B">
        <w:rPr>
          <w:color w:val="000000"/>
          <w:sz w:val="22"/>
          <w:szCs w:val="22"/>
        </w:rPr>
        <w:t xml:space="preserve"> </w:t>
      </w:r>
    </w:p>
    <w:p w14:paraId="0BF413BF" w14:textId="77777777" w:rsidR="00010E2E" w:rsidRPr="000E686B" w:rsidRDefault="00010E2E">
      <w:pPr>
        <w:pStyle w:val="definition"/>
        <w:rPr>
          <w:rStyle w:val="EquationNoteChar"/>
          <w:rFonts w:ascii="Times New Roman" w:hAnsi="Times New Roman" w:cs="Times New Roman"/>
          <w:sz w:val="22"/>
          <w:szCs w:val="22"/>
        </w:rPr>
      </w:pPr>
      <w:r w:rsidRPr="000E686B">
        <w:rPr>
          <w:b/>
          <w:i/>
          <w:color w:val="000000"/>
          <w:sz w:val="22"/>
          <w:szCs w:val="22"/>
        </w:rPr>
        <w:t>EC</w:t>
      </w:r>
      <w:r w:rsidRPr="000E686B">
        <w:rPr>
          <w:b/>
          <w:i/>
          <w:color w:val="000000"/>
          <w:sz w:val="22"/>
          <w:szCs w:val="22"/>
          <w:vertAlign w:val="subscript"/>
        </w:rPr>
        <w:t>i</w:t>
      </w:r>
      <w:r w:rsidRPr="000E686B">
        <w:rPr>
          <w:color w:val="000000"/>
          <w:sz w:val="22"/>
          <w:szCs w:val="22"/>
        </w:rPr>
        <w:t xml:space="preserve"> </w:t>
      </w:r>
      <w:r w:rsidRPr="000E686B">
        <w:rPr>
          <w:rStyle w:val="EquationNoteChar"/>
          <w:rFonts w:ascii="Times New Roman" w:hAnsi="Times New Roman" w:cs="Times New Roman"/>
          <w:sz w:val="22"/>
          <w:szCs w:val="22"/>
        </w:rPr>
        <w:t>is the energy content factor of fuel type (i) (gigajoules per cubic metre according to Table 2).</w:t>
      </w:r>
    </w:p>
    <w:p w14:paraId="2DA62CE7" w14:textId="77777777" w:rsidR="00010E2E" w:rsidRPr="000E686B" w:rsidRDefault="00010E2E">
      <w:pPr>
        <w:pStyle w:val="R2"/>
        <w:spacing w:after="120"/>
        <w:rPr>
          <w:color w:val="000000"/>
          <w:sz w:val="22"/>
          <w:szCs w:val="22"/>
        </w:rPr>
      </w:pPr>
      <w:r w:rsidRPr="000E686B">
        <w:rPr>
          <w:color w:val="000000"/>
          <w:sz w:val="22"/>
          <w:szCs w:val="22"/>
        </w:rPr>
        <w:tab/>
      </w:r>
      <w:r w:rsidRPr="000E686B">
        <w:rPr>
          <w:color w:val="000000"/>
          <w:sz w:val="22"/>
          <w:szCs w:val="22"/>
        </w:rPr>
        <w:tab/>
      </w:r>
      <w:r w:rsidRPr="000E686B">
        <w:rPr>
          <w:color w:val="000000"/>
          <w:sz w:val="22"/>
          <w:szCs w:val="22"/>
        </w:rPr>
        <w:tab/>
      </w:r>
      <w:r w:rsidRPr="000E686B">
        <w:rPr>
          <w:rStyle w:val="EquationNoteChar"/>
          <w:rFonts w:ascii="Times New Roman" w:hAnsi="Times New Roman" w:cs="Times New Roman"/>
          <w:sz w:val="22"/>
          <w:szCs w:val="22"/>
        </w:rPr>
        <w:t>If</w:t>
      </w:r>
      <w:r w:rsidRPr="000E686B">
        <w:rPr>
          <w:color w:val="000000"/>
          <w:sz w:val="22"/>
          <w:szCs w:val="22"/>
        </w:rPr>
        <w:t xml:space="preserve"> </w:t>
      </w:r>
      <w:r w:rsidRPr="000E686B">
        <w:rPr>
          <w:b/>
          <w:i/>
          <w:color w:val="000000"/>
          <w:sz w:val="22"/>
          <w:szCs w:val="22"/>
        </w:rPr>
        <w:t>Q</w:t>
      </w:r>
      <w:r w:rsidRPr="000E686B">
        <w:rPr>
          <w:b/>
          <w:i/>
          <w:color w:val="000000"/>
          <w:sz w:val="22"/>
          <w:szCs w:val="22"/>
          <w:vertAlign w:val="subscript"/>
        </w:rPr>
        <w:t xml:space="preserve">i </w:t>
      </w:r>
      <w:r w:rsidRPr="000E686B">
        <w:rPr>
          <w:rStyle w:val="EquationNoteChar"/>
          <w:rFonts w:ascii="Times New Roman" w:hAnsi="Times New Roman" w:cs="Times New Roman"/>
          <w:sz w:val="22"/>
          <w:szCs w:val="22"/>
        </w:rPr>
        <w:t xml:space="preserve">is measured in gigajoules, then </w:t>
      </w:r>
      <w:r w:rsidRPr="000E686B">
        <w:rPr>
          <w:b/>
          <w:i/>
          <w:color w:val="000000"/>
          <w:sz w:val="22"/>
          <w:szCs w:val="22"/>
        </w:rPr>
        <w:t>EC</w:t>
      </w:r>
      <w:r w:rsidRPr="000E686B">
        <w:rPr>
          <w:rStyle w:val="EquationNoteChar"/>
          <w:rFonts w:ascii="Times New Roman" w:hAnsi="Times New Roman" w:cs="Times New Roman"/>
          <w:b/>
          <w:i/>
          <w:sz w:val="22"/>
          <w:szCs w:val="22"/>
          <w:vertAlign w:val="subscript"/>
        </w:rPr>
        <w:t>i</w:t>
      </w:r>
      <w:r w:rsidRPr="000E686B">
        <w:rPr>
          <w:rStyle w:val="EquationNoteChar"/>
          <w:rFonts w:ascii="Times New Roman" w:hAnsi="Times New Roman" w:cs="Times New Roman"/>
          <w:sz w:val="22"/>
          <w:szCs w:val="22"/>
        </w:rPr>
        <w:t xml:space="preserve"> is 1.</w:t>
      </w:r>
    </w:p>
    <w:p w14:paraId="5B155B54" w14:textId="77777777" w:rsidR="00010E2E" w:rsidRPr="000E686B" w:rsidRDefault="00010E2E">
      <w:pPr>
        <w:pStyle w:val="definition"/>
        <w:rPr>
          <w:rStyle w:val="EquationNoteChar"/>
          <w:rFonts w:ascii="Times New Roman" w:hAnsi="Times New Roman" w:cs="Times New Roman"/>
          <w:sz w:val="22"/>
          <w:szCs w:val="22"/>
        </w:rPr>
      </w:pPr>
      <w:r w:rsidRPr="000E686B">
        <w:rPr>
          <w:b/>
          <w:i/>
          <w:color w:val="000000"/>
          <w:sz w:val="22"/>
          <w:szCs w:val="22"/>
        </w:rPr>
        <w:t>EF</w:t>
      </w:r>
      <w:r w:rsidRPr="000E686B">
        <w:rPr>
          <w:b/>
          <w:i/>
          <w:color w:val="000000"/>
          <w:sz w:val="22"/>
          <w:szCs w:val="22"/>
          <w:vertAlign w:val="subscript"/>
        </w:rPr>
        <w:t>ijoxec</w:t>
      </w:r>
      <w:r w:rsidRPr="000E686B">
        <w:rPr>
          <w:color w:val="000000"/>
          <w:sz w:val="22"/>
          <w:szCs w:val="22"/>
        </w:rPr>
        <w:t xml:space="preserve"> </w:t>
      </w:r>
      <w:r w:rsidRPr="000E686B">
        <w:rPr>
          <w:rStyle w:val="EquationNoteChar"/>
          <w:rFonts w:ascii="Times New Roman" w:hAnsi="Times New Roman" w:cs="Times New Roman"/>
          <w:sz w:val="22"/>
          <w:szCs w:val="22"/>
        </w:rPr>
        <w:t>is the emission factor for each gas type (j) (which includes the effect of an oxidation factor) for fuel type (i) (kilograms CO</w:t>
      </w:r>
      <w:r w:rsidRPr="000E686B">
        <w:rPr>
          <w:rStyle w:val="EquationNoteChar"/>
          <w:rFonts w:ascii="Times New Roman" w:hAnsi="Times New Roman" w:cs="Times New Roman"/>
          <w:sz w:val="22"/>
          <w:szCs w:val="22"/>
          <w:vertAlign w:val="subscript"/>
        </w:rPr>
        <w:t>2</w:t>
      </w:r>
      <w:r w:rsidRPr="000E686B">
        <w:rPr>
          <w:rStyle w:val="EquationNoteChar"/>
          <w:rFonts w:ascii="Times New Roman" w:hAnsi="Times New Roman" w:cs="Times New Roman"/>
          <w:sz w:val="22"/>
          <w:szCs w:val="22"/>
        </w:rPr>
        <w:noBreakHyphen/>
        <w:t>e per gigajoule of fuel type (i) according to Table 2).</w:t>
      </w:r>
    </w:p>
    <w:p w14:paraId="5D5D954F" w14:textId="77777777" w:rsidR="00010E2E" w:rsidRDefault="00010E2E">
      <w:pPr>
        <w:pStyle w:val="EquationNote"/>
      </w:pPr>
      <w:r>
        <w:tab/>
      </w:r>
    </w:p>
    <w:p w14:paraId="6A35D1D6" w14:textId="77777777" w:rsidR="00010E2E" w:rsidRDefault="00010E2E">
      <w:pPr>
        <w:rPr>
          <w:rFonts w:ascii="Arial" w:hAnsi="Arial" w:cs="Arial"/>
          <w:iCs/>
          <w:sz w:val="18"/>
        </w:rPr>
      </w:pPr>
    </w:p>
    <w:p w14:paraId="2DBFEC4A" w14:textId="77777777" w:rsidR="00010E2E" w:rsidRDefault="00010E2E"/>
    <w:p w14:paraId="36D89BCA" w14:textId="77777777" w:rsidR="00010E2E" w:rsidRDefault="00010E2E" w:rsidP="00C23E3B">
      <w:pPr>
        <w:pStyle w:val="Caption"/>
      </w:pPr>
      <w:bookmarkStart w:id="43" w:name="_Toc391646688"/>
      <w:bookmarkStart w:id="44" w:name="_Toc485728110"/>
      <w:r>
        <w:t xml:space="preserve">Table </w:t>
      </w:r>
      <w:r w:rsidR="00DC52E0">
        <w:fldChar w:fldCharType="begin"/>
      </w:r>
      <w:r w:rsidR="000570E2">
        <w:instrText xml:space="preserve"> SEQ Table \* ARABIC </w:instrText>
      </w:r>
      <w:r w:rsidR="00DC52E0">
        <w:fldChar w:fldCharType="separate"/>
      </w:r>
      <w:r w:rsidR="004A1330">
        <w:rPr>
          <w:noProof/>
        </w:rPr>
        <w:t>2</w:t>
      </w:r>
      <w:r w:rsidR="00DC52E0">
        <w:fldChar w:fldCharType="end"/>
      </w:r>
      <w:r>
        <w:t>: Emission factors for the consumption of natural gas</w:t>
      </w:r>
      <w:bookmarkEnd w:id="43"/>
      <w:bookmarkEnd w:id="44"/>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2"/>
        <w:gridCol w:w="1550"/>
        <w:gridCol w:w="1294"/>
        <w:gridCol w:w="1134"/>
        <w:gridCol w:w="1275"/>
      </w:tblGrid>
      <w:tr w:rsidR="00010E2E" w14:paraId="7745675D" w14:textId="77777777" w:rsidTr="00382DF3">
        <w:trPr>
          <w:cantSplit/>
          <w:tblHeader/>
        </w:trPr>
        <w:tc>
          <w:tcPr>
            <w:tcW w:w="3252" w:type="dxa"/>
            <w:vMerge w:val="restart"/>
            <w:shd w:val="clear" w:color="auto" w:fill="D9D9D9"/>
            <w:vAlign w:val="center"/>
          </w:tcPr>
          <w:p w14:paraId="2EDD641C" w14:textId="77777777" w:rsidR="00010E2E" w:rsidRDefault="00010E2E" w:rsidP="00382DF3">
            <w:pPr>
              <w:pStyle w:val="TableCentre"/>
              <w:rPr>
                <w:rStyle w:val="Strong"/>
                <w:rFonts w:cs="Arial"/>
                <w:szCs w:val="16"/>
              </w:rPr>
            </w:pPr>
            <w:r>
              <w:rPr>
                <w:rStyle w:val="Strong"/>
                <w:rFonts w:cs="Arial"/>
                <w:szCs w:val="16"/>
              </w:rPr>
              <w:t>Fuel combusted</w:t>
            </w:r>
          </w:p>
        </w:tc>
        <w:tc>
          <w:tcPr>
            <w:tcW w:w="1550" w:type="dxa"/>
            <w:vMerge w:val="restart"/>
            <w:shd w:val="clear" w:color="auto" w:fill="D9D9D9"/>
            <w:vAlign w:val="center"/>
          </w:tcPr>
          <w:p w14:paraId="7E5643D6" w14:textId="77777777" w:rsidR="00010E2E" w:rsidRDefault="00010E2E" w:rsidP="00382DF3">
            <w:pPr>
              <w:pStyle w:val="TableCentre"/>
              <w:rPr>
                <w:rStyle w:val="Strong"/>
                <w:rFonts w:cs="Arial"/>
                <w:szCs w:val="16"/>
              </w:rPr>
            </w:pPr>
            <w:r>
              <w:rPr>
                <w:rStyle w:val="Strong"/>
                <w:rFonts w:cs="Arial"/>
                <w:szCs w:val="16"/>
              </w:rPr>
              <w:t>Energy content factor</w:t>
            </w:r>
          </w:p>
          <w:p w14:paraId="4E755563" w14:textId="77777777" w:rsidR="00010E2E" w:rsidRDefault="00010E2E" w:rsidP="00382DF3">
            <w:pPr>
              <w:pStyle w:val="TableCentre"/>
              <w:rPr>
                <w:rStyle w:val="Strong"/>
                <w:rFonts w:cs="Arial"/>
                <w:szCs w:val="16"/>
              </w:rPr>
            </w:pPr>
            <w:r>
              <w:rPr>
                <w:rStyle w:val="Strong"/>
                <w:rFonts w:cs="Arial"/>
                <w:szCs w:val="16"/>
              </w:rPr>
              <w:t>(GJ/m</w:t>
            </w:r>
            <w:r>
              <w:rPr>
                <w:rStyle w:val="Strong"/>
                <w:rFonts w:cs="Arial"/>
                <w:szCs w:val="16"/>
                <w:vertAlign w:val="superscript"/>
              </w:rPr>
              <w:t>3</w:t>
            </w:r>
            <w:r>
              <w:rPr>
                <w:rStyle w:val="Strong"/>
                <w:rFonts w:cs="Arial"/>
                <w:szCs w:val="16"/>
              </w:rPr>
              <w:t xml:space="preserve"> unless otherwise indicated)</w:t>
            </w:r>
          </w:p>
        </w:tc>
        <w:tc>
          <w:tcPr>
            <w:tcW w:w="3703" w:type="dxa"/>
            <w:gridSpan w:val="3"/>
            <w:shd w:val="clear" w:color="auto" w:fill="D9D9D9"/>
            <w:vAlign w:val="center"/>
          </w:tcPr>
          <w:p w14:paraId="06599F7E" w14:textId="77777777" w:rsidR="00010E2E" w:rsidRDefault="00010E2E" w:rsidP="00382DF3">
            <w:pPr>
              <w:pStyle w:val="TableCentre"/>
              <w:rPr>
                <w:b/>
                <w:bCs/>
                <w:szCs w:val="16"/>
              </w:rPr>
            </w:pPr>
            <w:r>
              <w:rPr>
                <w:b/>
                <w:bCs/>
                <w:szCs w:val="16"/>
              </w:rPr>
              <w:t>Emission factor</w:t>
            </w:r>
          </w:p>
          <w:p w14:paraId="37486729" w14:textId="77777777" w:rsidR="00010E2E" w:rsidRDefault="00010E2E" w:rsidP="00382DF3">
            <w:pPr>
              <w:pStyle w:val="TableCentre"/>
              <w:rPr>
                <w:b/>
                <w:bCs/>
                <w:szCs w:val="16"/>
              </w:rPr>
            </w:pPr>
            <w:r>
              <w:rPr>
                <w:b/>
                <w:bCs/>
                <w:szCs w:val="16"/>
              </w:rPr>
              <w:t>kg CO</w:t>
            </w:r>
            <w:r>
              <w:rPr>
                <w:b/>
                <w:bCs/>
                <w:szCs w:val="16"/>
                <w:vertAlign w:val="subscript"/>
              </w:rPr>
              <w:t>2</w:t>
            </w:r>
            <w:r>
              <w:rPr>
                <w:b/>
                <w:bCs/>
                <w:szCs w:val="16"/>
              </w:rPr>
              <w:noBreakHyphen/>
              <w:t>e/GJ</w:t>
            </w:r>
          </w:p>
          <w:p w14:paraId="6FAA672F" w14:textId="77777777" w:rsidR="00010E2E" w:rsidRDefault="00010E2E" w:rsidP="00382DF3">
            <w:pPr>
              <w:pStyle w:val="TableCentre"/>
              <w:rPr>
                <w:b/>
                <w:bCs/>
                <w:szCs w:val="16"/>
              </w:rPr>
            </w:pPr>
            <w:r>
              <w:rPr>
                <w:b/>
                <w:bCs/>
                <w:szCs w:val="16"/>
              </w:rPr>
              <w:t>(relevant oxidation factors incorporated)</w:t>
            </w:r>
          </w:p>
        </w:tc>
      </w:tr>
      <w:tr w:rsidR="00010E2E" w14:paraId="2217BDD0" w14:textId="77777777" w:rsidTr="00382DF3">
        <w:trPr>
          <w:cantSplit/>
          <w:tblHeader/>
        </w:trPr>
        <w:tc>
          <w:tcPr>
            <w:tcW w:w="3252" w:type="dxa"/>
            <w:vMerge/>
            <w:shd w:val="clear" w:color="auto" w:fill="D9D9D9"/>
            <w:vAlign w:val="center"/>
          </w:tcPr>
          <w:p w14:paraId="3C9B4D34" w14:textId="77777777" w:rsidR="00010E2E" w:rsidRDefault="00010E2E" w:rsidP="00382DF3">
            <w:pPr>
              <w:pStyle w:val="TableCentre"/>
              <w:rPr>
                <w:b/>
                <w:bCs/>
                <w:szCs w:val="16"/>
              </w:rPr>
            </w:pPr>
          </w:p>
        </w:tc>
        <w:tc>
          <w:tcPr>
            <w:tcW w:w="1550" w:type="dxa"/>
            <w:vMerge/>
            <w:shd w:val="clear" w:color="auto" w:fill="D9D9D9"/>
            <w:vAlign w:val="center"/>
          </w:tcPr>
          <w:p w14:paraId="2CED8574" w14:textId="77777777" w:rsidR="00010E2E" w:rsidRDefault="00010E2E" w:rsidP="00382DF3">
            <w:pPr>
              <w:pStyle w:val="TableCentre"/>
              <w:rPr>
                <w:b/>
                <w:bCs/>
                <w:szCs w:val="16"/>
              </w:rPr>
            </w:pPr>
          </w:p>
        </w:tc>
        <w:tc>
          <w:tcPr>
            <w:tcW w:w="1294" w:type="dxa"/>
            <w:shd w:val="clear" w:color="auto" w:fill="D9D9D9"/>
            <w:vAlign w:val="center"/>
          </w:tcPr>
          <w:p w14:paraId="2F258A82" w14:textId="77777777" w:rsidR="00010E2E" w:rsidRDefault="00010E2E" w:rsidP="00382DF3">
            <w:pPr>
              <w:pStyle w:val="TableCentre"/>
              <w:rPr>
                <w:b/>
                <w:bCs/>
                <w:szCs w:val="16"/>
              </w:rPr>
            </w:pPr>
            <w:r>
              <w:rPr>
                <w:b/>
                <w:bCs/>
                <w:snapToGrid w:val="0"/>
                <w:szCs w:val="16"/>
              </w:rPr>
              <w:t>CO</w:t>
            </w:r>
            <w:r>
              <w:rPr>
                <w:b/>
                <w:bCs/>
                <w:snapToGrid w:val="0"/>
                <w:szCs w:val="16"/>
                <w:vertAlign w:val="subscript"/>
              </w:rPr>
              <w:t>2</w:t>
            </w:r>
          </w:p>
        </w:tc>
        <w:tc>
          <w:tcPr>
            <w:tcW w:w="1134" w:type="dxa"/>
            <w:shd w:val="clear" w:color="auto" w:fill="D9D9D9"/>
            <w:vAlign w:val="center"/>
          </w:tcPr>
          <w:p w14:paraId="4E3F6F1F" w14:textId="77777777" w:rsidR="00010E2E" w:rsidRDefault="00010E2E" w:rsidP="00382DF3">
            <w:pPr>
              <w:pStyle w:val="TableCentre"/>
              <w:rPr>
                <w:rStyle w:val="Strong"/>
                <w:rFonts w:cs="Arial"/>
                <w:szCs w:val="16"/>
              </w:rPr>
            </w:pPr>
            <w:r>
              <w:rPr>
                <w:b/>
                <w:bCs/>
                <w:snapToGrid w:val="0"/>
                <w:szCs w:val="16"/>
              </w:rPr>
              <w:t>CH</w:t>
            </w:r>
            <w:r>
              <w:rPr>
                <w:b/>
                <w:bCs/>
                <w:snapToGrid w:val="0"/>
                <w:szCs w:val="16"/>
                <w:vertAlign w:val="subscript"/>
              </w:rPr>
              <w:t>4</w:t>
            </w:r>
          </w:p>
        </w:tc>
        <w:tc>
          <w:tcPr>
            <w:tcW w:w="1275" w:type="dxa"/>
            <w:shd w:val="clear" w:color="auto" w:fill="D9D9D9"/>
            <w:vAlign w:val="center"/>
          </w:tcPr>
          <w:p w14:paraId="7296E68E" w14:textId="77777777" w:rsidR="00010E2E" w:rsidRDefault="00010E2E" w:rsidP="00382DF3">
            <w:pPr>
              <w:pStyle w:val="TableCentre"/>
              <w:rPr>
                <w:rStyle w:val="Strong"/>
                <w:rFonts w:cs="Arial"/>
                <w:szCs w:val="16"/>
              </w:rPr>
            </w:pPr>
            <w:r>
              <w:rPr>
                <w:b/>
                <w:bCs/>
                <w:snapToGrid w:val="0"/>
                <w:szCs w:val="16"/>
              </w:rPr>
              <w:t>N</w:t>
            </w:r>
            <w:r>
              <w:rPr>
                <w:b/>
                <w:bCs/>
                <w:snapToGrid w:val="0"/>
                <w:szCs w:val="16"/>
                <w:vertAlign w:val="subscript"/>
              </w:rPr>
              <w:t>2</w:t>
            </w:r>
            <w:r>
              <w:rPr>
                <w:b/>
                <w:bCs/>
                <w:snapToGrid w:val="0"/>
                <w:szCs w:val="16"/>
              </w:rPr>
              <w:t>O</w:t>
            </w:r>
          </w:p>
        </w:tc>
      </w:tr>
      <w:tr w:rsidR="00010E2E" w14:paraId="56431A74" w14:textId="77777777" w:rsidTr="00382DF3">
        <w:trPr>
          <w:cantSplit/>
        </w:trPr>
        <w:tc>
          <w:tcPr>
            <w:tcW w:w="3252" w:type="dxa"/>
          </w:tcPr>
          <w:p w14:paraId="03D9A185" w14:textId="77777777" w:rsidR="00010E2E" w:rsidRDefault="00010E2E">
            <w:pPr>
              <w:pStyle w:val="Table"/>
              <w:rPr>
                <w:szCs w:val="22"/>
              </w:rPr>
            </w:pPr>
            <w:r>
              <w:rPr>
                <w:szCs w:val="22"/>
              </w:rPr>
              <w:t>Natural gas distributed in a pipeline</w:t>
            </w:r>
          </w:p>
        </w:tc>
        <w:tc>
          <w:tcPr>
            <w:tcW w:w="1550" w:type="dxa"/>
          </w:tcPr>
          <w:p w14:paraId="4F160D55" w14:textId="77777777" w:rsidR="00010E2E" w:rsidRDefault="00010E2E">
            <w:pPr>
              <w:pStyle w:val="Table"/>
              <w:jc w:val="center"/>
              <w:rPr>
                <w:szCs w:val="22"/>
              </w:rPr>
            </w:pPr>
            <w:r>
              <w:rPr>
                <w:szCs w:val="22"/>
              </w:rPr>
              <w:t>39.3 × 10</w:t>
            </w:r>
            <w:r>
              <w:rPr>
                <w:szCs w:val="22"/>
                <w:vertAlign w:val="superscript"/>
              </w:rPr>
              <w:noBreakHyphen/>
              <w:t>3</w:t>
            </w:r>
          </w:p>
        </w:tc>
        <w:tc>
          <w:tcPr>
            <w:tcW w:w="1294" w:type="dxa"/>
          </w:tcPr>
          <w:p w14:paraId="1C0A618E" w14:textId="77777777" w:rsidR="00010E2E" w:rsidRDefault="00010E2E">
            <w:pPr>
              <w:pStyle w:val="Table"/>
              <w:jc w:val="center"/>
              <w:rPr>
                <w:szCs w:val="22"/>
              </w:rPr>
            </w:pPr>
            <w:r>
              <w:rPr>
                <w:szCs w:val="22"/>
              </w:rPr>
              <w:t>51.</w:t>
            </w:r>
            <w:r w:rsidR="00452E33">
              <w:rPr>
                <w:szCs w:val="22"/>
              </w:rPr>
              <w:t>4</w:t>
            </w:r>
          </w:p>
        </w:tc>
        <w:tc>
          <w:tcPr>
            <w:tcW w:w="1134" w:type="dxa"/>
          </w:tcPr>
          <w:p w14:paraId="554D38BC" w14:textId="77777777" w:rsidR="00010E2E" w:rsidRDefault="00010E2E">
            <w:pPr>
              <w:pStyle w:val="Table"/>
              <w:jc w:val="center"/>
              <w:rPr>
                <w:szCs w:val="22"/>
              </w:rPr>
            </w:pPr>
            <w:r>
              <w:rPr>
                <w:szCs w:val="22"/>
              </w:rPr>
              <w:t>0.1</w:t>
            </w:r>
          </w:p>
        </w:tc>
        <w:tc>
          <w:tcPr>
            <w:tcW w:w="1275" w:type="dxa"/>
          </w:tcPr>
          <w:p w14:paraId="0E866E53" w14:textId="77777777" w:rsidR="00010E2E" w:rsidRDefault="00010E2E">
            <w:pPr>
              <w:pStyle w:val="Table"/>
              <w:jc w:val="center"/>
              <w:rPr>
                <w:szCs w:val="22"/>
              </w:rPr>
            </w:pPr>
            <w:r>
              <w:rPr>
                <w:szCs w:val="22"/>
              </w:rPr>
              <w:t>0.03</w:t>
            </w:r>
          </w:p>
        </w:tc>
      </w:tr>
      <w:tr w:rsidR="00010E2E" w14:paraId="03BC9ABF" w14:textId="77777777" w:rsidTr="00382DF3">
        <w:trPr>
          <w:cantSplit/>
        </w:trPr>
        <w:tc>
          <w:tcPr>
            <w:tcW w:w="3252" w:type="dxa"/>
          </w:tcPr>
          <w:p w14:paraId="675AA5BC" w14:textId="77777777" w:rsidR="00010E2E" w:rsidRDefault="00010E2E">
            <w:pPr>
              <w:pStyle w:val="Table"/>
              <w:rPr>
                <w:szCs w:val="22"/>
              </w:rPr>
            </w:pPr>
            <w:r>
              <w:rPr>
                <w:szCs w:val="22"/>
              </w:rPr>
              <w:t>Coal seam methane that is captured for combustion</w:t>
            </w:r>
          </w:p>
        </w:tc>
        <w:tc>
          <w:tcPr>
            <w:tcW w:w="1550" w:type="dxa"/>
          </w:tcPr>
          <w:p w14:paraId="1B951615" w14:textId="77777777" w:rsidR="00010E2E" w:rsidRDefault="00010E2E">
            <w:pPr>
              <w:pStyle w:val="Table"/>
              <w:jc w:val="center"/>
              <w:rPr>
                <w:szCs w:val="22"/>
              </w:rPr>
            </w:pPr>
            <w:r>
              <w:rPr>
                <w:szCs w:val="22"/>
              </w:rPr>
              <w:t>37.7 × 10</w:t>
            </w:r>
            <w:r>
              <w:rPr>
                <w:szCs w:val="22"/>
                <w:vertAlign w:val="superscript"/>
              </w:rPr>
              <w:noBreakHyphen/>
              <w:t>3</w:t>
            </w:r>
          </w:p>
        </w:tc>
        <w:tc>
          <w:tcPr>
            <w:tcW w:w="1294" w:type="dxa"/>
          </w:tcPr>
          <w:p w14:paraId="417CF5FA" w14:textId="77777777" w:rsidR="00010E2E" w:rsidRDefault="00010E2E">
            <w:pPr>
              <w:pStyle w:val="Table"/>
              <w:jc w:val="center"/>
              <w:rPr>
                <w:szCs w:val="22"/>
              </w:rPr>
            </w:pPr>
            <w:r>
              <w:rPr>
                <w:szCs w:val="22"/>
              </w:rPr>
              <w:t>51.</w:t>
            </w:r>
            <w:r w:rsidR="00452E33">
              <w:rPr>
                <w:szCs w:val="22"/>
              </w:rPr>
              <w:t>4</w:t>
            </w:r>
          </w:p>
        </w:tc>
        <w:tc>
          <w:tcPr>
            <w:tcW w:w="1134" w:type="dxa"/>
          </w:tcPr>
          <w:p w14:paraId="71F54332" w14:textId="77777777" w:rsidR="00010E2E" w:rsidRDefault="00010E2E">
            <w:pPr>
              <w:pStyle w:val="Table"/>
              <w:jc w:val="center"/>
              <w:rPr>
                <w:szCs w:val="22"/>
              </w:rPr>
            </w:pPr>
            <w:r>
              <w:rPr>
                <w:szCs w:val="22"/>
              </w:rPr>
              <w:t>0.2</w:t>
            </w:r>
          </w:p>
        </w:tc>
        <w:tc>
          <w:tcPr>
            <w:tcW w:w="1275" w:type="dxa"/>
          </w:tcPr>
          <w:p w14:paraId="691FCB06" w14:textId="77777777" w:rsidR="00010E2E" w:rsidRDefault="00010E2E">
            <w:pPr>
              <w:pStyle w:val="Table"/>
              <w:jc w:val="center"/>
              <w:rPr>
                <w:szCs w:val="22"/>
              </w:rPr>
            </w:pPr>
            <w:r>
              <w:rPr>
                <w:szCs w:val="22"/>
              </w:rPr>
              <w:t>0.03</w:t>
            </w:r>
          </w:p>
        </w:tc>
      </w:tr>
      <w:tr w:rsidR="00010E2E" w14:paraId="1152892A" w14:textId="77777777" w:rsidTr="00382DF3">
        <w:trPr>
          <w:cantSplit/>
        </w:trPr>
        <w:tc>
          <w:tcPr>
            <w:tcW w:w="3252" w:type="dxa"/>
          </w:tcPr>
          <w:p w14:paraId="758944A2" w14:textId="77777777" w:rsidR="00010E2E" w:rsidRDefault="00010E2E">
            <w:pPr>
              <w:pStyle w:val="Table"/>
              <w:rPr>
                <w:szCs w:val="22"/>
              </w:rPr>
            </w:pPr>
            <w:r>
              <w:rPr>
                <w:szCs w:val="22"/>
              </w:rPr>
              <w:t>Coal mine waste gas that is captured for combustion</w:t>
            </w:r>
          </w:p>
        </w:tc>
        <w:tc>
          <w:tcPr>
            <w:tcW w:w="1550" w:type="dxa"/>
          </w:tcPr>
          <w:p w14:paraId="2E1B0459" w14:textId="77777777" w:rsidR="00010E2E" w:rsidRDefault="00010E2E">
            <w:pPr>
              <w:pStyle w:val="Table"/>
              <w:jc w:val="center"/>
              <w:rPr>
                <w:szCs w:val="22"/>
              </w:rPr>
            </w:pPr>
            <w:r>
              <w:rPr>
                <w:szCs w:val="22"/>
              </w:rPr>
              <w:t>37.7 × 10</w:t>
            </w:r>
            <w:r>
              <w:rPr>
                <w:szCs w:val="22"/>
                <w:vertAlign w:val="superscript"/>
              </w:rPr>
              <w:noBreakHyphen/>
              <w:t>3</w:t>
            </w:r>
          </w:p>
        </w:tc>
        <w:tc>
          <w:tcPr>
            <w:tcW w:w="1294" w:type="dxa"/>
          </w:tcPr>
          <w:p w14:paraId="5D8289CB" w14:textId="77777777" w:rsidR="00010E2E" w:rsidRDefault="00010E2E">
            <w:pPr>
              <w:pStyle w:val="Table"/>
              <w:jc w:val="center"/>
              <w:rPr>
                <w:szCs w:val="22"/>
              </w:rPr>
            </w:pPr>
            <w:r>
              <w:rPr>
                <w:szCs w:val="22"/>
              </w:rPr>
              <w:t>51.</w:t>
            </w:r>
            <w:r w:rsidR="00452E33">
              <w:rPr>
                <w:szCs w:val="22"/>
              </w:rPr>
              <w:t>9</w:t>
            </w:r>
          </w:p>
        </w:tc>
        <w:tc>
          <w:tcPr>
            <w:tcW w:w="1134" w:type="dxa"/>
          </w:tcPr>
          <w:p w14:paraId="73ED2B2D" w14:textId="77777777" w:rsidR="00010E2E" w:rsidRDefault="00AA33D1">
            <w:pPr>
              <w:pStyle w:val="Table"/>
              <w:jc w:val="center"/>
              <w:rPr>
                <w:szCs w:val="22"/>
              </w:rPr>
            </w:pPr>
            <w:r>
              <w:rPr>
                <w:szCs w:val="22"/>
              </w:rPr>
              <w:t>4.1</w:t>
            </w:r>
          </w:p>
        </w:tc>
        <w:tc>
          <w:tcPr>
            <w:tcW w:w="1275" w:type="dxa"/>
          </w:tcPr>
          <w:p w14:paraId="6C9E55E8" w14:textId="77777777" w:rsidR="00010E2E" w:rsidRDefault="00010E2E">
            <w:pPr>
              <w:pStyle w:val="Table"/>
              <w:jc w:val="center"/>
              <w:rPr>
                <w:szCs w:val="22"/>
              </w:rPr>
            </w:pPr>
            <w:r>
              <w:rPr>
                <w:szCs w:val="22"/>
              </w:rPr>
              <w:t>0.03</w:t>
            </w:r>
          </w:p>
        </w:tc>
      </w:tr>
      <w:tr w:rsidR="00010E2E" w14:paraId="588890E1" w14:textId="77777777" w:rsidTr="00382DF3">
        <w:trPr>
          <w:cantSplit/>
        </w:trPr>
        <w:tc>
          <w:tcPr>
            <w:tcW w:w="3252" w:type="dxa"/>
          </w:tcPr>
          <w:p w14:paraId="2664C8AE" w14:textId="77777777" w:rsidR="00010E2E" w:rsidRDefault="00010E2E">
            <w:pPr>
              <w:pStyle w:val="Table"/>
              <w:rPr>
                <w:szCs w:val="22"/>
              </w:rPr>
            </w:pPr>
            <w:r>
              <w:rPr>
                <w:szCs w:val="22"/>
              </w:rPr>
              <w:t>Compressed natural gas</w:t>
            </w:r>
            <w:r w:rsidR="00AB1F26">
              <w:rPr>
                <w:szCs w:val="22"/>
              </w:rPr>
              <w:t xml:space="preserve"> (reverting to standard conditions)</w:t>
            </w:r>
          </w:p>
        </w:tc>
        <w:tc>
          <w:tcPr>
            <w:tcW w:w="1550" w:type="dxa"/>
          </w:tcPr>
          <w:p w14:paraId="03738C70" w14:textId="77777777" w:rsidR="00010E2E" w:rsidRDefault="00010E2E">
            <w:pPr>
              <w:pStyle w:val="Table"/>
              <w:jc w:val="center"/>
              <w:rPr>
                <w:szCs w:val="22"/>
              </w:rPr>
            </w:pPr>
            <w:r>
              <w:rPr>
                <w:szCs w:val="22"/>
              </w:rPr>
              <w:t>39.3 × 10</w:t>
            </w:r>
            <w:r>
              <w:rPr>
                <w:szCs w:val="22"/>
                <w:vertAlign w:val="superscript"/>
              </w:rPr>
              <w:noBreakHyphen/>
              <w:t>3</w:t>
            </w:r>
          </w:p>
        </w:tc>
        <w:tc>
          <w:tcPr>
            <w:tcW w:w="1294" w:type="dxa"/>
          </w:tcPr>
          <w:p w14:paraId="02DF5445" w14:textId="77777777" w:rsidR="00010E2E" w:rsidRDefault="00010E2E">
            <w:pPr>
              <w:pStyle w:val="Table"/>
              <w:jc w:val="center"/>
              <w:rPr>
                <w:szCs w:val="22"/>
              </w:rPr>
            </w:pPr>
            <w:r>
              <w:rPr>
                <w:szCs w:val="22"/>
              </w:rPr>
              <w:t>51.</w:t>
            </w:r>
            <w:r w:rsidR="00452E33">
              <w:rPr>
                <w:szCs w:val="22"/>
              </w:rPr>
              <w:t>4</w:t>
            </w:r>
          </w:p>
        </w:tc>
        <w:tc>
          <w:tcPr>
            <w:tcW w:w="1134" w:type="dxa"/>
          </w:tcPr>
          <w:p w14:paraId="4CB09BA7" w14:textId="77777777" w:rsidR="00010E2E" w:rsidRDefault="00010E2E">
            <w:pPr>
              <w:pStyle w:val="Table"/>
              <w:jc w:val="center"/>
              <w:rPr>
                <w:szCs w:val="22"/>
              </w:rPr>
            </w:pPr>
            <w:r>
              <w:rPr>
                <w:szCs w:val="22"/>
              </w:rPr>
              <w:t>0.1</w:t>
            </w:r>
          </w:p>
        </w:tc>
        <w:tc>
          <w:tcPr>
            <w:tcW w:w="1275" w:type="dxa"/>
          </w:tcPr>
          <w:p w14:paraId="2E50458A" w14:textId="77777777" w:rsidR="00010E2E" w:rsidRDefault="00010E2E">
            <w:pPr>
              <w:pStyle w:val="Table"/>
              <w:jc w:val="center"/>
              <w:rPr>
                <w:szCs w:val="22"/>
              </w:rPr>
            </w:pPr>
            <w:r>
              <w:rPr>
                <w:szCs w:val="22"/>
              </w:rPr>
              <w:t>0.03</w:t>
            </w:r>
          </w:p>
        </w:tc>
      </w:tr>
      <w:tr w:rsidR="00010E2E" w14:paraId="461037E1" w14:textId="77777777" w:rsidTr="00382DF3">
        <w:trPr>
          <w:cantSplit/>
        </w:trPr>
        <w:tc>
          <w:tcPr>
            <w:tcW w:w="3252" w:type="dxa"/>
          </w:tcPr>
          <w:p w14:paraId="0A2AE81A" w14:textId="77777777" w:rsidR="00010E2E" w:rsidRPr="003D006B" w:rsidRDefault="00010E2E">
            <w:pPr>
              <w:pStyle w:val="Table"/>
              <w:rPr>
                <w:szCs w:val="22"/>
              </w:rPr>
            </w:pPr>
            <w:r w:rsidRPr="00F80C4A">
              <w:rPr>
                <w:szCs w:val="22"/>
              </w:rPr>
              <w:t>Unprocessed natural gas</w:t>
            </w:r>
          </w:p>
        </w:tc>
        <w:tc>
          <w:tcPr>
            <w:tcW w:w="1550" w:type="dxa"/>
          </w:tcPr>
          <w:p w14:paraId="2B16D130" w14:textId="77777777" w:rsidR="00010E2E" w:rsidRPr="00E811AD" w:rsidRDefault="00010E2E">
            <w:pPr>
              <w:pStyle w:val="Table"/>
              <w:jc w:val="center"/>
              <w:rPr>
                <w:szCs w:val="22"/>
              </w:rPr>
            </w:pPr>
            <w:r w:rsidRPr="003D006B">
              <w:rPr>
                <w:szCs w:val="22"/>
              </w:rPr>
              <w:t>39.3 × 10</w:t>
            </w:r>
            <w:r w:rsidRPr="00AF7A86">
              <w:rPr>
                <w:szCs w:val="22"/>
                <w:vertAlign w:val="superscript"/>
              </w:rPr>
              <w:noBreakHyphen/>
              <w:t>3</w:t>
            </w:r>
          </w:p>
        </w:tc>
        <w:tc>
          <w:tcPr>
            <w:tcW w:w="1294" w:type="dxa"/>
          </w:tcPr>
          <w:p w14:paraId="2563EA91" w14:textId="77777777" w:rsidR="00010E2E" w:rsidRPr="00EA1652" w:rsidRDefault="00010E2E">
            <w:pPr>
              <w:pStyle w:val="Table"/>
              <w:jc w:val="center"/>
              <w:rPr>
                <w:szCs w:val="22"/>
              </w:rPr>
            </w:pPr>
            <w:r w:rsidRPr="00EA1652">
              <w:rPr>
                <w:szCs w:val="22"/>
              </w:rPr>
              <w:t>51.</w:t>
            </w:r>
            <w:r w:rsidR="00452E33">
              <w:rPr>
                <w:szCs w:val="22"/>
              </w:rPr>
              <w:t>4</w:t>
            </w:r>
          </w:p>
        </w:tc>
        <w:tc>
          <w:tcPr>
            <w:tcW w:w="1134" w:type="dxa"/>
          </w:tcPr>
          <w:p w14:paraId="052A8523" w14:textId="77777777" w:rsidR="00010E2E" w:rsidRPr="00F80C4A" w:rsidRDefault="00010E2E">
            <w:pPr>
              <w:pStyle w:val="Table"/>
              <w:jc w:val="center"/>
              <w:rPr>
                <w:szCs w:val="22"/>
              </w:rPr>
            </w:pPr>
            <w:r w:rsidRPr="00F80C4A">
              <w:rPr>
                <w:szCs w:val="22"/>
              </w:rPr>
              <w:t>0.1</w:t>
            </w:r>
          </w:p>
        </w:tc>
        <w:tc>
          <w:tcPr>
            <w:tcW w:w="1275" w:type="dxa"/>
          </w:tcPr>
          <w:p w14:paraId="4B4235A1" w14:textId="77777777" w:rsidR="00010E2E" w:rsidRPr="00F80C4A" w:rsidRDefault="00010E2E">
            <w:pPr>
              <w:pStyle w:val="Table"/>
              <w:jc w:val="center"/>
              <w:rPr>
                <w:szCs w:val="22"/>
              </w:rPr>
            </w:pPr>
            <w:r w:rsidRPr="00F80C4A">
              <w:rPr>
                <w:szCs w:val="22"/>
              </w:rPr>
              <w:t>0.03</w:t>
            </w:r>
          </w:p>
        </w:tc>
      </w:tr>
      <w:tr w:rsidR="00010E2E" w14:paraId="4A194670" w14:textId="77777777" w:rsidTr="00382DF3">
        <w:trPr>
          <w:cantSplit/>
        </w:trPr>
        <w:tc>
          <w:tcPr>
            <w:tcW w:w="3252" w:type="dxa"/>
          </w:tcPr>
          <w:p w14:paraId="773C9D22" w14:textId="77777777" w:rsidR="00010E2E" w:rsidRPr="003D006B" w:rsidRDefault="00010E2E">
            <w:pPr>
              <w:pStyle w:val="Table"/>
              <w:rPr>
                <w:szCs w:val="22"/>
              </w:rPr>
            </w:pPr>
            <w:r w:rsidRPr="00F80C4A">
              <w:rPr>
                <w:szCs w:val="22"/>
              </w:rPr>
              <w:t xml:space="preserve">Ethane </w:t>
            </w:r>
          </w:p>
        </w:tc>
        <w:tc>
          <w:tcPr>
            <w:tcW w:w="1550" w:type="dxa"/>
          </w:tcPr>
          <w:p w14:paraId="6B651EDB" w14:textId="77777777" w:rsidR="00010E2E" w:rsidRPr="00E811AD" w:rsidRDefault="000B79B3">
            <w:pPr>
              <w:pStyle w:val="Table"/>
              <w:jc w:val="center"/>
              <w:rPr>
                <w:szCs w:val="22"/>
              </w:rPr>
            </w:pPr>
            <w:r w:rsidRPr="003D006B">
              <w:rPr>
                <w:szCs w:val="22"/>
              </w:rPr>
              <w:t>62.9 × 10</w:t>
            </w:r>
            <w:r w:rsidRPr="00AF7A86">
              <w:rPr>
                <w:szCs w:val="22"/>
                <w:vertAlign w:val="superscript"/>
              </w:rPr>
              <w:noBreakHyphen/>
              <w:t>3</w:t>
            </w:r>
          </w:p>
        </w:tc>
        <w:tc>
          <w:tcPr>
            <w:tcW w:w="1294" w:type="dxa"/>
          </w:tcPr>
          <w:p w14:paraId="215D9AFE" w14:textId="77777777" w:rsidR="00010E2E" w:rsidRPr="00EA1652" w:rsidRDefault="00010E2E">
            <w:pPr>
              <w:pStyle w:val="Table"/>
              <w:jc w:val="center"/>
              <w:rPr>
                <w:szCs w:val="22"/>
              </w:rPr>
            </w:pPr>
            <w:r w:rsidRPr="00EA1652">
              <w:rPr>
                <w:szCs w:val="22"/>
              </w:rPr>
              <w:t>56.</w:t>
            </w:r>
            <w:r w:rsidR="00452E33">
              <w:rPr>
                <w:szCs w:val="22"/>
              </w:rPr>
              <w:t>5</w:t>
            </w:r>
          </w:p>
        </w:tc>
        <w:tc>
          <w:tcPr>
            <w:tcW w:w="1134" w:type="dxa"/>
          </w:tcPr>
          <w:p w14:paraId="1F0FB740" w14:textId="77777777" w:rsidR="00010E2E" w:rsidRPr="00F80C4A" w:rsidRDefault="00010E2E">
            <w:pPr>
              <w:pStyle w:val="Table"/>
              <w:jc w:val="center"/>
              <w:rPr>
                <w:szCs w:val="22"/>
              </w:rPr>
            </w:pPr>
            <w:r w:rsidRPr="00F80C4A">
              <w:rPr>
                <w:szCs w:val="22"/>
              </w:rPr>
              <w:t>0.0</w:t>
            </w:r>
            <w:r w:rsidR="00AA33D1">
              <w:rPr>
                <w:szCs w:val="22"/>
              </w:rPr>
              <w:t>3</w:t>
            </w:r>
          </w:p>
        </w:tc>
        <w:tc>
          <w:tcPr>
            <w:tcW w:w="1275" w:type="dxa"/>
          </w:tcPr>
          <w:p w14:paraId="38F5D5D6" w14:textId="77777777" w:rsidR="00010E2E" w:rsidRPr="00F80C4A" w:rsidRDefault="00010E2E">
            <w:pPr>
              <w:pStyle w:val="Table"/>
              <w:jc w:val="center"/>
              <w:rPr>
                <w:szCs w:val="22"/>
              </w:rPr>
            </w:pPr>
            <w:r w:rsidRPr="00F80C4A">
              <w:rPr>
                <w:szCs w:val="22"/>
              </w:rPr>
              <w:t>0.03</w:t>
            </w:r>
          </w:p>
        </w:tc>
      </w:tr>
      <w:tr w:rsidR="00010E2E" w14:paraId="6BD4D9EA" w14:textId="77777777" w:rsidTr="00382DF3">
        <w:trPr>
          <w:cantSplit/>
        </w:trPr>
        <w:tc>
          <w:tcPr>
            <w:tcW w:w="3252" w:type="dxa"/>
          </w:tcPr>
          <w:p w14:paraId="46B00C68" w14:textId="77777777" w:rsidR="00010E2E" w:rsidRPr="003D006B" w:rsidRDefault="00010E2E">
            <w:pPr>
              <w:pStyle w:val="Table"/>
              <w:rPr>
                <w:szCs w:val="22"/>
              </w:rPr>
            </w:pPr>
            <w:r w:rsidRPr="00F80C4A">
              <w:rPr>
                <w:szCs w:val="22"/>
              </w:rPr>
              <w:t>Coke oven gas</w:t>
            </w:r>
          </w:p>
        </w:tc>
        <w:tc>
          <w:tcPr>
            <w:tcW w:w="1550" w:type="dxa"/>
          </w:tcPr>
          <w:p w14:paraId="6AD8C3D3" w14:textId="77777777" w:rsidR="00010E2E" w:rsidRPr="00E811AD" w:rsidRDefault="00010E2E">
            <w:pPr>
              <w:pStyle w:val="Table"/>
              <w:jc w:val="center"/>
              <w:rPr>
                <w:szCs w:val="22"/>
              </w:rPr>
            </w:pPr>
            <w:r w:rsidRPr="003D006B">
              <w:rPr>
                <w:szCs w:val="22"/>
              </w:rPr>
              <w:t>18.1 × 10</w:t>
            </w:r>
            <w:r w:rsidRPr="00AF7A86">
              <w:rPr>
                <w:szCs w:val="22"/>
                <w:vertAlign w:val="superscript"/>
              </w:rPr>
              <w:noBreakHyphen/>
              <w:t>3</w:t>
            </w:r>
          </w:p>
        </w:tc>
        <w:tc>
          <w:tcPr>
            <w:tcW w:w="1294" w:type="dxa"/>
          </w:tcPr>
          <w:p w14:paraId="18DD71E3" w14:textId="77777777" w:rsidR="00010E2E" w:rsidRPr="00EA1652" w:rsidRDefault="00010E2E">
            <w:pPr>
              <w:pStyle w:val="Table"/>
              <w:jc w:val="center"/>
              <w:rPr>
                <w:szCs w:val="22"/>
              </w:rPr>
            </w:pPr>
            <w:r w:rsidRPr="00EA1652">
              <w:rPr>
                <w:szCs w:val="22"/>
              </w:rPr>
              <w:t>3</w:t>
            </w:r>
            <w:r w:rsidR="00452E33">
              <w:rPr>
                <w:szCs w:val="22"/>
              </w:rPr>
              <w:t>7.0</w:t>
            </w:r>
          </w:p>
        </w:tc>
        <w:tc>
          <w:tcPr>
            <w:tcW w:w="1134" w:type="dxa"/>
          </w:tcPr>
          <w:p w14:paraId="0266CB3D" w14:textId="77777777" w:rsidR="00010E2E" w:rsidRPr="00F80C4A" w:rsidRDefault="00010E2E">
            <w:pPr>
              <w:pStyle w:val="Table"/>
              <w:jc w:val="center"/>
              <w:rPr>
                <w:szCs w:val="22"/>
              </w:rPr>
            </w:pPr>
            <w:r w:rsidRPr="00F80C4A">
              <w:rPr>
                <w:szCs w:val="22"/>
              </w:rPr>
              <w:t>0.03</w:t>
            </w:r>
          </w:p>
        </w:tc>
        <w:tc>
          <w:tcPr>
            <w:tcW w:w="1275" w:type="dxa"/>
          </w:tcPr>
          <w:p w14:paraId="3C8F985C" w14:textId="77777777" w:rsidR="00010E2E" w:rsidRPr="00F80C4A" w:rsidRDefault="00010E2E">
            <w:pPr>
              <w:pStyle w:val="Table"/>
              <w:jc w:val="center"/>
              <w:rPr>
                <w:szCs w:val="22"/>
              </w:rPr>
            </w:pPr>
            <w:r w:rsidRPr="00F80C4A">
              <w:rPr>
                <w:szCs w:val="22"/>
              </w:rPr>
              <w:t>0.0</w:t>
            </w:r>
            <w:r w:rsidR="00AA33D1">
              <w:rPr>
                <w:szCs w:val="22"/>
              </w:rPr>
              <w:t>5</w:t>
            </w:r>
          </w:p>
        </w:tc>
      </w:tr>
      <w:tr w:rsidR="00010E2E" w14:paraId="255F72A8" w14:textId="77777777" w:rsidTr="00382DF3">
        <w:trPr>
          <w:cantSplit/>
        </w:trPr>
        <w:tc>
          <w:tcPr>
            <w:tcW w:w="3252" w:type="dxa"/>
          </w:tcPr>
          <w:p w14:paraId="5FB8C457" w14:textId="77777777" w:rsidR="00010E2E" w:rsidRPr="003D006B" w:rsidRDefault="00010E2E">
            <w:pPr>
              <w:pStyle w:val="Table"/>
              <w:rPr>
                <w:szCs w:val="22"/>
              </w:rPr>
            </w:pPr>
            <w:r w:rsidRPr="00F80C4A">
              <w:rPr>
                <w:szCs w:val="22"/>
              </w:rPr>
              <w:t>Blast furnace gas</w:t>
            </w:r>
          </w:p>
        </w:tc>
        <w:tc>
          <w:tcPr>
            <w:tcW w:w="1550" w:type="dxa"/>
          </w:tcPr>
          <w:p w14:paraId="4E5131D2" w14:textId="77777777" w:rsidR="00010E2E" w:rsidRPr="00E811AD" w:rsidRDefault="00010E2E">
            <w:pPr>
              <w:pStyle w:val="Table"/>
              <w:jc w:val="center"/>
              <w:rPr>
                <w:szCs w:val="22"/>
              </w:rPr>
            </w:pPr>
            <w:r w:rsidRPr="003D006B">
              <w:rPr>
                <w:szCs w:val="22"/>
              </w:rPr>
              <w:t>4.0 × 10</w:t>
            </w:r>
            <w:r w:rsidRPr="00AF7A86">
              <w:rPr>
                <w:szCs w:val="22"/>
                <w:vertAlign w:val="superscript"/>
              </w:rPr>
              <w:noBreakHyphen/>
              <w:t>3</w:t>
            </w:r>
          </w:p>
        </w:tc>
        <w:tc>
          <w:tcPr>
            <w:tcW w:w="1294" w:type="dxa"/>
          </w:tcPr>
          <w:p w14:paraId="1BF11491" w14:textId="77777777" w:rsidR="00010E2E" w:rsidRPr="00EA1652" w:rsidRDefault="00010E2E">
            <w:pPr>
              <w:pStyle w:val="Table"/>
              <w:jc w:val="center"/>
              <w:rPr>
                <w:szCs w:val="22"/>
              </w:rPr>
            </w:pPr>
            <w:r w:rsidRPr="00EA1652">
              <w:rPr>
                <w:szCs w:val="22"/>
              </w:rPr>
              <w:t>23</w:t>
            </w:r>
            <w:r w:rsidR="00452E33">
              <w:rPr>
                <w:szCs w:val="22"/>
              </w:rPr>
              <w:t>4.0</w:t>
            </w:r>
          </w:p>
        </w:tc>
        <w:tc>
          <w:tcPr>
            <w:tcW w:w="1134" w:type="dxa"/>
          </w:tcPr>
          <w:p w14:paraId="0AAEB8E6" w14:textId="77777777" w:rsidR="00010E2E" w:rsidRPr="00F80C4A" w:rsidRDefault="00010E2E">
            <w:pPr>
              <w:pStyle w:val="Table"/>
              <w:jc w:val="center"/>
              <w:rPr>
                <w:szCs w:val="22"/>
              </w:rPr>
            </w:pPr>
            <w:r w:rsidRPr="00F80C4A">
              <w:rPr>
                <w:szCs w:val="22"/>
              </w:rPr>
              <w:t>0.0</w:t>
            </w:r>
          </w:p>
        </w:tc>
        <w:tc>
          <w:tcPr>
            <w:tcW w:w="1275" w:type="dxa"/>
          </w:tcPr>
          <w:p w14:paraId="6BF80833" w14:textId="77777777" w:rsidR="00010E2E" w:rsidRPr="00F80C4A" w:rsidRDefault="00010E2E">
            <w:pPr>
              <w:pStyle w:val="Table"/>
              <w:jc w:val="center"/>
              <w:rPr>
                <w:szCs w:val="22"/>
              </w:rPr>
            </w:pPr>
            <w:r w:rsidRPr="00F80C4A">
              <w:rPr>
                <w:szCs w:val="22"/>
              </w:rPr>
              <w:t>0.03</w:t>
            </w:r>
          </w:p>
        </w:tc>
      </w:tr>
      <w:tr w:rsidR="00010E2E" w14:paraId="7C210D6C" w14:textId="77777777" w:rsidTr="00382DF3">
        <w:trPr>
          <w:cantSplit/>
        </w:trPr>
        <w:tc>
          <w:tcPr>
            <w:tcW w:w="3252" w:type="dxa"/>
          </w:tcPr>
          <w:p w14:paraId="59BE60AF" w14:textId="77777777" w:rsidR="00010E2E" w:rsidRPr="003D006B" w:rsidRDefault="00010E2E">
            <w:pPr>
              <w:pStyle w:val="Table"/>
              <w:rPr>
                <w:szCs w:val="22"/>
              </w:rPr>
            </w:pPr>
            <w:r w:rsidRPr="00F80C4A">
              <w:rPr>
                <w:szCs w:val="22"/>
              </w:rPr>
              <w:t xml:space="preserve">Town gas </w:t>
            </w:r>
          </w:p>
        </w:tc>
        <w:tc>
          <w:tcPr>
            <w:tcW w:w="1550" w:type="dxa"/>
          </w:tcPr>
          <w:p w14:paraId="7790089D" w14:textId="77777777" w:rsidR="00010E2E" w:rsidRPr="00E811AD" w:rsidRDefault="00010E2E">
            <w:pPr>
              <w:pStyle w:val="Table"/>
              <w:jc w:val="center"/>
              <w:rPr>
                <w:szCs w:val="22"/>
              </w:rPr>
            </w:pPr>
            <w:r w:rsidRPr="003D006B">
              <w:rPr>
                <w:szCs w:val="22"/>
              </w:rPr>
              <w:t>39.0 × 10</w:t>
            </w:r>
            <w:r w:rsidRPr="00AF7A86">
              <w:rPr>
                <w:szCs w:val="22"/>
                <w:vertAlign w:val="superscript"/>
              </w:rPr>
              <w:noBreakHyphen/>
              <w:t>3</w:t>
            </w:r>
          </w:p>
        </w:tc>
        <w:tc>
          <w:tcPr>
            <w:tcW w:w="1294" w:type="dxa"/>
          </w:tcPr>
          <w:p w14:paraId="6BA77694" w14:textId="77777777" w:rsidR="00010E2E" w:rsidRPr="00EA1652" w:rsidRDefault="00452E33">
            <w:pPr>
              <w:pStyle w:val="Table"/>
              <w:jc w:val="center"/>
              <w:rPr>
                <w:szCs w:val="22"/>
              </w:rPr>
            </w:pPr>
            <w:r>
              <w:rPr>
                <w:szCs w:val="22"/>
              </w:rPr>
              <w:t>60.2</w:t>
            </w:r>
          </w:p>
        </w:tc>
        <w:tc>
          <w:tcPr>
            <w:tcW w:w="1134" w:type="dxa"/>
          </w:tcPr>
          <w:p w14:paraId="127CFC3C" w14:textId="77777777" w:rsidR="00010E2E" w:rsidRPr="00F80C4A" w:rsidRDefault="00010E2E">
            <w:pPr>
              <w:pStyle w:val="Table"/>
              <w:jc w:val="center"/>
              <w:rPr>
                <w:szCs w:val="22"/>
              </w:rPr>
            </w:pPr>
            <w:r w:rsidRPr="00F80C4A">
              <w:rPr>
                <w:szCs w:val="22"/>
              </w:rPr>
              <w:t>0.0</w:t>
            </w:r>
          </w:p>
        </w:tc>
        <w:tc>
          <w:tcPr>
            <w:tcW w:w="1275" w:type="dxa"/>
          </w:tcPr>
          <w:p w14:paraId="5FE555FF" w14:textId="77777777" w:rsidR="00010E2E" w:rsidRPr="00F80C4A" w:rsidRDefault="00010E2E">
            <w:pPr>
              <w:pStyle w:val="Table"/>
              <w:jc w:val="center"/>
              <w:rPr>
                <w:szCs w:val="22"/>
              </w:rPr>
            </w:pPr>
            <w:r w:rsidRPr="00F80C4A">
              <w:rPr>
                <w:szCs w:val="22"/>
              </w:rPr>
              <w:t>0.03</w:t>
            </w:r>
          </w:p>
        </w:tc>
      </w:tr>
      <w:tr w:rsidR="00010E2E" w14:paraId="177C8E25" w14:textId="77777777" w:rsidTr="00382DF3">
        <w:trPr>
          <w:cantSplit/>
        </w:trPr>
        <w:tc>
          <w:tcPr>
            <w:tcW w:w="3252" w:type="dxa"/>
          </w:tcPr>
          <w:p w14:paraId="1B0CD6C2" w14:textId="77777777" w:rsidR="00010E2E" w:rsidRDefault="00010E2E">
            <w:pPr>
              <w:pStyle w:val="Table"/>
              <w:rPr>
                <w:szCs w:val="22"/>
              </w:rPr>
            </w:pPr>
            <w:r>
              <w:rPr>
                <w:szCs w:val="22"/>
              </w:rPr>
              <w:t>Liquefied natural gas</w:t>
            </w:r>
          </w:p>
        </w:tc>
        <w:tc>
          <w:tcPr>
            <w:tcW w:w="1550" w:type="dxa"/>
          </w:tcPr>
          <w:p w14:paraId="569780F4" w14:textId="77777777" w:rsidR="00010E2E" w:rsidRDefault="00010E2E">
            <w:pPr>
              <w:pStyle w:val="Table"/>
              <w:jc w:val="center"/>
              <w:rPr>
                <w:szCs w:val="22"/>
              </w:rPr>
            </w:pPr>
            <w:r>
              <w:rPr>
                <w:szCs w:val="22"/>
              </w:rPr>
              <w:t>25.3 GJ/kL</w:t>
            </w:r>
          </w:p>
        </w:tc>
        <w:tc>
          <w:tcPr>
            <w:tcW w:w="1294" w:type="dxa"/>
          </w:tcPr>
          <w:p w14:paraId="0D3AFE7D" w14:textId="77777777" w:rsidR="00010E2E" w:rsidRDefault="00010E2E">
            <w:pPr>
              <w:pStyle w:val="Table"/>
              <w:jc w:val="center"/>
              <w:rPr>
                <w:szCs w:val="22"/>
              </w:rPr>
            </w:pPr>
            <w:r>
              <w:rPr>
                <w:szCs w:val="22"/>
              </w:rPr>
              <w:t>51.</w:t>
            </w:r>
            <w:r w:rsidR="00452E33">
              <w:rPr>
                <w:szCs w:val="22"/>
              </w:rPr>
              <w:t>4</w:t>
            </w:r>
          </w:p>
        </w:tc>
        <w:tc>
          <w:tcPr>
            <w:tcW w:w="1134" w:type="dxa"/>
          </w:tcPr>
          <w:p w14:paraId="2B41BFD4" w14:textId="77777777" w:rsidR="00010E2E" w:rsidRDefault="00010E2E">
            <w:pPr>
              <w:pStyle w:val="Table"/>
              <w:jc w:val="center"/>
              <w:rPr>
                <w:szCs w:val="22"/>
              </w:rPr>
            </w:pPr>
            <w:r>
              <w:rPr>
                <w:szCs w:val="22"/>
              </w:rPr>
              <w:t>0.1</w:t>
            </w:r>
          </w:p>
        </w:tc>
        <w:tc>
          <w:tcPr>
            <w:tcW w:w="1275" w:type="dxa"/>
          </w:tcPr>
          <w:p w14:paraId="1468E742" w14:textId="77777777" w:rsidR="00010E2E" w:rsidRDefault="00010E2E">
            <w:pPr>
              <w:pStyle w:val="Table"/>
              <w:jc w:val="center"/>
              <w:rPr>
                <w:szCs w:val="22"/>
              </w:rPr>
            </w:pPr>
            <w:r>
              <w:rPr>
                <w:szCs w:val="22"/>
              </w:rPr>
              <w:t>0.03</w:t>
            </w:r>
          </w:p>
        </w:tc>
      </w:tr>
      <w:tr w:rsidR="00010E2E" w14:paraId="57E31DAB" w14:textId="77777777" w:rsidTr="00382DF3">
        <w:trPr>
          <w:cantSplit/>
        </w:trPr>
        <w:tc>
          <w:tcPr>
            <w:tcW w:w="3252" w:type="dxa"/>
          </w:tcPr>
          <w:p w14:paraId="2065D9A4" w14:textId="77777777" w:rsidR="00010E2E" w:rsidRDefault="00010E2E">
            <w:pPr>
              <w:pStyle w:val="Table"/>
              <w:rPr>
                <w:szCs w:val="22"/>
              </w:rPr>
            </w:pPr>
            <w:r>
              <w:rPr>
                <w:szCs w:val="22"/>
              </w:rPr>
              <w:t>Gaseous fossil fuels other than those mentioned in the items above</w:t>
            </w:r>
          </w:p>
        </w:tc>
        <w:tc>
          <w:tcPr>
            <w:tcW w:w="1550" w:type="dxa"/>
          </w:tcPr>
          <w:p w14:paraId="7E5B24E4" w14:textId="77777777" w:rsidR="00010E2E" w:rsidRDefault="00010E2E">
            <w:pPr>
              <w:pStyle w:val="Table"/>
              <w:jc w:val="center"/>
              <w:rPr>
                <w:szCs w:val="22"/>
              </w:rPr>
            </w:pPr>
            <w:r>
              <w:rPr>
                <w:szCs w:val="22"/>
              </w:rPr>
              <w:t>39.3 × 10</w:t>
            </w:r>
            <w:r>
              <w:rPr>
                <w:szCs w:val="22"/>
                <w:vertAlign w:val="superscript"/>
              </w:rPr>
              <w:noBreakHyphen/>
              <w:t>3</w:t>
            </w:r>
          </w:p>
        </w:tc>
        <w:tc>
          <w:tcPr>
            <w:tcW w:w="1294" w:type="dxa"/>
          </w:tcPr>
          <w:p w14:paraId="09A34780" w14:textId="77777777" w:rsidR="00010E2E" w:rsidRDefault="00010E2E">
            <w:pPr>
              <w:pStyle w:val="Table"/>
              <w:jc w:val="center"/>
              <w:rPr>
                <w:szCs w:val="22"/>
              </w:rPr>
            </w:pPr>
            <w:r>
              <w:rPr>
                <w:szCs w:val="22"/>
              </w:rPr>
              <w:t>51.</w:t>
            </w:r>
            <w:r w:rsidR="00452E33">
              <w:rPr>
                <w:szCs w:val="22"/>
              </w:rPr>
              <w:t>4</w:t>
            </w:r>
          </w:p>
        </w:tc>
        <w:tc>
          <w:tcPr>
            <w:tcW w:w="1134" w:type="dxa"/>
          </w:tcPr>
          <w:p w14:paraId="57FAB8F7" w14:textId="77777777" w:rsidR="00010E2E" w:rsidRDefault="00010E2E">
            <w:pPr>
              <w:pStyle w:val="Table"/>
              <w:jc w:val="center"/>
              <w:rPr>
                <w:szCs w:val="22"/>
              </w:rPr>
            </w:pPr>
            <w:r>
              <w:rPr>
                <w:szCs w:val="22"/>
              </w:rPr>
              <w:t>0.1</w:t>
            </w:r>
          </w:p>
        </w:tc>
        <w:tc>
          <w:tcPr>
            <w:tcW w:w="1275" w:type="dxa"/>
          </w:tcPr>
          <w:p w14:paraId="4896AFCD" w14:textId="77777777" w:rsidR="00010E2E" w:rsidRDefault="00010E2E">
            <w:pPr>
              <w:pStyle w:val="Table"/>
              <w:jc w:val="center"/>
              <w:rPr>
                <w:szCs w:val="22"/>
              </w:rPr>
            </w:pPr>
            <w:r>
              <w:rPr>
                <w:szCs w:val="22"/>
              </w:rPr>
              <w:t>0.03</w:t>
            </w:r>
          </w:p>
        </w:tc>
      </w:tr>
      <w:tr w:rsidR="00010E2E" w14:paraId="69C60478" w14:textId="77777777" w:rsidTr="00382DF3">
        <w:trPr>
          <w:cantSplit/>
        </w:trPr>
        <w:tc>
          <w:tcPr>
            <w:tcW w:w="3252" w:type="dxa"/>
          </w:tcPr>
          <w:p w14:paraId="3EF60CED" w14:textId="77777777" w:rsidR="00010E2E" w:rsidRDefault="00010E2E">
            <w:pPr>
              <w:pStyle w:val="Table"/>
              <w:rPr>
                <w:szCs w:val="22"/>
              </w:rPr>
            </w:pPr>
            <w:r>
              <w:rPr>
                <w:szCs w:val="22"/>
              </w:rPr>
              <w:t>Landfill biogas that is captured for combustion (methane only)</w:t>
            </w:r>
          </w:p>
        </w:tc>
        <w:tc>
          <w:tcPr>
            <w:tcW w:w="1550" w:type="dxa"/>
          </w:tcPr>
          <w:p w14:paraId="005AB7D8" w14:textId="77777777" w:rsidR="00010E2E" w:rsidRDefault="00010E2E">
            <w:pPr>
              <w:pStyle w:val="Table"/>
              <w:jc w:val="center"/>
              <w:rPr>
                <w:szCs w:val="22"/>
              </w:rPr>
            </w:pPr>
            <w:r>
              <w:rPr>
                <w:szCs w:val="22"/>
              </w:rPr>
              <w:t>37.7 × 10</w:t>
            </w:r>
            <w:r>
              <w:rPr>
                <w:szCs w:val="22"/>
                <w:vertAlign w:val="superscript"/>
              </w:rPr>
              <w:noBreakHyphen/>
              <w:t>3</w:t>
            </w:r>
          </w:p>
        </w:tc>
        <w:tc>
          <w:tcPr>
            <w:tcW w:w="1294" w:type="dxa"/>
          </w:tcPr>
          <w:p w14:paraId="334B817B" w14:textId="77777777" w:rsidR="00010E2E" w:rsidRDefault="00010E2E">
            <w:pPr>
              <w:pStyle w:val="Table"/>
              <w:jc w:val="center"/>
              <w:rPr>
                <w:szCs w:val="22"/>
              </w:rPr>
            </w:pPr>
            <w:r>
              <w:rPr>
                <w:szCs w:val="22"/>
              </w:rPr>
              <w:t>0.0</w:t>
            </w:r>
          </w:p>
        </w:tc>
        <w:tc>
          <w:tcPr>
            <w:tcW w:w="1134" w:type="dxa"/>
          </w:tcPr>
          <w:p w14:paraId="72B3255F" w14:textId="77777777" w:rsidR="00010E2E" w:rsidRDefault="00010E2E">
            <w:pPr>
              <w:pStyle w:val="Table"/>
              <w:jc w:val="center"/>
              <w:rPr>
                <w:szCs w:val="22"/>
              </w:rPr>
            </w:pPr>
            <w:r>
              <w:rPr>
                <w:szCs w:val="22"/>
              </w:rPr>
              <w:t>4.8</w:t>
            </w:r>
          </w:p>
        </w:tc>
        <w:tc>
          <w:tcPr>
            <w:tcW w:w="1275" w:type="dxa"/>
          </w:tcPr>
          <w:p w14:paraId="5DADA5FF" w14:textId="77777777" w:rsidR="00010E2E" w:rsidRDefault="00010E2E">
            <w:pPr>
              <w:pStyle w:val="Table"/>
              <w:jc w:val="center"/>
              <w:rPr>
                <w:szCs w:val="22"/>
              </w:rPr>
            </w:pPr>
            <w:r>
              <w:rPr>
                <w:szCs w:val="22"/>
              </w:rPr>
              <w:t>0.03</w:t>
            </w:r>
          </w:p>
        </w:tc>
      </w:tr>
      <w:tr w:rsidR="00010E2E" w14:paraId="1C48A38B" w14:textId="77777777" w:rsidTr="00382DF3">
        <w:trPr>
          <w:cantSplit/>
        </w:trPr>
        <w:tc>
          <w:tcPr>
            <w:tcW w:w="3252" w:type="dxa"/>
          </w:tcPr>
          <w:p w14:paraId="6CA671D1" w14:textId="77777777" w:rsidR="00010E2E" w:rsidRDefault="00010E2E">
            <w:pPr>
              <w:pStyle w:val="Table"/>
              <w:rPr>
                <w:szCs w:val="22"/>
              </w:rPr>
            </w:pPr>
            <w:r>
              <w:rPr>
                <w:szCs w:val="22"/>
              </w:rPr>
              <w:t>Sludge biogas that is captured for combustion (methane only)</w:t>
            </w:r>
          </w:p>
        </w:tc>
        <w:tc>
          <w:tcPr>
            <w:tcW w:w="1550" w:type="dxa"/>
          </w:tcPr>
          <w:p w14:paraId="4869534A" w14:textId="77777777" w:rsidR="00010E2E" w:rsidRDefault="00010E2E">
            <w:pPr>
              <w:pStyle w:val="Table"/>
              <w:jc w:val="center"/>
              <w:rPr>
                <w:szCs w:val="22"/>
              </w:rPr>
            </w:pPr>
            <w:r>
              <w:rPr>
                <w:szCs w:val="22"/>
              </w:rPr>
              <w:t>37.7 × 10</w:t>
            </w:r>
            <w:r>
              <w:rPr>
                <w:szCs w:val="22"/>
                <w:vertAlign w:val="superscript"/>
              </w:rPr>
              <w:noBreakHyphen/>
              <w:t>3</w:t>
            </w:r>
          </w:p>
        </w:tc>
        <w:tc>
          <w:tcPr>
            <w:tcW w:w="1294" w:type="dxa"/>
          </w:tcPr>
          <w:p w14:paraId="0BAD1B2C" w14:textId="77777777" w:rsidR="00010E2E" w:rsidRDefault="00010E2E">
            <w:pPr>
              <w:pStyle w:val="Table"/>
              <w:jc w:val="center"/>
              <w:rPr>
                <w:szCs w:val="22"/>
              </w:rPr>
            </w:pPr>
            <w:r>
              <w:rPr>
                <w:szCs w:val="22"/>
              </w:rPr>
              <w:t>0.0</w:t>
            </w:r>
          </w:p>
        </w:tc>
        <w:tc>
          <w:tcPr>
            <w:tcW w:w="1134" w:type="dxa"/>
          </w:tcPr>
          <w:p w14:paraId="0AF81FEF" w14:textId="77777777" w:rsidR="00010E2E" w:rsidRDefault="00010E2E">
            <w:pPr>
              <w:pStyle w:val="Table"/>
              <w:jc w:val="center"/>
              <w:rPr>
                <w:szCs w:val="22"/>
              </w:rPr>
            </w:pPr>
            <w:r>
              <w:rPr>
                <w:szCs w:val="22"/>
              </w:rPr>
              <w:t>4.8</w:t>
            </w:r>
          </w:p>
        </w:tc>
        <w:tc>
          <w:tcPr>
            <w:tcW w:w="1275" w:type="dxa"/>
          </w:tcPr>
          <w:p w14:paraId="6BEDC919" w14:textId="77777777" w:rsidR="00010E2E" w:rsidRDefault="00010E2E">
            <w:pPr>
              <w:pStyle w:val="Table"/>
              <w:jc w:val="center"/>
              <w:rPr>
                <w:szCs w:val="22"/>
              </w:rPr>
            </w:pPr>
            <w:r>
              <w:rPr>
                <w:szCs w:val="22"/>
              </w:rPr>
              <w:t>0.03</w:t>
            </w:r>
          </w:p>
        </w:tc>
      </w:tr>
      <w:tr w:rsidR="00010E2E" w14:paraId="2AB705B1" w14:textId="77777777" w:rsidTr="00382DF3">
        <w:trPr>
          <w:cantSplit/>
        </w:trPr>
        <w:tc>
          <w:tcPr>
            <w:tcW w:w="3252" w:type="dxa"/>
          </w:tcPr>
          <w:p w14:paraId="29B6CEDC" w14:textId="77777777" w:rsidR="00010E2E" w:rsidRDefault="00010E2E">
            <w:pPr>
              <w:pStyle w:val="Table"/>
              <w:rPr>
                <w:szCs w:val="22"/>
              </w:rPr>
            </w:pPr>
            <w:r>
              <w:rPr>
                <w:szCs w:val="22"/>
              </w:rPr>
              <w:t xml:space="preserve">A biogas that is captured for combustion, other than those mentioned in the items above </w:t>
            </w:r>
          </w:p>
        </w:tc>
        <w:tc>
          <w:tcPr>
            <w:tcW w:w="1550" w:type="dxa"/>
          </w:tcPr>
          <w:p w14:paraId="652A8CB6" w14:textId="77777777" w:rsidR="00010E2E" w:rsidRDefault="00010E2E">
            <w:pPr>
              <w:pStyle w:val="Table"/>
              <w:jc w:val="center"/>
              <w:rPr>
                <w:szCs w:val="22"/>
              </w:rPr>
            </w:pPr>
            <w:r>
              <w:rPr>
                <w:szCs w:val="22"/>
              </w:rPr>
              <w:t>37.7 × 10</w:t>
            </w:r>
            <w:r>
              <w:rPr>
                <w:szCs w:val="22"/>
                <w:vertAlign w:val="superscript"/>
              </w:rPr>
              <w:noBreakHyphen/>
              <w:t>3</w:t>
            </w:r>
          </w:p>
        </w:tc>
        <w:tc>
          <w:tcPr>
            <w:tcW w:w="1294" w:type="dxa"/>
          </w:tcPr>
          <w:p w14:paraId="2C650433" w14:textId="77777777" w:rsidR="00010E2E" w:rsidRDefault="00010E2E">
            <w:pPr>
              <w:pStyle w:val="Table"/>
              <w:jc w:val="center"/>
              <w:rPr>
                <w:szCs w:val="22"/>
              </w:rPr>
            </w:pPr>
            <w:r>
              <w:rPr>
                <w:szCs w:val="22"/>
              </w:rPr>
              <w:t>0.0</w:t>
            </w:r>
          </w:p>
        </w:tc>
        <w:tc>
          <w:tcPr>
            <w:tcW w:w="1134" w:type="dxa"/>
          </w:tcPr>
          <w:p w14:paraId="3A5EE973" w14:textId="77777777" w:rsidR="00010E2E" w:rsidRDefault="00010E2E">
            <w:pPr>
              <w:pStyle w:val="Table"/>
              <w:jc w:val="center"/>
              <w:rPr>
                <w:szCs w:val="22"/>
              </w:rPr>
            </w:pPr>
            <w:r>
              <w:rPr>
                <w:szCs w:val="22"/>
              </w:rPr>
              <w:t>4.8</w:t>
            </w:r>
          </w:p>
        </w:tc>
        <w:tc>
          <w:tcPr>
            <w:tcW w:w="1275" w:type="dxa"/>
          </w:tcPr>
          <w:p w14:paraId="662EC135" w14:textId="77777777" w:rsidR="00010E2E" w:rsidRDefault="00010E2E">
            <w:pPr>
              <w:pStyle w:val="Table"/>
              <w:jc w:val="center"/>
              <w:rPr>
                <w:szCs w:val="22"/>
              </w:rPr>
            </w:pPr>
            <w:r>
              <w:rPr>
                <w:szCs w:val="22"/>
              </w:rPr>
              <w:t>0.03</w:t>
            </w:r>
          </w:p>
        </w:tc>
      </w:tr>
    </w:tbl>
    <w:p w14:paraId="4A621F4E" w14:textId="77777777" w:rsidR="00010E2E" w:rsidRDefault="00010E2E">
      <w:pPr>
        <w:pStyle w:val="TableNote"/>
        <w:spacing w:before="60"/>
      </w:pPr>
      <w:r>
        <w:t>Source</w:t>
      </w:r>
      <w:r w:rsidR="00AB1F26">
        <w:t>s</w:t>
      </w:r>
      <w:r>
        <w:t>: National Greenhouse and Energy Reporting (Measurement) Determination 20</w:t>
      </w:r>
      <w:r w:rsidR="00545FE2">
        <w:t>08</w:t>
      </w:r>
      <w:r w:rsidR="00FA3080">
        <w:t xml:space="preserve"> </w:t>
      </w:r>
      <w:r>
        <w:t>(Schedule 1)</w:t>
      </w:r>
    </w:p>
    <w:p w14:paraId="3157E288" w14:textId="5DBADF0D" w:rsidR="00010E2E" w:rsidRDefault="00010E2E">
      <w:pPr>
        <w:pStyle w:val="TableNote"/>
      </w:pPr>
      <w:r>
        <w:t xml:space="preserve">Notes: All emission factors incorporate relevant oxidation factors (sourced from the </w:t>
      </w:r>
      <w:r w:rsidR="00D87633">
        <w:t xml:space="preserve">Department of the </w:t>
      </w:r>
      <w:r w:rsidR="00BA6A01">
        <w:t>Environment and</w:t>
      </w:r>
      <w:r w:rsidR="000873D9">
        <w:t xml:space="preserve"> Energy </w:t>
      </w:r>
      <w:r>
        <w:t xml:space="preserve">National Inventory Report).   </w:t>
      </w:r>
    </w:p>
    <w:p w14:paraId="139A442A" w14:textId="77777777" w:rsidR="00F427CA" w:rsidRDefault="00F427CA">
      <w:pPr>
        <w:pStyle w:val="TableNote"/>
      </w:pPr>
    </w:p>
    <w:p w14:paraId="2035C10C"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b/>
        </w:rPr>
      </w:pPr>
      <w:r>
        <w:rPr>
          <w:rFonts w:ascii="Arial" w:hAnsi="Arial" w:cs="Arial"/>
          <w:b/>
        </w:rPr>
        <w:t>Example: calculation of emissions from natural gas consumption</w:t>
      </w:r>
    </w:p>
    <w:p w14:paraId="493BAF44"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b/>
        </w:rPr>
      </w:pPr>
      <w:r>
        <w:rPr>
          <w:rFonts w:ascii="Arial" w:hAnsi="Arial" w:cs="Arial"/>
        </w:rPr>
        <w:t xml:space="preserve">A facility consumes 100,000 gigajoules of natural gas. </w:t>
      </w:r>
    </w:p>
    <w:p w14:paraId="11BFAF9A"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rPr>
      </w:pPr>
      <w:r>
        <w:rPr>
          <w:rFonts w:ascii="Arial" w:hAnsi="Arial" w:cs="Arial"/>
        </w:rPr>
        <w:t>Emissions of greenhouse gases (carbon dioxide, methane and nitrous oxide) in tonnes of CO</w:t>
      </w:r>
      <w:r>
        <w:rPr>
          <w:rFonts w:ascii="Arial" w:hAnsi="Arial" w:cs="Arial"/>
          <w:vertAlign w:val="subscript"/>
        </w:rPr>
        <w:t>2</w:t>
      </w:r>
      <w:r>
        <w:rPr>
          <w:rFonts w:ascii="Arial" w:hAnsi="Arial" w:cs="Arial"/>
        </w:rPr>
        <w:noBreakHyphen/>
        <w:t xml:space="preserve">e are estimated as follows: </w:t>
      </w:r>
    </w:p>
    <w:p w14:paraId="01C07001"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Emissions of carbon dioxide: </w:t>
      </w:r>
    </w:p>
    <w:p w14:paraId="4E958DA9"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(100,000 x 1 x 51.</w:t>
      </w:r>
      <w:r w:rsidR="00AA33D1">
        <w:rPr>
          <w:rFonts w:ascii="Arial" w:hAnsi="Arial" w:cs="Arial"/>
        </w:rPr>
        <w:t>4</w:t>
      </w:r>
      <w:r>
        <w:rPr>
          <w:rFonts w:ascii="Arial" w:hAnsi="Arial" w:cs="Arial"/>
        </w:rPr>
        <w:t>)/1,000</w:t>
      </w:r>
    </w:p>
    <w:p w14:paraId="5A68682F"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5,1</w:t>
      </w:r>
      <w:r w:rsidR="00AA33D1">
        <w:rPr>
          <w:rFonts w:ascii="Arial" w:hAnsi="Arial" w:cs="Arial"/>
        </w:rPr>
        <w:t>4</w:t>
      </w:r>
      <w:r>
        <w:rPr>
          <w:rFonts w:ascii="Arial" w:hAnsi="Arial" w:cs="Arial"/>
        </w:rPr>
        <w:t>0 t CO</w:t>
      </w:r>
      <w:r>
        <w:rPr>
          <w:rFonts w:ascii="Arial" w:hAnsi="Arial" w:cs="Arial"/>
          <w:vertAlign w:val="subscript"/>
        </w:rPr>
        <w:t>2</w:t>
      </w:r>
      <w:r>
        <w:rPr>
          <w:rFonts w:ascii="Arial" w:hAnsi="Arial" w:cs="Arial"/>
        </w:rPr>
        <w:t xml:space="preserve">-e </w:t>
      </w:r>
    </w:p>
    <w:p w14:paraId="7271B11B"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Emissions of methane: </w:t>
      </w:r>
    </w:p>
    <w:p w14:paraId="0EA45771"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 (100,000 x 1 x 0.1)/1,000 </w:t>
      </w:r>
    </w:p>
    <w:p w14:paraId="51BB3CA0"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10 t CO</w:t>
      </w:r>
      <w:r>
        <w:rPr>
          <w:rFonts w:ascii="Arial" w:hAnsi="Arial" w:cs="Arial"/>
          <w:vertAlign w:val="subscript"/>
        </w:rPr>
        <w:t>2</w:t>
      </w:r>
      <w:r>
        <w:rPr>
          <w:rFonts w:ascii="Arial" w:hAnsi="Arial" w:cs="Arial"/>
        </w:rPr>
        <w:t>-e</w:t>
      </w:r>
    </w:p>
    <w:p w14:paraId="1711B745" w14:textId="77777777" w:rsidR="00E90643" w:rsidRDefault="00E90643">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p>
    <w:p w14:paraId="1DB0902F"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Emissions of nitrous oxide:</w:t>
      </w:r>
    </w:p>
    <w:p w14:paraId="199824CE"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xml:space="preserve">= (100,000 x 1 x 0.03)/1,000 </w:t>
      </w:r>
    </w:p>
    <w:p w14:paraId="7CC8C27B"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720"/>
        <w:rPr>
          <w:rFonts w:ascii="Arial" w:hAnsi="Arial" w:cs="Arial"/>
        </w:rPr>
      </w:pPr>
      <w:r>
        <w:rPr>
          <w:rFonts w:ascii="Arial" w:hAnsi="Arial" w:cs="Arial"/>
        </w:rPr>
        <w:t>= 3 t CO</w:t>
      </w:r>
      <w:r>
        <w:rPr>
          <w:rFonts w:ascii="Arial" w:hAnsi="Arial" w:cs="Arial"/>
          <w:vertAlign w:val="subscript"/>
        </w:rPr>
        <w:t>2</w:t>
      </w:r>
      <w:r>
        <w:rPr>
          <w:rFonts w:ascii="Arial" w:hAnsi="Arial" w:cs="Arial"/>
        </w:rPr>
        <w:t xml:space="preserve">-e </w:t>
      </w:r>
    </w:p>
    <w:p w14:paraId="3CD9EC1C"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rPr>
          <w:rFonts w:ascii="Arial" w:hAnsi="Arial" w:cs="Arial"/>
        </w:rPr>
      </w:pPr>
      <w:r>
        <w:rPr>
          <w:rFonts w:ascii="Arial" w:hAnsi="Arial" w:cs="Arial"/>
        </w:rPr>
        <w:t xml:space="preserve">Total scope 1 GHG emissions </w:t>
      </w:r>
      <w:r>
        <w:rPr>
          <w:rFonts w:ascii="Arial" w:hAnsi="Arial" w:cs="Arial"/>
        </w:rPr>
        <w:tab/>
        <w:t>= 5,1</w:t>
      </w:r>
      <w:r w:rsidR="00AA33D1">
        <w:rPr>
          <w:rFonts w:ascii="Arial" w:hAnsi="Arial" w:cs="Arial"/>
        </w:rPr>
        <w:t>4</w:t>
      </w:r>
      <w:r>
        <w:rPr>
          <w:rFonts w:ascii="Arial" w:hAnsi="Arial" w:cs="Arial"/>
        </w:rPr>
        <w:t xml:space="preserve">0 + 10 + 3 </w:t>
      </w:r>
    </w:p>
    <w:p w14:paraId="0F43B8BB" w14:textId="77777777" w:rsidR="00010E2E" w:rsidRDefault="00010E2E">
      <w:pPr>
        <w:pStyle w:val="Text"/>
        <w:pBdr>
          <w:top w:val="single" w:sz="4" w:space="1" w:color="auto"/>
          <w:left w:val="single" w:sz="4" w:space="4" w:color="auto"/>
          <w:bottom w:val="single" w:sz="4" w:space="1" w:color="auto"/>
          <w:right w:val="single" w:sz="4" w:space="5" w:color="auto"/>
        </w:pBdr>
        <w:shd w:val="clear" w:color="auto" w:fill="F3F3F3"/>
        <w:ind w:firstLine="2835"/>
        <w:rPr>
          <w:rFonts w:ascii="Arial" w:hAnsi="Arial" w:cs="Arial"/>
        </w:rPr>
      </w:pPr>
      <w:r>
        <w:rPr>
          <w:rFonts w:ascii="Arial" w:hAnsi="Arial" w:cs="Arial"/>
        </w:rPr>
        <w:t xml:space="preserve"> = 5,1</w:t>
      </w:r>
      <w:r w:rsidR="005757C1">
        <w:rPr>
          <w:rFonts w:ascii="Arial" w:hAnsi="Arial" w:cs="Arial"/>
        </w:rPr>
        <w:t>53</w:t>
      </w:r>
      <w:r>
        <w:rPr>
          <w:rFonts w:ascii="Arial" w:hAnsi="Arial" w:cs="Arial"/>
        </w:rPr>
        <w:t xml:space="preserve"> t CO</w:t>
      </w:r>
      <w:r>
        <w:rPr>
          <w:rStyle w:val="EquationNoteChar"/>
          <w:szCs w:val="24"/>
          <w:vertAlign w:val="subscript"/>
        </w:rPr>
        <w:t>2</w:t>
      </w:r>
      <w:r>
        <w:rPr>
          <w:rFonts w:ascii="Arial" w:hAnsi="Arial" w:cs="Arial"/>
        </w:rPr>
        <w:t>-e</w:t>
      </w:r>
    </w:p>
    <w:bookmarkEnd w:id="41"/>
    <w:p w14:paraId="34128725" w14:textId="77777777" w:rsidR="00010E2E" w:rsidRDefault="00010E2E">
      <w:pPr>
        <w:pStyle w:val="BodyText"/>
        <w:tabs>
          <w:tab w:val="left" w:pos="0"/>
          <w:tab w:val="left" w:pos="2250"/>
        </w:tabs>
        <w:spacing w:before="120" w:after="0" w:line="312" w:lineRule="auto"/>
        <w:rPr>
          <w:rFonts w:ascii="Arial" w:hAnsi="Arial" w:cs="Arial"/>
          <w:b/>
          <w:bCs/>
        </w:rPr>
      </w:pPr>
    </w:p>
    <w:p w14:paraId="45D76C89" w14:textId="77777777" w:rsidR="00010E2E" w:rsidRDefault="00010E2E">
      <w:pPr>
        <w:pStyle w:val="Heading3"/>
        <w:tabs>
          <w:tab w:val="left" w:pos="0"/>
          <w:tab w:val="left" w:pos="2250"/>
        </w:tabs>
        <w:spacing w:before="120" w:line="312" w:lineRule="auto"/>
        <w:ind w:left="0" w:firstLine="0"/>
        <w:rPr>
          <w:rFonts w:ascii="Arial" w:hAnsi="Arial" w:cs="Arial"/>
        </w:rPr>
      </w:pPr>
      <w:r>
        <w:rPr>
          <w:rFonts w:ascii="Arial" w:hAnsi="Arial" w:cs="Arial"/>
        </w:rPr>
        <w:t>Fuel combustion emissions – liquid fuels</w:t>
      </w:r>
    </w:p>
    <w:p w14:paraId="746B924B"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The following formula can be used to estimate greenhouse gas emissions from the stationary combustion of each type of liquid fuel listed in Table 3. </w:t>
      </w:r>
    </w:p>
    <w:p w14:paraId="5DD82EDF" w14:textId="77777777" w:rsidR="00010E2E" w:rsidRDefault="00010E2E">
      <w:pPr>
        <w:pStyle w:val="ZR1"/>
      </w:pPr>
    </w:p>
    <w:p w14:paraId="498B02F1" w14:textId="77777777" w:rsidR="00010E2E" w:rsidRDefault="00CA4FB8">
      <w:pPr>
        <w:pStyle w:val="Formula"/>
        <w:rPr>
          <w:color w:val="000000"/>
        </w:rPr>
      </w:pPr>
      <w:r>
        <w:rPr>
          <w:color w:val="000000"/>
          <w:position w:val="-24"/>
        </w:rPr>
        <w:pict w14:anchorId="59D8C899">
          <v:shape id="_x0000_i1027" type="#_x0000_t75" style="width:129pt;height:33.75pt">
            <v:imagedata r:id="rId31" o:title=""/>
          </v:shape>
        </w:pict>
      </w:r>
    </w:p>
    <w:p w14:paraId="74FCC0E6" w14:textId="77777777" w:rsidR="00010E2E" w:rsidRPr="008870C0" w:rsidRDefault="00010E2E">
      <w:pPr>
        <w:pStyle w:val="Rc"/>
        <w:keepNext/>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1F81203B" w14:textId="77777777" w:rsidR="00010E2E" w:rsidRPr="008870C0" w:rsidRDefault="00010E2E">
      <w:pPr>
        <w:pStyle w:val="definition"/>
        <w:spacing w:before="120"/>
        <w:rPr>
          <w:color w:val="000000"/>
          <w:sz w:val="22"/>
          <w:szCs w:val="22"/>
        </w:rPr>
      </w:pPr>
      <w:r w:rsidRPr="008870C0">
        <w:rPr>
          <w:b/>
          <w:i/>
          <w:color w:val="000000"/>
          <w:sz w:val="22"/>
          <w:szCs w:val="22"/>
        </w:rPr>
        <w:t>E</w:t>
      </w:r>
      <w:r w:rsidRPr="008870C0">
        <w:rPr>
          <w:rStyle w:val="Subscript"/>
          <w:b/>
          <w:i/>
          <w:iCs/>
          <w:color w:val="000000"/>
          <w:sz w:val="22"/>
          <w:szCs w:val="22"/>
        </w:rPr>
        <w:t xml:space="preserve">ij </w:t>
      </w:r>
      <w:r w:rsidRPr="008870C0">
        <w:rPr>
          <w:rStyle w:val="EquationNoteChar"/>
          <w:rFonts w:ascii="Times New Roman" w:hAnsi="Times New Roman" w:cs="Times New Roman"/>
          <w:sz w:val="22"/>
          <w:szCs w:val="22"/>
        </w:rPr>
        <w:t>is the emissions of gas type (j), (carbon dioxide, methane or nitrous oxide, from fuel type (i)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37BE47D5" w14:textId="77777777" w:rsidR="00010E2E" w:rsidRPr="008870C0" w:rsidRDefault="00010E2E">
      <w:pPr>
        <w:pStyle w:val="definition"/>
        <w:spacing w:before="120"/>
        <w:rPr>
          <w:rStyle w:val="EquationNoteChar"/>
          <w:rFonts w:ascii="Times New Roman" w:hAnsi="Times New Roman" w:cs="Times New Roman"/>
          <w:sz w:val="22"/>
          <w:szCs w:val="22"/>
        </w:rPr>
      </w:pPr>
      <w:r w:rsidRPr="008870C0">
        <w:rPr>
          <w:b/>
          <w:i/>
          <w:color w:val="000000"/>
          <w:sz w:val="22"/>
          <w:szCs w:val="22"/>
        </w:rPr>
        <w:t>Q</w:t>
      </w:r>
      <w:r w:rsidRPr="008870C0">
        <w:rPr>
          <w:b/>
          <w:i/>
          <w:color w:val="000000"/>
          <w:sz w:val="22"/>
          <w:szCs w:val="22"/>
          <w:vertAlign w:val="subscript"/>
        </w:rPr>
        <w:t>i</w:t>
      </w:r>
      <w:r w:rsidRPr="008870C0">
        <w:rPr>
          <w:color w:val="000000"/>
          <w:sz w:val="22"/>
          <w:szCs w:val="22"/>
          <w:vertAlign w:val="subscript"/>
        </w:rPr>
        <w:t xml:space="preserve"> </w:t>
      </w:r>
      <w:r w:rsidRPr="008870C0">
        <w:rPr>
          <w:rStyle w:val="EquationNoteChar"/>
          <w:rFonts w:ascii="Times New Roman" w:hAnsi="Times New Roman" w:cs="Times New Roman"/>
          <w:sz w:val="22"/>
          <w:szCs w:val="22"/>
        </w:rPr>
        <w:t>is the quantity of fuel type (i) (kilolitres) combusted for stationary energy purposes</w:t>
      </w:r>
    </w:p>
    <w:p w14:paraId="19D68C66" w14:textId="77777777" w:rsidR="00010E2E" w:rsidRPr="008870C0" w:rsidRDefault="00010E2E">
      <w:pPr>
        <w:pStyle w:val="definition"/>
        <w:spacing w:before="120"/>
        <w:rPr>
          <w:rStyle w:val="EquationNoteChar"/>
          <w:rFonts w:ascii="Times New Roman" w:hAnsi="Times New Roman" w:cs="Times New Roman"/>
          <w:sz w:val="22"/>
          <w:szCs w:val="22"/>
        </w:rPr>
      </w:pPr>
      <w:r w:rsidRPr="008870C0">
        <w:rPr>
          <w:b/>
          <w:i/>
          <w:color w:val="000000"/>
          <w:sz w:val="22"/>
          <w:szCs w:val="22"/>
        </w:rPr>
        <w:t>EC</w:t>
      </w:r>
      <w:r w:rsidRPr="008870C0">
        <w:rPr>
          <w:b/>
          <w:i/>
          <w:color w:val="000000"/>
          <w:sz w:val="22"/>
          <w:szCs w:val="22"/>
          <w:vertAlign w:val="subscript"/>
        </w:rPr>
        <w:t>i</w:t>
      </w:r>
      <w:r w:rsidRPr="008870C0">
        <w:rPr>
          <w:color w:val="000000"/>
          <w:sz w:val="22"/>
          <w:szCs w:val="22"/>
        </w:rPr>
        <w:t xml:space="preserve"> </w:t>
      </w:r>
      <w:r w:rsidRPr="008870C0">
        <w:rPr>
          <w:rStyle w:val="EquationNoteChar"/>
          <w:rFonts w:ascii="Times New Roman" w:hAnsi="Times New Roman" w:cs="Times New Roman"/>
          <w:sz w:val="22"/>
          <w:szCs w:val="22"/>
        </w:rPr>
        <w:t>is the energy content factor of fuel type (i) (gigajoules per kilolitre) for stationary energy purposes, according to Table 3.</w:t>
      </w:r>
    </w:p>
    <w:p w14:paraId="56D4EC9C" w14:textId="77777777" w:rsidR="00010E2E" w:rsidRPr="008870C0" w:rsidRDefault="00010E2E">
      <w:pPr>
        <w:pStyle w:val="definition"/>
        <w:spacing w:before="120"/>
        <w:ind w:firstLine="116"/>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If</w:t>
      </w:r>
      <w:r w:rsidRPr="008870C0">
        <w:rPr>
          <w:color w:val="000000"/>
          <w:sz w:val="22"/>
          <w:szCs w:val="22"/>
        </w:rPr>
        <w:t xml:space="preserve"> </w:t>
      </w:r>
      <w:r w:rsidRPr="008870C0">
        <w:rPr>
          <w:b/>
          <w:i/>
          <w:color w:val="000000"/>
          <w:sz w:val="22"/>
          <w:szCs w:val="22"/>
        </w:rPr>
        <w:t>Q</w:t>
      </w:r>
      <w:r w:rsidRPr="008870C0">
        <w:rPr>
          <w:b/>
          <w:i/>
          <w:color w:val="000000"/>
          <w:sz w:val="22"/>
          <w:szCs w:val="22"/>
          <w:vertAlign w:val="subscript"/>
        </w:rPr>
        <w:t xml:space="preserve">i </w:t>
      </w:r>
      <w:r w:rsidRPr="008870C0">
        <w:rPr>
          <w:rStyle w:val="EquationNoteChar"/>
          <w:rFonts w:ascii="Times New Roman" w:hAnsi="Times New Roman" w:cs="Times New Roman"/>
          <w:sz w:val="22"/>
          <w:szCs w:val="22"/>
        </w:rPr>
        <w:t xml:space="preserve">is measured in gigajoules, then </w:t>
      </w:r>
      <w:r w:rsidRPr="008870C0">
        <w:rPr>
          <w:b/>
          <w:i/>
          <w:iCs/>
          <w:color w:val="000000"/>
          <w:sz w:val="22"/>
          <w:szCs w:val="22"/>
        </w:rPr>
        <w:t>EC</w:t>
      </w:r>
      <w:r w:rsidRPr="008870C0">
        <w:rPr>
          <w:rStyle w:val="EquationNoteChar"/>
          <w:rFonts w:ascii="Times New Roman" w:hAnsi="Times New Roman" w:cs="Times New Roman"/>
          <w:b/>
          <w:i/>
          <w:sz w:val="22"/>
          <w:szCs w:val="22"/>
          <w:vertAlign w:val="subscript"/>
        </w:rPr>
        <w:t>i</w:t>
      </w:r>
      <w:r w:rsidRPr="008870C0">
        <w:rPr>
          <w:rStyle w:val="EquationNoteChar"/>
          <w:rFonts w:ascii="Times New Roman" w:hAnsi="Times New Roman" w:cs="Times New Roman"/>
          <w:sz w:val="22"/>
          <w:szCs w:val="22"/>
        </w:rPr>
        <w:t xml:space="preserve"> is 1.</w:t>
      </w:r>
    </w:p>
    <w:p w14:paraId="4186086B" w14:textId="77777777" w:rsidR="00010E2E" w:rsidRPr="008870C0" w:rsidRDefault="00010E2E">
      <w:pPr>
        <w:pStyle w:val="definition"/>
        <w:spacing w:before="120"/>
        <w:rPr>
          <w:rStyle w:val="EquationNoteChar"/>
          <w:rFonts w:ascii="Times New Roman" w:hAnsi="Times New Roman" w:cs="Times New Roman"/>
          <w:sz w:val="22"/>
          <w:szCs w:val="22"/>
        </w:rPr>
      </w:pPr>
      <w:r w:rsidRPr="008870C0">
        <w:rPr>
          <w:b/>
          <w:i/>
          <w:color w:val="000000"/>
          <w:sz w:val="22"/>
          <w:szCs w:val="22"/>
        </w:rPr>
        <w:t>EF</w:t>
      </w:r>
      <w:r w:rsidRPr="008870C0">
        <w:rPr>
          <w:b/>
          <w:i/>
          <w:color w:val="000000"/>
          <w:sz w:val="22"/>
          <w:szCs w:val="22"/>
          <w:vertAlign w:val="subscript"/>
        </w:rPr>
        <w:t>ijoxec</w:t>
      </w:r>
      <w:r w:rsidRPr="008870C0">
        <w:rPr>
          <w:color w:val="000000"/>
          <w:sz w:val="22"/>
          <w:szCs w:val="22"/>
        </w:rPr>
        <w:t xml:space="preserve"> </w:t>
      </w:r>
      <w:r w:rsidRPr="008870C0">
        <w:rPr>
          <w:rStyle w:val="EquationNoteChar"/>
          <w:rFonts w:ascii="Times New Roman" w:hAnsi="Times New Roman" w:cs="Times New Roman"/>
          <w:sz w:val="22"/>
          <w:szCs w:val="22"/>
        </w:rPr>
        <w:t>is the emission factor for each gas type (j) (which includes the effect of an oxidation factor) for fuel type (i) (kilograms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 xml:space="preserve">e per gigajoule) according to Table 3. </w:t>
      </w:r>
    </w:p>
    <w:p w14:paraId="4DFDD25A" w14:textId="77777777" w:rsidR="00010E2E" w:rsidRDefault="00010E2E">
      <w:pPr>
        <w:pStyle w:val="P1"/>
        <w:tabs>
          <w:tab w:val="clear" w:pos="1191"/>
          <w:tab w:val="right" w:pos="1560"/>
        </w:tabs>
        <w:ind w:left="1778"/>
        <w:rPr>
          <w:rStyle w:val="EquationNoteChar"/>
        </w:rPr>
      </w:pPr>
      <w:r>
        <w:rPr>
          <w:rStyle w:val="EquationNoteChar"/>
        </w:rPr>
        <w:tab/>
      </w:r>
    </w:p>
    <w:p w14:paraId="1D7BAC9A" w14:textId="77777777" w:rsidR="00010E2E" w:rsidRDefault="00010E2E">
      <w:pPr>
        <w:pStyle w:val="P1"/>
        <w:tabs>
          <w:tab w:val="clear" w:pos="1191"/>
          <w:tab w:val="right" w:pos="1560"/>
        </w:tabs>
        <w:ind w:left="1778"/>
        <w:rPr>
          <w:rFonts w:ascii="Arial" w:hAnsi="Arial" w:cs="Arial"/>
          <w:iCs/>
          <w:sz w:val="18"/>
          <w:lang w:eastAsia="en-US"/>
        </w:rPr>
      </w:pPr>
      <w:r>
        <w:rPr>
          <w:rStyle w:val="EquationNoteChar"/>
        </w:rPr>
        <w:tab/>
      </w:r>
    </w:p>
    <w:p w14:paraId="2C99449F" w14:textId="77777777" w:rsidR="00010E2E" w:rsidRDefault="00BF2615" w:rsidP="00C23E3B">
      <w:pPr>
        <w:pStyle w:val="Caption"/>
      </w:pPr>
      <w:r>
        <w:br w:type="page"/>
      </w:r>
      <w:bookmarkStart w:id="45" w:name="_Toc391646689"/>
      <w:bookmarkStart w:id="46" w:name="_Toc485728111"/>
      <w:r w:rsidR="00010E2E">
        <w:t xml:space="preserve">Table </w:t>
      </w:r>
      <w:r w:rsidR="00DC52E0">
        <w:fldChar w:fldCharType="begin"/>
      </w:r>
      <w:r w:rsidR="000570E2">
        <w:instrText xml:space="preserve"> SEQ Table \* ARABIC </w:instrText>
      </w:r>
      <w:r w:rsidR="00DC52E0">
        <w:fldChar w:fldCharType="separate"/>
      </w:r>
      <w:r w:rsidR="004A1330">
        <w:rPr>
          <w:noProof/>
        </w:rPr>
        <w:t>3</w:t>
      </w:r>
      <w:r w:rsidR="00DC52E0">
        <w:fldChar w:fldCharType="end"/>
      </w:r>
      <w:r w:rsidR="00010E2E">
        <w:t>:  Fuel combustion emission factors - liquid fuels and certain petroleum based products for stationary energy purposes</w:t>
      </w:r>
      <w:bookmarkEnd w:id="45"/>
      <w:bookmarkEnd w:id="46"/>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560"/>
        <w:gridCol w:w="1154"/>
        <w:gridCol w:w="1134"/>
        <w:gridCol w:w="1276"/>
      </w:tblGrid>
      <w:tr w:rsidR="00010E2E" w14:paraId="014BD81D" w14:textId="77777777" w:rsidTr="00382DF3">
        <w:trPr>
          <w:cantSplit/>
          <w:tblHeader/>
        </w:trPr>
        <w:tc>
          <w:tcPr>
            <w:tcW w:w="3240" w:type="dxa"/>
            <w:vMerge w:val="restart"/>
            <w:shd w:val="clear" w:color="auto" w:fill="D9D9D9"/>
            <w:vAlign w:val="center"/>
          </w:tcPr>
          <w:p w14:paraId="0EEA55D7" w14:textId="77777777" w:rsidR="00010E2E" w:rsidRDefault="00010E2E" w:rsidP="00382DF3">
            <w:pPr>
              <w:pStyle w:val="Table"/>
              <w:jc w:val="center"/>
              <w:rPr>
                <w:rStyle w:val="Strong"/>
                <w:rFonts w:cs="Arial"/>
                <w:szCs w:val="16"/>
              </w:rPr>
            </w:pPr>
            <w:r>
              <w:rPr>
                <w:rStyle w:val="Strong"/>
                <w:rFonts w:cs="Arial"/>
                <w:szCs w:val="16"/>
              </w:rPr>
              <w:t>Fuel combusted</w:t>
            </w:r>
          </w:p>
        </w:tc>
        <w:tc>
          <w:tcPr>
            <w:tcW w:w="1560" w:type="dxa"/>
            <w:vMerge w:val="restart"/>
            <w:shd w:val="clear" w:color="auto" w:fill="D9D9D9"/>
            <w:vAlign w:val="center"/>
          </w:tcPr>
          <w:p w14:paraId="4EEBD6EC" w14:textId="77777777" w:rsidR="00010E2E" w:rsidRDefault="00010E2E" w:rsidP="00382DF3">
            <w:pPr>
              <w:pStyle w:val="TableCentre"/>
              <w:rPr>
                <w:rStyle w:val="Strong"/>
                <w:rFonts w:cs="Arial"/>
                <w:szCs w:val="16"/>
              </w:rPr>
            </w:pPr>
            <w:r>
              <w:rPr>
                <w:rStyle w:val="Strong"/>
                <w:rFonts w:cs="Arial"/>
                <w:szCs w:val="16"/>
              </w:rPr>
              <w:t>Energy content factor</w:t>
            </w:r>
          </w:p>
          <w:p w14:paraId="48A0EFF4" w14:textId="77777777" w:rsidR="00010E2E" w:rsidRDefault="00010E2E" w:rsidP="00382DF3">
            <w:pPr>
              <w:pStyle w:val="TableCentre"/>
              <w:rPr>
                <w:rStyle w:val="Strong"/>
                <w:rFonts w:cs="Arial"/>
                <w:szCs w:val="16"/>
              </w:rPr>
            </w:pPr>
            <w:r>
              <w:rPr>
                <w:rStyle w:val="Strong"/>
                <w:rFonts w:cs="Arial"/>
                <w:szCs w:val="16"/>
              </w:rPr>
              <w:t>(GJ/kL unless otherwise indicated)</w:t>
            </w:r>
          </w:p>
        </w:tc>
        <w:tc>
          <w:tcPr>
            <w:tcW w:w="3564" w:type="dxa"/>
            <w:gridSpan w:val="3"/>
            <w:shd w:val="clear" w:color="auto" w:fill="D9D9D9"/>
            <w:vAlign w:val="center"/>
          </w:tcPr>
          <w:p w14:paraId="612243C6" w14:textId="77777777" w:rsidR="00010E2E" w:rsidRDefault="00010E2E" w:rsidP="00382DF3">
            <w:pPr>
              <w:pStyle w:val="Heading1Like"/>
              <w:spacing w:before="60" w:after="0"/>
              <w:jc w:val="center"/>
              <w:rPr>
                <w:rFonts w:ascii="Arial" w:hAnsi="Arial"/>
                <w:sz w:val="16"/>
                <w:szCs w:val="16"/>
              </w:rPr>
            </w:pPr>
            <w:r>
              <w:rPr>
                <w:rFonts w:ascii="Arial" w:hAnsi="Arial"/>
                <w:caps w:val="0"/>
                <w:sz w:val="16"/>
                <w:szCs w:val="16"/>
              </w:rPr>
              <w:t>Emission factor</w:t>
            </w:r>
          </w:p>
          <w:p w14:paraId="7A8EDE7D" w14:textId="77777777" w:rsidR="00010E2E" w:rsidRDefault="00010E2E" w:rsidP="00382DF3">
            <w:pPr>
              <w:pStyle w:val="Heading1Like"/>
              <w:spacing w:before="60" w:after="60"/>
              <w:jc w:val="center"/>
              <w:rPr>
                <w:rFonts w:ascii="Arial" w:hAnsi="Arial"/>
                <w:caps w:val="0"/>
                <w:sz w:val="16"/>
                <w:szCs w:val="16"/>
              </w:rPr>
            </w:pPr>
            <w:r>
              <w:rPr>
                <w:rFonts w:ascii="Arial" w:hAnsi="Arial"/>
                <w:caps w:val="0"/>
                <w:sz w:val="16"/>
                <w:szCs w:val="16"/>
              </w:rPr>
              <w:t>kg CO</w:t>
            </w:r>
            <w:r>
              <w:rPr>
                <w:rFonts w:ascii="Arial" w:hAnsi="Arial"/>
                <w:caps w:val="0"/>
                <w:sz w:val="16"/>
                <w:szCs w:val="16"/>
                <w:vertAlign w:val="subscript"/>
              </w:rPr>
              <w:t>2</w:t>
            </w:r>
            <w:r>
              <w:rPr>
                <w:rFonts w:ascii="Arial" w:hAnsi="Arial"/>
                <w:caps w:val="0"/>
                <w:sz w:val="16"/>
                <w:szCs w:val="16"/>
              </w:rPr>
              <w:noBreakHyphen/>
              <w:t>e/GJ</w:t>
            </w:r>
          </w:p>
          <w:p w14:paraId="55FA6043" w14:textId="77777777" w:rsidR="00010E2E" w:rsidRDefault="00010E2E" w:rsidP="00382DF3">
            <w:pPr>
              <w:pStyle w:val="Heading1Like"/>
              <w:spacing w:before="60" w:after="160"/>
              <w:jc w:val="center"/>
              <w:rPr>
                <w:sz w:val="16"/>
                <w:szCs w:val="16"/>
              </w:rPr>
            </w:pPr>
            <w:r>
              <w:rPr>
                <w:rFonts w:ascii="Arial" w:hAnsi="Arial"/>
                <w:caps w:val="0"/>
                <w:sz w:val="16"/>
                <w:szCs w:val="16"/>
              </w:rPr>
              <w:t>(relevant oxidation factors incorporated)</w:t>
            </w:r>
          </w:p>
        </w:tc>
      </w:tr>
      <w:tr w:rsidR="00010E2E" w14:paraId="4BB028EC" w14:textId="77777777" w:rsidTr="00382DF3">
        <w:trPr>
          <w:cantSplit/>
          <w:tblHeader/>
        </w:trPr>
        <w:tc>
          <w:tcPr>
            <w:tcW w:w="3240" w:type="dxa"/>
            <w:vMerge/>
            <w:shd w:val="clear" w:color="auto" w:fill="D9D9D9"/>
            <w:vAlign w:val="center"/>
          </w:tcPr>
          <w:p w14:paraId="55AE87FB" w14:textId="77777777" w:rsidR="00010E2E" w:rsidRDefault="00010E2E" w:rsidP="00382DF3">
            <w:pPr>
              <w:pStyle w:val="HTMLPreformatted"/>
              <w:spacing w:before="60"/>
              <w:jc w:val="center"/>
              <w:rPr>
                <w:sz w:val="16"/>
                <w:szCs w:val="16"/>
              </w:rPr>
            </w:pPr>
          </w:p>
        </w:tc>
        <w:tc>
          <w:tcPr>
            <w:tcW w:w="1560" w:type="dxa"/>
            <w:vMerge/>
            <w:shd w:val="clear" w:color="auto" w:fill="D9D9D9"/>
            <w:vAlign w:val="center"/>
          </w:tcPr>
          <w:p w14:paraId="23A391E9" w14:textId="77777777" w:rsidR="00010E2E" w:rsidRDefault="00010E2E" w:rsidP="00382DF3">
            <w:pPr>
              <w:spacing w:before="60"/>
              <w:jc w:val="center"/>
              <w:rPr>
                <w:rStyle w:val="HTMLVariable"/>
                <w:i w:val="0"/>
                <w:iCs w:val="0"/>
                <w:sz w:val="16"/>
                <w:szCs w:val="16"/>
              </w:rPr>
            </w:pPr>
          </w:p>
        </w:tc>
        <w:tc>
          <w:tcPr>
            <w:tcW w:w="1154" w:type="dxa"/>
            <w:shd w:val="clear" w:color="auto" w:fill="D9D9D9"/>
            <w:vAlign w:val="center"/>
          </w:tcPr>
          <w:p w14:paraId="552161E6" w14:textId="77777777" w:rsidR="00010E2E" w:rsidRDefault="00010E2E" w:rsidP="00382DF3">
            <w:pPr>
              <w:pStyle w:val="TableCentre"/>
              <w:rPr>
                <w:szCs w:val="16"/>
              </w:rPr>
            </w:pPr>
            <w:r>
              <w:rPr>
                <w:b/>
                <w:bCs/>
                <w:snapToGrid w:val="0"/>
                <w:szCs w:val="16"/>
              </w:rPr>
              <w:t>CO</w:t>
            </w:r>
            <w:r>
              <w:rPr>
                <w:b/>
                <w:bCs/>
                <w:snapToGrid w:val="0"/>
                <w:szCs w:val="16"/>
                <w:vertAlign w:val="subscript"/>
              </w:rPr>
              <w:t>2</w:t>
            </w:r>
          </w:p>
        </w:tc>
        <w:tc>
          <w:tcPr>
            <w:tcW w:w="1134" w:type="dxa"/>
            <w:shd w:val="clear" w:color="auto" w:fill="D9D9D9"/>
            <w:vAlign w:val="center"/>
          </w:tcPr>
          <w:p w14:paraId="7CB58E9D" w14:textId="77777777" w:rsidR="00010E2E" w:rsidRDefault="00010E2E" w:rsidP="00382DF3">
            <w:pPr>
              <w:pStyle w:val="TableCentre"/>
              <w:rPr>
                <w:rStyle w:val="Strong"/>
                <w:rFonts w:cs="Arial"/>
                <w:szCs w:val="16"/>
              </w:rPr>
            </w:pPr>
            <w:r>
              <w:rPr>
                <w:b/>
                <w:bCs/>
                <w:snapToGrid w:val="0"/>
                <w:szCs w:val="16"/>
              </w:rPr>
              <w:t>CH</w:t>
            </w:r>
            <w:r>
              <w:rPr>
                <w:b/>
                <w:bCs/>
                <w:snapToGrid w:val="0"/>
                <w:szCs w:val="16"/>
                <w:vertAlign w:val="subscript"/>
              </w:rPr>
              <w:t>4</w:t>
            </w:r>
          </w:p>
        </w:tc>
        <w:tc>
          <w:tcPr>
            <w:tcW w:w="1276" w:type="dxa"/>
            <w:shd w:val="clear" w:color="auto" w:fill="D9D9D9"/>
            <w:vAlign w:val="center"/>
          </w:tcPr>
          <w:p w14:paraId="5C2D29F9" w14:textId="77777777" w:rsidR="00010E2E" w:rsidRDefault="00010E2E" w:rsidP="00382DF3">
            <w:pPr>
              <w:pStyle w:val="TableCentre"/>
              <w:spacing w:after="60"/>
              <w:rPr>
                <w:rStyle w:val="Strong"/>
                <w:rFonts w:cs="Arial"/>
                <w:szCs w:val="16"/>
              </w:rPr>
            </w:pPr>
            <w:r>
              <w:rPr>
                <w:b/>
                <w:bCs/>
                <w:snapToGrid w:val="0"/>
                <w:szCs w:val="16"/>
              </w:rPr>
              <w:t>N</w:t>
            </w:r>
            <w:r>
              <w:rPr>
                <w:b/>
                <w:bCs/>
                <w:snapToGrid w:val="0"/>
                <w:szCs w:val="16"/>
                <w:vertAlign w:val="subscript"/>
              </w:rPr>
              <w:t>2</w:t>
            </w:r>
            <w:r>
              <w:rPr>
                <w:b/>
                <w:bCs/>
                <w:snapToGrid w:val="0"/>
                <w:szCs w:val="16"/>
              </w:rPr>
              <w:t>O</w:t>
            </w:r>
          </w:p>
        </w:tc>
      </w:tr>
      <w:tr w:rsidR="00010E2E" w14:paraId="6936AF24" w14:textId="77777777" w:rsidTr="00382DF3">
        <w:trPr>
          <w:cantSplit/>
        </w:trPr>
        <w:tc>
          <w:tcPr>
            <w:tcW w:w="3240" w:type="dxa"/>
          </w:tcPr>
          <w:p w14:paraId="401EBC0D" w14:textId="77777777" w:rsidR="00010E2E" w:rsidRDefault="00010E2E">
            <w:pPr>
              <w:pStyle w:val="Table"/>
              <w:rPr>
                <w:snapToGrid w:val="0"/>
              </w:rPr>
            </w:pPr>
            <w:r>
              <w:rPr>
                <w:snapToGrid w:val="0"/>
              </w:rPr>
              <w:t>Petroleum based oils (other than petroleum based oil used as fuel, eg lubricants)</w:t>
            </w:r>
          </w:p>
        </w:tc>
        <w:tc>
          <w:tcPr>
            <w:tcW w:w="1560" w:type="dxa"/>
          </w:tcPr>
          <w:p w14:paraId="76212226" w14:textId="77777777" w:rsidR="00010E2E" w:rsidRDefault="00010E2E">
            <w:pPr>
              <w:pStyle w:val="Table"/>
              <w:jc w:val="center"/>
              <w:rPr>
                <w:snapToGrid w:val="0"/>
              </w:rPr>
            </w:pPr>
            <w:r>
              <w:rPr>
                <w:snapToGrid w:val="0"/>
              </w:rPr>
              <w:t>38.8</w:t>
            </w:r>
          </w:p>
        </w:tc>
        <w:tc>
          <w:tcPr>
            <w:tcW w:w="1154" w:type="dxa"/>
          </w:tcPr>
          <w:p w14:paraId="70280D6E" w14:textId="77777777" w:rsidR="00010E2E" w:rsidRDefault="00FA7678">
            <w:pPr>
              <w:pStyle w:val="Table"/>
              <w:jc w:val="center"/>
              <w:rPr>
                <w:snapToGrid w:val="0"/>
              </w:rPr>
            </w:pPr>
            <w:r>
              <w:rPr>
                <w:snapToGrid w:val="0"/>
              </w:rPr>
              <w:t>13</w:t>
            </w:r>
            <w:r w:rsidR="00010E2E">
              <w:rPr>
                <w:snapToGrid w:val="0"/>
              </w:rPr>
              <w:t>.9</w:t>
            </w:r>
          </w:p>
        </w:tc>
        <w:tc>
          <w:tcPr>
            <w:tcW w:w="1134" w:type="dxa"/>
          </w:tcPr>
          <w:p w14:paraId="4B981817" w14:textId="77777777" w:rsidR="00010E2E" w:rsidRDefault="00010E2E">
            <w:pPr>
              <w:pStyle w:val="Table"/>
              <w:jc w:val="center"/>
              <w:rPr>
                <w:snapToGrid w:val="0"/>
              </w:rPr>
            </w:pPr>
            <w:r>
              <w:rPr>
                <w:snapToGrid w:val="0"/>
              </w:rPr>
              <w:t>0.0</w:t>
            </w:r>
          </w:p>
        </w:tc>
        <w:tc>
          <w:tcPr>
            <w:tcW w:w="1276" w:type="dxa"/>
          </w:tcPr>
          <w:p w14:paraId="24E1102F" w14:textId="77777777" w:rsidR="00010E2E" w:rsidRDefault="00010E2E">
            <w:pPr>
              <w:pStyle w:val="Table"/>
              <w:jc w:val="center"/>
              <w:rPr>
                <w:snapToGrid w:val="0"/>
              </w:rPr>
            </w:pPr>
            <w:r>
              <w:rPr>
                <w:snapToGrid w:val="0"/>
              </w:rPr>
              <w:t>0.0</w:t>
            </w:r>
          </w:p>
        </w:tc>
      </w:tr>
      <w:tr w:rsidR="00010E2E" w14:paraId="557D0734" w14:textId="77777777" w:rsidTr="00382DF3">
        <w:trPr>
          <w:cantSplit/>
        </w:trPr>
        <w:tc>
          <w:tcPr>
            <w:tcW w:w="3240" w:type="dxa"/>
          </w:tcPr>
          <w:p w14:paraId="71E9F0A3" w14:textId="77777777" w:rsidR="00010E2E" w:rsidRDefault="00010E2E">
            <w:pPr>
              <w:pStyle w:val="Table"/>
              <w:rPr>
                <w:snapToGrid w:val="0"/>
              </w:rPr>
            </w:pPr>
            <w:r>
              <w:rPr>
                <w:snapToGrid w:val="0"/>
              </w:rPr>
              <w:t>Petroleum based greases</w:t>
            </w:r>
          </w:p>
        </w:tc>
        <w:tc>
          <w:tcPr>
            <w:tcW w:w="1560" w:type="dxa"/>
          </w:tcPr>
          <w:p w14:paraId="36C18105" w14:textId="77777777" w:rsidR="00010E2E" w:rsidRDefault="00010E2E">
            <w:pPr>
              <w:pStyle w:val="Table"/>
              <w:jc w:val="center"/>
              <w:rPr>
                <w:snapToGrid w:val="0"/>
              </w:rPr>
            </w:pPr>
            <w:r>
              <w:rPr>
                <w:snapToGrid w:val="0"/>
              </w:rPr>
              <w:t>38.8</w:t>
            </w:r>
          </w:p>
        </w:tc>
        <w:tc>
          <w:tcPr>
            <w:tcW w:w="1154" w:type="dxa"/>
          </w:tcPr>
          <w:p w14:paraId="387F748F" w14:textId="77777777" w:rsidR="00010E2E" w:rsidRDefault="00FA7678">
            <w:pPr>
              <w:pStyle w:val="Table"/>
              <w:jc w:val="center"/>
              <w:rPr>
                <w:snapToGrid w:val="0"/>
              </w:rPr>
            </w:pPr>
            <w:r>
              <w:rPr>
                <w:snapToGrid w:val="0"/>
              </w:rPr>
              <w:t>3.5</w:t>
            </w:r>
          </w:p>
        </w:tc>
        <w:tc>
          <w:tcPr>
            <w:tcW w:w="1134" w:type="dxa"/>
          </w:tcPr>
          <w:p w14:paraId="0CA76054" w14:textId="77777777" w:rsidR="00010E2E" w:rsidRDefault="00010E2E">
            <w:pPr>
              <w:pStyle w:val="Table"/>
              <w:jc w:val="center"/>
              <w:rPr>
                <w:snapToGrid w:val="0"/>
              </w:rPr>
            </w:pPr>
            <w:r>
              <w:rPr>
                <w:snapToGrid w:val="0"/>
              </w:rPr>
              <w:t>0.0</w:t>
            </w:r>
          </w:p>
        </w:tc>
        <w:tc>
          <w:tcPr>
            <w:tcW w:w="1276" w:type="dxa"/>
          </w:tcPr>
          <w:p w14:paraId="0C2729D8" w14:textId="77777777" w:rsidR="00010E2E" w:rsidRDefault="00010E2E">
            <w:pPr>
              <w:pStyle w:val="Table"/>
              <w:jc w:val="center"/>
              <w:rPr>
                <w:snapToGrid w:val="0"/>
              </w:rPr>
            </w:pPr>
            <w:r>
              <w:rPr>
                <w:snapToGrid w:val="0"/>
              </w:rPr>
              <w:t>0.0</w:t>
            </w:r>
          </w:p>
        </w:tc>
      </w:tr>
      <w:tr w:rsidR="00010E2E" w14:paraId="05FCA766" w14:textId="77777777" w:rsidTr="00382DF3">
        <w:trPr>
          <w:cantSplit/>
        </w:trPr>
        <w:tc>
          <w:tcPr>
            <w:tcW w:w="3240" w:type="dxa"/>
          </w:tcPr>
          <w:p w14:paraId="388A3786" w14:textId="77777777" w:rsidR="00010E2E" w:rsidRDefault="00010E2E">
            <w:pPr>
              <w:pStyle w:val="Table"/>
              <w:rPr>
                <w:snapToGrid w:val="0"/>
              </w:rPr>
            </w:pPr>
            <w:r>
              <w:rPr>
                <w:snapToGrid w:val="0"/>
              </w:rPr>
              <w:t>Crude oil including crude oil condensates</w:t>
            </w:r>
          </w:p>
        </w:tc>
        <w:tc>
          <w:tcPr>
            <w:tcW w:w="1560" w:type="dxa"/>
          </w:tcPr>
          <w:p w14:paraId="2980DD28" w14:textId="77777777" w:rsidR="00010E2E" w:rsidRDefault="00010E2E">
            <w:pPr>
              <w:pStyle w:val="Table"/>
              <w:jc w:val="center"/>
              <w:rPr>
                <w:snapToGrid w:val="0"/>
              </w:rPr>
            </w:pPr>
            <w:r>
              <w:rPr>
                <w:snapToGrid w:val="0"/>
              </w:rPr>
              <w:t>45.3 GJ/t</w:t>
            </w:r>
          </w:p>
        </w:tc>
        <w:tc>
          <w:tcPr>
            <w:tcW w:w="1154" w:type="dxa"/>
          </w:tcPr>
          <w:p w14:paraId="4FB11A54" w14:textId="77777777" w:rsidR="00010E2E" w:rsidRDefault="00010E2E">
            <w:pPr>
              <w:pStyle w:val="Table"/>
              <w:jc w:val="center"/>
              <w:rPr>
                <w:snapToGrid w:val="0"/>
              </w:rPr>
            </w:pPr>
            <w:r>
              <w:rPr>
                <w:snapToGrid w:val="0"/>
              </w:rPr>
              <w:t>6</w:t>
            </w:r>
            <w:r w:rsidR="00FA7678">
              <w:rPr>
                <w:snapToGrid w:val="0"/>
              </w:rPr>
              <w:t>9.6</w:t>
            </w:r>
          </w:p>
        </w:tc>
        <w:tc>
          <w:tcPr>
            <w:tcW w:w="1134" w:type="dxa"/>
          </w:tcPr>
          <w:p w14:paraId="584BD757" w14:textId="77777777" w:rsidR="00010E2E" w:rsidRDefault="00010E2E">
            <w:pPr>
              <w:pStyle w:val="Table"/>
              <w:jc w:val="center"/>
              <w:rPr>
                <w:snapToGrid w:val="0"/>
              </w:rPr>
            </w:pPr>
            <w:r>
              <w:rPr>
                <w:snapToGrid w:val="0"/>
              </w:rPr>
              <w:t>0.</w:t>
            </w:r>
            <w:r w:rsidR="00FA7678">
              <w:rPr>
                <w:snapToGrid w:val="0"/>
              </w:rPr>
              <w:t>1</w:t>
            </w:r>
          </w:p>
        </w:tc>
        <w:tc>
          <w:tcPr>
            <w:tcW w:w="1276" w:type="dxa"/>
          </w:tcPr>
          <w:p w14:paraId="709101BD" w14:textId="77777777" w:rsidR="00010E2E" w:rsidRDefault="00010E2E">
            <w:pPr>
              <w:pStyle w:val="Table"/>
              <w:jc w:val="center"/>
              <w:rPr>
                <w:snapToGrid w:val="0"/>
              </w:rPr>
            </w:pPr>
            <w:r>
              <w:rPr>
                <w:snapToGrid w:val="0"/>
              </w:rPr>
              <w:t>0.2</w:t>
            </w:r>
          </w:p>
        </w:tc>
      </w:tr>
      <w:tr w:rsidR="00010E2E" w14:paraId="351EE314" w14:textId="77777777" w:rsidTr="00382DF3">
        <w:trPr>
          <w:cantSplit/>
        </w:trPr>
        <w:tc>
          <w:tcPr>
            <w:tcW w:w="3240" w:type="dxa"/>
          </w:tcPr>
          <w:p w14:paraId="48AEB1B8" w14:textId="77777777" w:rsidR="00010E2E" w:rsidRDefault="00010E2E">
            <w:pPr>
              <w:pStyle w:val="Table"/>
              <w:rPr>
                <w:snapToGrid w:val="0"/>
              </w:rPr>
            </w:pPr>
            <w:r>
              <w:rPr>
                <w:snapToGrid w:val="0"/>
              </w:rPr>
              <w:t xml:space="preserve">Other natural gas liquids </w:t>
            </w:r>
          </w:p>
        </w:tc>
        <w:tc>
          <w:tcPr>
            <w:tcW w:w="1560" w:type="dxa"/>
          </w:tcPr>
          <w:p w14:paraId="70E4CC7D" w14:textId="77777777" w:rsidR="00010E2E" w:rsidRDefault="00010E2E">
            <w:pPr>
              <w:pStyle w:val="Table"/>
              <w:jc w:val="center"/>
              <w:rPr>
                <w:snapToGrid w:val="0"/>
              </w:rPr>
            </w:pPr>
            <w:r>
              <w:rPr>
                <w:snapToGrid w:val="0"/>
              </w:rPr>
              <w:t>46.5 GJ/t</w:t>
            </w:r>
          </w:p>
        </w:tc>
        <w:tc>
          <w:tcPr>
            <w:tcW w:w="1154" w:type="dxa"/>
          </w:tcPr>
          <w:p w14:paraId="1485BFCA" w14:textId="77777777" w:rsidR="00010E2E" w:rsidRDefault="00010E2E">
            <w:pPr>
              <w:pStyle w:val="Table"/>
              <w:jc w:val="center"/>
              <w:rPr>
                <w:snapToGrid w:val="0"/>
              </w:rPr>
            </w:pPr>
            <w:r>
              <w:rPr>
                <w:snapToGrid w:val="0"/>
              </w:rPr>
              <w:t>6</w:t>
            </w:r>
            <w:r w:rsidR="00FA7678">
              <w:rPr>
                <w:snapToGrid w:val="0"/>
              </w:rPr>
              <w:t>1.0</w:t>
            </w:r>
          </w:p>
        </w:tc>
        <w:tc>
          <w:tcPr>
            <w:tcW w:w="1134" w:type="dxa"/>
          </w:tcPr>
          <w:p w14:paraId="6A1B5CE8" w14:textId="77777777" w:rsidR="00010E2E" w:rsidRDefault="00010E2E">
            <w:pPr>
              <w:pStyle w:val="Table"/>
              <w:jc w:val="center"/>
              <w:rPr>
                <w:snapToGrid w:val="0"/>
              </w:rPr>
            </w:pPr>
            <w:r>
              <w:rPr>
                <w:snapToGrid w:val="0"/>
              </w:rPr>
              <w:t>0.</w:t>
            </w:r>
            <w:r w:rsidR="00FA7678">
              <w:rPr>
                <w:snapToGrid w:val="0"/>
              </w:rPr>
              <w:t>1</w:t>
            </w:r>
          </w:p>
        </w:tc>
        <w:tc>
          <w:tcPr>
            <w:tcW w:w="1276" w:type="dxa"/>
          </w:tcPr>
          <w:p w14:paraId="36C816C9" w14:textId="77777777" w:rsidR="00010E2E" w:rsidRDefault="00010E2E">
            <w:pPr>
              <w:pStyle w:val="Table"/>
              <w:jc w:val="center"/>
              <w:rPr>
                <w:snapToGrid w:val="0"/>
              </w:rPr>
            </w:pPr>
            <w:r>
              <w:rPr>
                <w:snapToGrid w:val="0"/>
              </w:rPr>
              <w:t>0.2</w:t>
            </w:r>
          </w:p>
        </w:tc>
      </w:tr>
      <w:tr w:rsidR="00010E2E" w14:paraId="2A9E0B28" w14:textId="77777777" w:rsidTr="00382DF3">
        <w:trPr>
          <w:cantSplit/>
        </w:trPr>
        <w:tc>
          <w:tcPr>
            <w:tcW w:w="3240" w:type="dxa"/>
          </w:tcPr>
          <w:p w14:paraId="7CFA49BB" w14:textId="77777777" w:rsidR="00010E2E" w:rsidRDefault="00010E2E">
            <w:pPr>
              <w:pStyle w:val="Table"/>
              <w:rPr>
                <w:snapToGrid w:val="0"/>
              </w:rPr>
            </w:pPr>
            <w:r>
              <w:rPr>
                <w:snapToGrid w:val="0"/>
              </w:rPr>
              <w:t>Gasoline (other than for use as fuel in an aircraft)</w:t>
            </w:r>
          </w:p>
        </w:tc>
        <w:tc>
          <w:tcPr>
            <w:tcW w:w="1560" w:type="dxa"/>
          </w:tcPr>
          <w:p w14:paraId="28EB987A" w14:textId="77777777" w:rsidR="00010E2E" w:rsidRDefault="00010E2E">
            <w:pPr>
              <w:pStyle w:val="Table"/>
              <w:jc w:val="center"/>
              <w:rPr>
                <w:snapToGrid w:val="0"/>
              </w:rPr>
            </w:pPr>
            <w:r>
              <w:rPr>
                <w:snapToGrid w:val="0"/>
              </w:rPr>
              <w:t>34.2</w:t>
            </w:r>
          </w:p>
        </w:tc>
        <w:tc>
          <w:tcPr>
            <w:tcW w:w="1154" w:type="dxa"/>
          </w:tcPr>
          <w:p w14:paraId="71453870" w14:textId="77777777" w:rsidR="00010E2E" w:rsidRDefault="00010E2E">
            <w:pPr>
              <w:pStyle w:val="Table"/>
              <w:jc w:val="center"/>
              <w:rPr>
                <w:snapToGrid w:val="0"/>
              </w:rPr>
            </w:pPr>
            <w:r>
              <w:rPr>
                <w:snapToGrid w:val="0"/>
              </w:rPr>
              <w:t>6</w:t>
            </w:r>
            <w:r w:rsidR="00E00664">
              <w:rPr>
                <w:snapToGrid w:val="0"/>
              </w:rPr>
              <w:t>7.4</w:t>
            </w:r>
          </w:p>
        </w:tc>
        <w:tc>
          <w:tcPr>
            <w:tcW w:w="1134" w:type="dxa"/>
          </w:tcPr>
          <w:p w14:paraId="079322C4" w14:textId="77777777" w:rsidR="00010E2E" w:rsidRDefault="00010E2E">
            <w:pPr>
              <w:pStyle w:val="Table"/>
              <w:jc w:val="center"/>
              <w:rPr>
                <w:snapToGrid w:val="0"/>
              </w:rPr>
            </w:pPr>
            <w:r>
              <w:rPr>
                <w:snapToGrid w:val="0"/>
              </w:rPr>
              <w:t>0.2</w:t>
            </w:r>
          </w:p>
        </w:tc>
        <w:tc>
          <w:tcPr>
            <w:tcW w:w="1276" w:type="dxa"/>
          </w:tcPr>
          <w:p w14:paraId="32A97945" w14:textId="77777777" w:rsidR="00010E2E" w:rsidRDefault="00010E2E">
            <w:pPr>
              <w:pStyle w:val="Table"/>
              <w:jc w:val="center"/>
              <w:rPr>
                <w:snapToGrid w:val="0"/>
              </w:rPr>
            </w:pPr>
            <w:r>
              <w:rPr>
                <w:snapToGrid w:val="0"/>
              </w:rPr>
              <w:t>0.2</w:t>
            </w:r>
          </w:p>
        </w:tc>
      </w:tr>
      <w:tr w:rsidR="00010E2E" w14:paraId="41A944C3" w14:textId="77777777" w:rsidTr="00382DF3">
        <w:trPr>
          <w:cantSplit/>
        </w:trPr>
        <w:tc>
          <w:tcPr>
            <w:tcW w:w="3240" w:type="dxa"/>
          </w:tcPr>
          <w:p w14:paraId="0C1ED520" w14:textId="77777777" w:rsidR="00010E2E" w:rsidRDefault="00010E2E">
            <w:pPr>
              <w:pStyle w:val="Table"/>
              <w:rPr>
                <w:snapToGrid w:val="0"/>
              </w:rPr>
            </w:pPr>
            <w:r>
              <w:rPr>
                <w:snapToGrid w:val="0"/>
              </w:rPr>
              <w:t>Gasoline for use as fuel in an aircraft (avgas)</w:t>
            </w:r>
          </w:p>
        </w:tc>
        <w:tc>
          <w:tcPr>
            <w:tcW w:w="1560" w:type="dxa"/>
          </w:tcPr>
          <w:p w14:paraId="15E2ED11" w14:textId="77777777" w:rsidR="00010E2E" w:rsidRDefault="00010E2E">
            <w:pPr>
              <w:pStyle w:val="Table"/>
              <w:jc w:val="center"/>
              <w:rPr>
                <w:snapToGrid w:val="0"/>
              </w:rPr>
            </w:pPr>
            <w:r>
              <w:rPr>
                <w:snapToGrid w:val="0"/>
              </w:rPr>
              <w:t>33.1</w:t>
            </w:r>
          </w:p>
        </w:tc>
        <w:tc>
          <w:tcPr>
            <w:tcW w:w="1154" w:type="dxa"/>
          </w:tcPr>
          <w:p w14:paraId="3DAD60BF" w14:textId="77777777" w:rsidR="00010E2E" w:rsidRDefault="00010E2E">
            <w:pPr>
              <w:pStyle w:val="Table"/>
              <w:jc w:val="center"/>
              <w:rPr>
                <w:snapToGrid w:val="0"/>
              </w:rPr>
            </w:pPr>
            <w:r>
              <w:rPr>
                <w:snapToGrid w:val="0"/>
              </w:rPr>
              <w:t>6</w:t>
            </w:r>
            <w:r w:rsidR="00E00664">
              <w:rPr>
                <w:snapToGrid w:val="0"/>
              </w:rPr>
              <w:t>7</w:t>
            </w:r>
          </w:p>
        </w:tc>
        <w:tc>
          <w:tcPr>
            <w:tcW w:w="1134" w:type="dxa"/>
          </w:tcPr>
          <w:p w14:paraId="3F65425F" w14:textId="77777777" w:rsidR="00010E2E" w:rsidRDefault="00010E2E">
            <w:pPr>
              <w:pStyle w:val="Table"/>
              <w:jc w:val="center"/>
              <w:rPr>
                <w:snapToGrid w:val="0"/>
              </w:rPr>
            </w:pPr>
            <w:r>
              <w:rPr>
                <w:snapToGrid w:val="0"/>
              </w:rPr>
              <w:t>0.2</w:t>
            </w:r>
          </w:p>
        </w:tc>
        <w:tc>
          <w:tcPr>
            <w:tcW w:w="1276" w:type="dxa"/>
          </w:tcPr>
          <w:p w14:paraId="2AB01F30" w14:textId="77777777" w:rsidR="00010E2E" w:rsidRDefault="00010E2E">
            <w:pPr>
              <w:pStyle w:val="Table"/>
              <w:jc w:val="center"/>
              <w:rPr>
                <w:snapToGrid w:val="0"/>
              </w:rPr>
            </w:pPr>
            <w:r>
              <w:rPr>
                <w:snapToGrid w:val="0"/>
              </w:rPr>
              <w:t>0.2</w:t>
            </w:r>
          </w:p>
        </w:tc>
      </w:tr>
      <w:tr w:rsidR="00010E2E" w14:paraId="42D37374" w14:textId="77777777" w:rsidTr="00382DF3">
        <w:trPr>
          <w:cantSplit/>
        </w:trPr>
        <w:tc>
          <w:tcPr>
            <w:tcW w:w="3240" w:type="dxa"/>
          </w:tcPr>
          <w:p w14:paraId="15BFBBE4" w14:textId="77777777" w:rsidR="00010E2E" w:rsidRDefault="00010E2E">
            <w:pPr>
              <w:pStyle w:val="Table"/>
            </w:pPr>
            <w:r>
              <w:rPr>
                <w:snapToGrid w:val="0"/>
              </w:rPr>
              <w:t>Kerosene (other than for use as fuel in an aircraft)</w:t>
            </w:r>
          </w:p>
        </w:tc>
        <w:tc>
          <w:tcPr>
            <w:tcW w:w="1560" w:type="dxa"/>
          </w:tcPr>
          <w:p w14:paraId="7797E581" w14:textId="77777777" w:rsidR="00010E2E" w:rsidRDefault="00010E2E">
            <w:pPr>
              <w:pStyle w:val="Table"/>
              <w:jc w:val="center"/>
              <w:rPr>
                <w:snapToGrid w:val="0"/>
              </w:rPr>
            </w:pPr>
            <w:r>
              <w:rPr>
                <w:snapToGrid w:val="0"/>
              </w:rPr>
              <w:t>37.5</w:t>
            </w:r>
          </w:p>
        </w:tc>
        <w:tc>
          <w:tcPr>
            <w:tcW w:w="1154" w:type="dxa"/>
          </w:tcPr>
          <w:p w14:paraId="194C713D" w14:textId="77777777" w:rsidR="00010E2E" w:rsidRDefault="00010E2E">
            <w:pPr>
              <w:pStyle w:val="Table"/>
              <w:jc w:val="center"/>
              <w:rPr>
                <w:snapToGrid w:val="0"/>
              </w:rPr>
            </w:pPr>
            <w:r>
              <w:rPr>
                <w:snapToGrid w:val="0"/>
              </w:rPr>
              <w:t>68.</w:t>
            </w:r>
            <w:r w:rsidR="00E00664">
              <w:rPr>
                <w:snapToGrid w:val="0"/>
              </w:rPr>
              <w:t>9</w:t>
            </w:r>
          </w:p>
        </w:tc>
        <w:tc>
          <w:tcPr>
            <w:tcW w:w="1134" w:type="dxa"/>
          </w:tcPr>
          <w:p w14:paraId="24A0EFE1" w14:textId="77777777" w:rsidR="00010E2E" w:rsidRDefault="00010E2E">
            <w:pPr>
              <w:pStyle w:val="Table"/>
              <w:jc w:val="center"/>
              <w:rPr>
                <w:snapToGrid w:val="0"/>
              </w:rPr>
            </w:pPr>
            <w:r>
              <w:rPr>
                <w:snapToGrid w:val="0"/>
              </w:rPr>
              <w:t>0.0</w:t>
            </w:r>
          </w:p>
        </w:tc>
        <w:tc>
          <w:tcPr>
            <w:tcW w:w="1276" w:type="dxa"/>
          </w:tcPr>
          <w:p w14:paraId="4D1F3F7D" w14:textId="77777777" w:rsidR="00010E2E" w:rsidRDefault="00010E2E">
            <w:pPr>
              <w:pStyle w:val="Table"/>
              <w:jc w:val="center"/>
              <w:rPr>
                <w:snapToGrid w:val="0"/>
              </w:rPr>
            </w:pPr>
            <w:r>
              <w:rPr>
                <w:snapToGrid w:val="0"/>
              </w:rPr>
              <w:t>0.2</w:t>
            </w:r>
          </w:p>
        </w:tc>
      </w:tr>
      <w:tr w:rsidR="00010E2E" w14:paraId="383DBC9C" w14:textId="77777777" w:rsidTr="00382DF3">
        <w:trPr>
          <w:cantSplit/>
        </w:trPr>
        <w:tc>
          <w:tcPr>
            <w:tcW w:w="3240" w:type="dxa"/>
          </w:tcPr>
          <w:p w14:paraId="45010933" w14:textId="77777777" w:rsidR="00010E2E" w:rsidRDefault="00010E2E">
            <w:pPr>
              <w:pStyle w:val="Table"/>
              <w:rPr>
                <w:snapToGrid w:val="0"/>
              </w:rPr>
            </w:pPr>
            <w:r>
              <w:t>Kerosene for use as fuel in an aircraft (avtur)</w:t>
            </w:r>
          </w:p>
        </w:tc>
        <w:tc>
          <w:tcPr>
            <w:tcW w:w="1560" w:type="dxa"/>
          </w:tcPr>
          <w:p w14:paraId="53CABE1F" w14:textId="77777777" w:rsidR="00010E2E" w:rsidRDefault="00010E2E">
            <w:pPr>
              <w:pStyle w:val="Table"/>
              <w:jc w:val="center"/>
              <w:rPr>
                <w:snapToGrid w:val="0"/>
              </w:rPr>
            </w:pPr>
            <w:r>
              <w:rPr>
                <w:snapToGrid w:val="0"/>
              </w:rPr>
              <w:t>36.8</w:t>
            </w:r>
          </w:p>
        </w:tc>
        <w:tc>
          <w:tcPr>
            <w:tcW w:w="1154" w:type="dxa"/>
          </w:tcPr>
          <w:p w14:paraId="23EC87E0" w14:textId="77777777" w:rsidR="00010E2E" w:rsidRDefault="00010E2E">
            <w:pPr>
              <w:pStyle w:val="Table"/>
              <w:jc w:val="center"/>
              <w:rPr>
                <w:snapToGrid w:val="0"/>
              </w:rPr>
            </w:pPr>
            <w:r>
              <w:rPr>
                <w:snapToGrid w:val="0"/>
              </w:rPr>
              <w:t>6</w:t>
            </w:r>
            <w:r w:rsidR="00E00664">
              <w:rPr>
                <w:snapToGrid w:val="0"/>
              </w:rPr>
              <w:t>9.6</w:t>
            </w:r>
          </w:p>
        </w:tc>
        <w:tc>
          <w:tcPr>
            <w:tcW w:w="1134" w:type="dxa"/>
          </w:tcPr>
          <w:p w14:paraId="44256355" w14:textId="77777777" w:rsidR="00010E2E" w:rsidRDefault="00010E2E">
            <w:pPr>
              <w:pStyle w:val="Table"/>
              <w:jc w:val="center"/>
              <w:rPr>
                <w:snapToGrid w:val="0"/>
              </w:rPr>
            </w:pPr>
            <w:r>
              <w:rPr>
                <w:snapToGrid w:val="0"/>
              </w:rPr>
              <w:t>0.0</w:t>
            </w:r>
            <w:r w:rsidR="009C31A9">
              <w:rPr>
                <w:snapToGrid w:val="0"/>
              </w:rPr>
              <w:t>2</w:t>
            </w:r>
          </w:p>
        </w:tc>
        <w:tc>
          <w:tcPr>
            <w:tcW w:w="1276" w:type="dxa"/>
          </w:tcPr>
          <w:p w14:paraId="69608E3D" w14:textId="77777777" w:rsidR="00010E2E" w:rsidRDefault="00010E2E">
            <w:pPr>
              <w:pStyle w:val="Table"/>
              <w:jc w:val="center"/>
              <w:rPr>
                <w:snapToGrid w:val="0"/>
              </w:rPr>
            </w:pPr>
            <w:r>
              <w:rPr>
                <w:snapToGrid w:val="0"/>
              </w:rPr>
              <w:t>0.2</w:t>
            </w:r>
          </w:p>
        </w:tc>
      </w:tr>
      <w:tr w:rsidR="00010E2E" w14:paraId="2C0566F7" w14:textId="77777777" w:rsidTr="00382DF3">
        <w:trPr>
          <w:cantSplit/>
        </w:trPr>
        <w:tc>
          <w:tcPr>
            <w:tcW w:w="3240" w:type="dxa"/>
          </w:tcPr>
          <w:p w14:paraId="33798F94" w14:textId="77777777" w:rsidR="00010E2E" w:rsidRDefault="00010E2E">
            <w:pPr>
              <w:pStyle w:val="Table"/>
              <w:rPr>
                <w:snapToGrid w:val="0"/>
              </w:rPr>
            </w:pPr>
            <w:r>
              <w:rPr>
                <w:snapToGrid w:val="0"/>
              </w:rPr>
              <w:t>Heating oil</w:t>
            </w:r>
          </w:p>
        </w:tc>
        <w:tc>
          <w:tcPr>
            <w:tcW w:w="1560" w:type="dxa"/>
          </w:tcPr>
          <w:p w14:paraId="5985F19D" w14:textId="77777777" w:rsidR="00010E2E" w:rsidRDefault="00010E2E">
            <w:pPr>
              <w:pStyle w:val="Table"/>
              <w:jc w:val="center"/>
              <w:rPr>
                <w:snapToGrid w:val="0"/>
              </w:rPr>
            </w:pPr>
            <w:r>
              <w:rPr>
                <w:snapToGrid w:val="0"/>
              </w:rPr>
              <w:t>37.3</w:t>
            </w:r>
          </w:p>
        </w:tc>
        <w:tc>
          <w:tcPr>
            <w:tcW w:w="1154" w:type="dxa"/>
          </w:tcPr>
          <w:p w14:paraId="0292ED81" w14:textId="77777777" w:rsidR="00010E2E" w:rsidRDefault="00010E2E">
            <w:pPr>
              <w:pStyle w:val="Table"/>
              <w:jc w:val="center"/>
              <w:rPr>
                <w:snapToGrid w:val="0"/>
              </w:rPr>
            </w:pPr>
            <w:r>
              <w:rPr>
                <w:snapToGrid w:val="0"/>
              </w:rPr>
              <w:t>6</w:t>
            </w:r>
            <w:r w:rsidR="00E00664">
              <w:rPr>
                <w:snapToGrid w:val="0"/>
              </w:rPr>
              <w:t>9.5</w:t>
            </w:r>
          </w:p>
        </w:tc>
        <w:tc>
          <w:tcPr>
            <w:tcW w:w="1134" w:type="dxa"/>
          </w:tcPr>
          <w:p w14:paraId="59AE1CB1" w14:textId="77777777" w:rsidR="00010E2E" w:rsidRDefault="00010E2E">
            <w:pPr>
              <w:pStyle w:val="Table"/>
              <w:jc w:val="center"/>
              <w:rPr>
                <w:snapToGrid w:val="0"/>
              </w:rPr>
            </w:pPr>
            <w:r>
              <w:rPr>
                <w:snapToGrid w:val="0"/>
              </w:rPr>
              <w:t>0.0</w:t>
            </w:r>
            <w:r w:rsidR="009C31A9">
              <w:rPr>
                <w:snapToGrid w:val="0"/>
              </w:rPr>
              <w:t>3</w:t>
            </w:r>
          </w:p>
        </w:tc>
        <w:tc>
          <w:tcPr>
            <w:tcW w:w="1276" w:type="dxa"/>
          </w:tcPr>
          <w:p w14:paraId="078FA04D" w14:textId="77777777" w:rsidR="00010E2E" w:rsidRDefault="00010E2E">
            <w:pPr>
              <w:pStyle w:val="Table"/>
              <w:jc w:val="center"/>
              <w:rPr>
                <w:snapToGrid w:val="0"/>
              </w:rPr>
            </w:pPr>
            <w:r>
              <w:rPr>
                <w:snapToGrid w:val="0"/>
              </w:rPr>
              <w:t>0.2</w:t>
            </w:r>
          </w:p>
        </w:tc>
      </w:tr>
      <w:tr w:rsidR="00010E2E" w14:paraId="1456ABD6" w14:textId="77777777" w:rsidTr="00382DF3">
        <w:trPr>
          <w:cantSplit/>
        </w:trPr>
        <w:tc>
          <w:tcPr>
            <w:tcW w:w="3240" w:type="dxa"/>
          </w:tcPr>
          <w:p w14:paraId="664BE606" w14:textId="77777777" w:rsidR="00010E2E" w:rsidRDefault="00010E2E">
            <w:pPr>
              <w:pStyle w:val="Table"/>
              <w:rPr>
                <w:snapToGrid w:val="0"/>
              </w:rPr>
            </w:pPr>
            <w:r>
              <w:rPr>
                <w:snapToGrid w:val="0"/>
              </w:rPr>
              <w:t>Diesel oil</w:t>
            </w:r>
          </w:p>
        </w:tc>
        <w:tc>
          <w:tcPr>
            <w:tcW w:w="1560" w:type="dxa"/>
          </w:tcPr>
          <w:p w14:paraId="08C45B49" w14:textId="77777777" w:rsidR="00010E2E" w:rsidRDefault="00010E2E">
            <w:pPr>
              <w:pStyle w:val="Table"/>
              <w:jc w:val="center"/>
              <w:rPr>
                <w:snapToGrid w:val="0"/>
              </w:rPr>
            </w:pPr>
            <w:r>
              <w:rPr>
                <w:snapToGrid w:val="0"/>
              </w:rPr>
              <w:t>38.6</w:t>
            </w:r>
          </w:p>
        </w:tc>
        <w:tc>
          <w:tcPr>
            <w:tcW w:w="1154" w:type="dxa"/>
          </w:tcPr>
          <w:p w14:paraId="6FEEB098" w14:textId="77777777" w:rsidR="00010E2E" w:rsidRDefault="00010E2E">
            <w:pPr>
              <w:pStyle w:val="Table"/>
              <w:jc w:val="center"/>
              <w:rPr>
                <w:snapToGrid w:val="0"/>
              </w:rPr>
            </w:pPr>
            <w:r>
              <w:rPr>
                <w:snapToGrid w:val="0"/>
              </w:rPr>
              <w:t>69.</w:t>
            </w:r>
            <w:r w:rsidR="00E00664">
              <w:rPr>
                <w:snapToGrid w:val="0"/>
              </w:rPr>
              <w:t>9</w:t>
            </w:r>
          </w:p>
        </w:tc>
        <w:tc>
          <w:tcPr>
            <w:tcW w:w="1134" w:type="dxa"/>
          </w:tcPr>
          <w:p w14:paraId="32F9B673" w14:textId="77777777" w:rsidR="00010E2E" w:rsidRDefault="00010E2E">
            <w:pPr>
              <w:pStyle w:val="Table"/>
              <w:jc w:val="center"/>
              <w:rPr>
                <w:snapToGrid w:val="0"/>
              </w:rPr>
            </w:pPr>
            <w:r>
              <w:rPr>
                <w:snapToGrid w:val="0"/>
              </w:rPr>
              <w:t>0.1</w:t>
            </w:r>
          </w:p>
        </w:tc>
        <w:tc>
          <w:tcPr>
            <w:tcW w:w="1276" w:type="dxa"/>
          </w:tcPr>
          <w:p w14:paraId="30D91DBD" w14:textId="77777777" w:rsidR="00010E2E" w:rsidRDefault="00010E2E">
            <w:pPr>
              <w:pStyle w:val="Table"/>
              <w:jc w:val="center"/>
              <w:rPr>
                <w:snapToGrid w:val="0"/>
              </w:rPr>
            </w:pPr>
            <w:r>
              <w:rPr>
                <w:snapToGrid w:val="0"/>
              </w:rPr>
              <w:t>0.2</w:t>
            </w:r>
          </w:p>
        </w:tc>
      </w:tr>
      <w:tr w:rsidR="00010E2E" w14:paraId="61CDEDD2" w14:textId="77777777" w:rsidTr="00382DF3">
        <w:trPr>
          <w:cantSplit/>
        </w:trPr>
        <w:tc>
          <w:tcPr>
            <w:tcW w:w="3240" w:type="dxa"/>
          </w:tcPr>
          <w:p w14:paraId="5C0AF1DA" w14:textId="77777777" w:rsidR="00010E2E" w:rsidRDefault="00010E2E">
            <w:pPr>
              <w:pStyle w:val="Table"/>
              <w:rPr>
                <w:snapToGrid w:val="0"/>
              </w:rPr>
            </w:pPr>
            <w:r>
              <w:rPr>
                <w:snapToGrid w:val="0"/>
              </w:rPr>
              <w:t>Fuel oil</w:t>
            </w:r>
          </w:p>
        </w:tc>
        <w:tc>
          <w:tcPr>
            <w:tcW w:w="1560" w:type="dxa"/>
          </w:tcPr>
          <w:p w14:paraId="2AED327B" w14:textId="77777777" w:rsidR="00010E2E" w:rsidRDefault="00010E2E">
            <w:pPr>
              <w:pStyle w:val="Table"/>
              <w:jc w:val="center"/>
              <w:rPr>
                <w:snapToGrid w:val="0"/>
              </w:rPr>
            </w:pPr>
            <w:r>
              <w:rPr>
                <w:snapToGrid w:val="0"/>
              </w:rPr>
              <w:t>39.7</w:t>
            </w:r>
          </w:p>
        </w:tc>
        <w:tc>
          <w:tcPr>
            <w:tcW w:w="1154" w:type="dxa"/>
          </w:tcPr>
          <w:p w14:paraId="68B65CF1" w14:textId="77777777" w:rsidR="00010E2E" w:rsidRDefault="00010E2E">
            <w:pPr>
              <w:pStyle w:val="Table"/>
              <w:jc w:val="center"/>
              <w:rPr>
                <w:snapToGrid w:val="0"/>
              </w:rPr>
            </w:pPr>
            <w:r>
              <w:rPr>
                <w:snapToGrid w:val="0"/>
              </w:rPr>
              <w:t>7</w:t>
            </w:r>
            <w:r w:rsidR="00E00664">
              <w:rPr>
                <w:snapToGrid w:val="0"/>
              </w:rPr>
              <w:t>3.6</w:t>
            </w:r>
          </w:p>
        </w:tc>
        <w:tc>
          <w:tcPr>
            <w:tcW w:w="1134" w:type="dxa"/>
          </w:tcPr>
          <w:p w14:paraId="37187599" w14:textId="77777777" w:rsidR="00010E2E" w:rsidRDefault="00010E2E">
            <w:pPr>
              <w:pStyle w:val="Table"/>
              <w:jc w:val="center"/>
              <w:rPr>
                <w:snapToGrid w:val="0"/>
              </w:rPr>
            </w:pPr>
            <w:r>
              <w:rPr>
                <w:snapToGrid w:val="0"/>
              </w:rPr>
              <w:t>0.0</w:t>
            </w:r>
            <w:r w:rsidR="009C31A9">
              <w:rPr>
                <w:snapToGrid w:val="0"/>
              </w:rPr>
              <w:t>4</w:t>
            </w:r>
          </w:p>
        </w:tc>
        <w:tc>
          <w:tcPr>
            <w:tcW w:w="1276" w:type="dxa"/>
          </w:tcPr>
          <w:p w14:paraId="40644593" w14:textId="77777777" w:rsidR="00010E2E" w:rsidRDefault="00010E2E">
            <w:pPr>
              <w:pStyle w:val="Table"/>
              <w:jc w:val="center"/>
              <w:rPr>
                <w:snapToGrid w:val="0"/>
              </w:rPr>
            </w:pPr>
            <w:r>
              <w:rPr>
                <w:snapToGrid w:val="0"/>
              </w:rPr>
              <w:t>0.2</w:t>
            </w:r>
          </w:p>
        </w:tc>
      </w:tr>
      <w:tr w:rsidR="00010E2E" w14:paraId="722FC72F" w14:textId="77777777" w:rsidTr="00382DF3">
        <w:trPr>
          <w:cantSplit/>
        </w:trPr>
        <w:tc>
          <w:tcPr>
            <w:tcW w:w="3240" w:type="dxa"/>
          </w:tcPr>
          <w:p w14:paraId="34296DD4" w14:textId="77777777" w:rsidR="00010E2E" w:rsidRDefault="00010E2E">
            <w:pPr>
              <w:pStyle w:val="Table"/>
              <w:rPr>
                <w:snapToGrid w:val="0"/>
              </w:rPr>
            </w:pPr>
            <w:r>
              <w:rPr>
                <w:snapToGrid w:val="0"/>
              </w:rPr>
              <w:t>Liquefied aromatic hydrocarbons</w:t>
            </w:r>
          </w:p>
        </w:tc>
        <w:tc>
          <w:tcPr>
            <w:tcW w:w="1560" w:type="dxa"/>
          </w:tcPr>
          <w:p w14:paraId="34671E01" w14:textId="77777777" w:rsidR="00010E2E" w:rsidRDefault="00010E2E">
            <w:pPr>
              <w:pStyle w:val="Table"/>
              <w:jc w:val="center"/>
              <w:rPr>
                <w:snapToGrid w:val="0"/>
              </w:rPr>
            </w:pPr>
            <w:r>
              <w:rPr>
                <w:snapToGrid w:val="0"/>
              </w:rPr>
              <w:t>34.4</w:t>
            </w:r>
          </w:p>
        </w:tc>
        <w:tc>
          <w:tcPr>
            <w:tcW w:w="1154" w:type="dxa"/>
          </w:tcPr>
          <w:p w14:paraId="72F6EAD8" w14:textId="77777777" w:rsidR="00010E2E" w:rsidRDefault="00010E2E">
            <w:pPr>
              <w:pStyle w:val="Table"/>
              <w:jc w:val="center"/>
              <w:rPr>
                <w:snapToGrid w:val="0"/>
              </w:rPr>
            </w:pPr>
            <w:r>
              <w:rPr>
                <w:snapToGrid w:val="0"/>
              </w:rPr>
              <w:t>69.</w:t>
            </w:r>
            <w:r w:rsidR="00E00664">
              <w:rPr>
                <w:snapToGrid w:val="0"/>
              </w:rPr>
              <w:t>7</w:t>
            </w:r>
          </w:p>
        </w:tc>
        <w:tc>
          <w:tcPr>
            <w:tcW w:w="1134" w:type="dxa"/>
          </w:tcPr>
          <w:p w14:paraId="059C628C" w14:textId="77777777" w:rsidR="00010E2E" w:rsidRDefault="00010E2E">
            <w:pPr>
              <w:pStyle w:val="Table"/>
              <w:jc w:val="center"/>
              <w:rPr>
                <w:snapToGrid w:val="0"/>
              </w:rPr>
            </w:pPr>
            <w:r>
              <w:rPr>
                <w:snapToGrid w:val="0"/>
              </w:rPr>
              <w:t>0.02</w:t>
            </w:r>
          </w:p>
        </w:tc>
        <w:tc>
          <w:tcPr>
            <w:tcW w:w="1276" w:type="dxa"/>
          </w:tcPr>
          <w:p w14:paraId="5B7D54EC" w14:textId="77777777" w:rsidR="00010E2E" w:rsidRDefault="00010E2E">
            <w:pPr>
              <w:pStyle w:val="Table"/>
              <w:jc w:val="center"/>
              <w:rPr>
                <w:snapToGrid w:val="0"/>
              </w:rPr>
            </w:pPr>
            <w:r>
              <w:rPr>
                <w:snapToGrid w:val="0"/>
              </w:rPr>
              <w:t>0.2</w:t>
            </w:r>
          </w:p>
        </w:tc>
      </w:tr>
      <w:tr w:rsidR="00010E2E" w14:paraId="3E73F8EA" w14:textId="77777777" w:rsidTr="00382DF3">
        <w:trPr>
          <w:cantSplit/>
        </w:trPr>
        <w:tc>
          <w:tcPr>
            <w:tcW w:w="3240" w:type="dxa"/>
          </w:tcPr>
          <w:p w14:paraId="2DF95408" w14:textId="77777777" w:rsidR="00010E2E" w:rsidRDefault="00010E2E">
            <w:pPr>
              <w:pStyle w:val="Table"/>
              <w:rPr>
                <w:snapToGrid w:val="0"/>
              </w:rPr>
            </w:pPr>
            <w:r>
              <w:rPr>
                <w:snapToGrid w:val="0"/>
              </w:rPr>
              <w:t>Solvents if mineral turpentine or white spirits</w:t>
            </w:r>
          </w:p>
        </w:tc>
        <w:tc>
          <w:tcPr>
            <w:tcW w:w="1560" w:type="dxa"/>
          </w:tcPr>
          <w:p w14:paraId="5119776B" w14:textId="77777777" w:rsidR="00010E2E" w:rsidRDefault="00010E2E">
            <w:pPr>
              <w:pStyle w:val="Table"/>
              <w:jc w:val="center"/>
              <w:rPr>
                <w:snapToGrid w:val="0"/>
              </w:rPr>
            </w:pPr>
            <w:r>
              <w:rPr>
                <w:snapToGrid w:val="0"/>
              </w:rPr>
              <w:t>34.4</w:t>
            </w:r>
          </w:p>
        </w:tc>
        <w:tc>
          <w:tcPr>
            <w:tcW w:w="1154" w:type="dxa"/>
          </w:tcPr>
          <w:p w14:paraId="59072CC5" w14:textId="77777777" w:rsidR="00010E2E" w:rsidRDefault="00010E2E">
            <w:pPr>
              <w:pStyle w:val="Table"/>
              <w:jc w:val="center"/>
              <w:rPr>
                <w:snapToGrid w:val="0"/>
              </w:rPr>
            </w:pPr>
            <w:r>
              <w:rPr>
                <w:snapToGrid w:val="0"/>
              </w:rPr>
              <w:t>69.</w:t>
            </w:r>
            <w:r w:rsidR="00E00664">
              <w:rPr>
                <w:snapToGrid w:val="0"/>
              </w:rPr>
              <w:t>7</w:t>
            </w:r>
          </w:p>
        </w:tc>
        <w:tc>
          <w:tcPr>
            <w:tcW w:w="1134" w:type="dxa"/>
          </w:tcPr>
          <w:p w14:paraId="034D66CC" w14:textId="77777777" w:rsidR="00010E2E" w:rsidRDefault="00010E2E">
            <w:pPr>
              <w:pStyle w:val="Table"/>
              <w:jc w:val="center"/>
              <w:rPr>
                <w:snapToGrid w:val="0"/>
              </w:rPr>
            </w:pPr>
            <w:r>
              <w:rPr>
                <w:snapToGrid w:val="0"/>
              </w:rPr>
              <w:t>0.02</w:t>
            </w:r>
          </w:p>
        </w:tc>
        <w:tc>
          <w:tcPr>
            <w:tcW w:w="1276" w:type="dxa"/>
          </w:tcPr>
          <w:p w14:paraId="4B6D62CC" w14:textId="77777777" w:rsidR="00010E2E" w:rsidRDefault="00010E2E">
            <w:pPr>
              <w:pStyle w:val="Table"/>
              <w:jc w:val="center"/>
              <w:rPr>
                <w:snapToGrid w:val="0"/>
              </w:rPr>
            </w:pPr>
            <w:r>
              <w:rPr>
                <w:snapToGrid w:val="0"/>
              </w:rPr>
              <w:t>0.2</w:t>
            </w:r>
          </w:p>
        </w:tc>
      </w:tr>
      <w:tr w:rsidR="00010E2E" w14:paraId="2E378AAF" w14:textId="77777777" w:rsidTr="00382DF3">
        <w:trPr>
          <w:cantSplit/>
        </w:trPr>
        <w:tc>
          <w:tcPr>
            <w:tcW w:w="3240" w:type="dxa"/>
          </w:tcPr>
          <w:p w14:paraId="0220FA75" w14:textId="77777777" w:rsidR="00010E2E" w:rsidRDefault="00010E2E">
            <w:pPr>
              <w:pStyle w:val="Table"/>
            </w:pPr>
            <w:r>
              <w:t xml:space="preserve">Liquefied petroleum gas </w:t>
            </w:r>
          </w:p>
        </w:tc>
        <w:tc>
          <w:tcPr>
            <w:tcW w:w="1560" w:type="dxa"/>
          </w:tcPr>
          <w:p w14:paraId="46351EFD" w14:textId="77777777" w:rsidR="00010E2E" w:rsidRDefault="00010E2E">
            <w:pPr>
              <w:pStyle w:val="Table"/>
              <w:jc w:val="center"/>
              <w:rPr>
                <w:snapToGrid w:val="0"/>
              </w:rPr>
            </w:pPr>
            <w:r>
              <w:rPr>
                <w:snapToGrid w:val="0"/>
              </w:rPr>
              <w:t>25.7</w:t>
            </w:r>
          </w:p>
        </w:tc>
        <w:tc>
          <w:tcPr>
            <w:tcW w:w="1154" w:type="dxa"/>
          </w:tcPr>
          <w:p w14:paraId="7EF2AA7F" w14:textId="77777777" w:rsidR="00010E2E" w:rsidRDefault="00E00664">
            <w:pPr>
              <w:pStyle w:val="Table"/>
              <w:jc w:val="center"/>
              <w:rPr>
                <w:snapToGrid w:val="0"/>
              </w:rPr>
            </w:pPr>
            <w:r>
              <w:rPr>
                <w:snapToGrid w:val="0"/>
              </w:rPr>
              <w:t>60.2</w:t>
            </w:r>
          </w:p>
        </w:tc>
        <w:tc>
          <w:tcPr>
            <w:tcW w:w="1134" w:type="dxa"/>
          </w:tcPr>
          <w:p w14:paraId="3E83D222" w14:textId="77777777" w:rsidR="00010E2E" w:rsidRDefault="00010E2E">
            <w:pPr>
              <w:pStyle w:val="Table"/>
              <w:jc w:val="center"/>
              <w:rPr>
                <w:snapToGrid w:val="0"/>
              </w:rPr>
            </w:pPr>
            <w:r>
              <w:rPr>
                <w:snapToGrid w:val="0"/>
              </w:rPr>
              <w:t>0.</w:t>
            </w:r>
            <w:r w:rsidR="009C31A9">
              <w:rPr>
                <w:snapToGrid w:val="0"/>
              </w:rPr>
              <w:t>2</w:t>
            </w:r>
          </w:p>
        </w:tc>
        <w:tc>
          <w:tcPr>
            <w:tcW w:w="1276" w:type="dxa"/>
          </w:tcPr>
          <w:p w14:paraId="62212FE7" w14:textId="77777777" w:rsidR="00010E2E" w:rsidRDefault="00010E2E">
            <w:pPr>
              <w:pStyle w:val="Table"/>
              <w:jc w:val="center"/>
              <w:rPr>
                <w:snapToGrid w:val="0"/>
              </w:rPr>
            </w:pPr>
            <w:r>
              <w:rPr>
                <w:snapToGrid w:val="0"/>
              </w:rPr>
              <w:t>0.2</w:t>
            </w:r>
          </w:p>
        </w:tc>
      </w:tr>
      <w:tr w:rsidR="00010E2E" w14:paraId="03B2750A" w14:textId="77777777" w:rsidTr="00382DF3">
        <w:trPr>
          <w:cantSplit/>
        </w:trPr>
        <w:tc>
          <w:tcPr>
            <w:tcW w:w="3240" w:type="dxa"/>
          </w:tcPr>
          <w:p w14:paraId="23D02648" w14:textId="77777777" w:rsidR="00010E2E" w:rsidRDefault="00010E2E">
            <w:pPr>
              <w:pStyle w:val="Table"/>
            </w:pPr>
            <w:r>
              <w:t>Naphtha</w:t>
            </w:r>
          </w:p>
        </w:tc>
        <w:tc>
          <w:tcPr>
            <w:tcW w:w="1560" w:type="dxa"/>
          </w:tcPr>
          <w:p w14:paraId="03594F4F" w14:textId="77777777" w:rsidR="00010E2E" w:rsidRDefault="00010E2E">
            <w:pPr>
              <w:pStyle w:val="Table"/>
              <w:jc w:val="center"/>
              <w:rPr>
                <w:snapToGrid w:val="0"/>
              </w:rPr>
            </w:pPr>
            <w:r>
              <w:rPr>
                <w:snapToGrid w:val="0"/>
              </w:rPr>
              <w:t>31.4</w:t>
            </w:r>
          </w:p>
        </w:tc>
        <w:tc>
          <w:tcPr>
            <w:tcW w:w="1154" w:type="dxa"/>
          </w:tcPr>
          <w:p w14:paraId="14443130" w14:textId="77777777" w:rsidR="00010E2E" w:rsidRDefault="00010E2E">
            <w:pPr>
              <w:pStyle w:val="Table"/>
              <w:jc w:val="center"/>
              <w:rPr>
                <w:snapToGrid w:val="0"/>
              </w:rPr>
            </w:pPr>
            <w:r>
              <w:rPr>
                <w:snapToGrid w:val="0"/>
              </w:rPr>
              <w:t>69.</w:t>
            </w:r>
            <w:r w:rsidR="00E00664">
              <w:rPr>
                <w:snapToGrid w:val="0"/>
              </w:rPr>
              <w:t>8</w:t>
            </w:r>
          </w:p>
        </w:tc>
        <w:tc>
          <w:tcPr>
            <w:tcW w:w="1134" w:type="dxa"/>
          </w:tcPr>
          <w:p w14:paraId="171FCDB7" w14:textId="77777777" w:rsidR="00010E2E" w:rsidRDefault="00010E2E">
            <w:pPr>
              <w:pStyle w:val="Table"/>
              <w:jc w:val="center"/>
              <w:rPr>
                <w:snapToGrid w:val="0"/>
              </w:rPr>
            </w:pPr>
            <w:r>
              <w:rPr>
                <w:snapToGrid w:val="0"/>
              </w:rPr>
              <w:t>0.00</w:t>
            </w:r>
          </w:p>
        </w:tc>
        <w:tc>
          <w:tcPr>
            <w:tcW w:w="1276" w:type="dxa"/>
          </w:tcPr>
          <w:p w14:paraId="3A239FB3" w14:textId="77777777" w:rsidR="00010E2E" w:rsidRDefault="00010E2E">
            <w:pPr>
              <w:pStyle w:val="Table"/>
              <w:jc w:val="center"/>
              <w:rPr>
                <w:snapToGrid w:val="0"/>
              </w:rPr>
            </w:pPr>
            <w:r>
              <w:rPr>
                <w:snapToGrid w:val="0"/>
              </w:rPr>
              <w:t>0.0</w:t>
            </w:r>
            <w:r w:rsidR="00FA7678">
              <w:rPr>
                <w:snapToGrid w:val="0"/>
              </w:rPr>
              <w:t>1</w:t>
            </w:r>
          </w:p>
        </w:tc>
      </w:tr>
      <w:tr w:rsidR="00010E2E" w14:paraId="2AF12A08" w14:textId="77777777" w:rsidTr="00382DF3">
        <w:trPr>
          <w:cantSplit/>
        </w:trPr>
        <w:tc>
          <w:tcPr>
            <w:tcW w:w="3240" w:type="dxa"/>
          </w:tcPr>
          <w:p w14:paraId="7040C065" w14:textId="77777777" w:rsidR="00010E2E" w:rsidRDefault="00010E2E">
            <w:pPr>
              <w:pStyle w:val="Table"/>
              <w:rPr>
                <w:snapToGrid w:val="0"/>
              </w:rPr>
            </w:pPr>
            <w:r>
              <w:rPr>
                <w:snapToGrid w:val="0"/>
              </w:rPr>
              <w:t>Petroleum coke</w:t>
            </w:r>
          </w:p>
        </w:tc>
        <w:tc>
          <w:tcPr>
            <w:tcW w:w="1560" w:type="dxa"/>
          </w:tcPr>
          <w:p w14:paraId="7F21D2A1" w14:textId="77777777" w:rsidR="00010E2E" w:rsidRDefault="00010E2E">
            <w:pPr>
              <w:pStyle w:val="Table"/>
              <w:jc w:val="center"/>
              <w:rPr>
                <w:snapToGrid w:val="0"/>
              </w:rPr>
            </w:pPr>
            <w:r>
              <w:rPr>
                <w:snapToGrid w:val="0"/>
              </w:rPr>
              <w:t>34.2 GJ/t</w:t>
            </w:r>
          </w:p>
        </w:tc>
        <w:tc>
          <w:tcPr>
            <w:tcW w:w="1154" w:type="dxa"/>
          </w:tcPr>
          <w:p w14:paraId="4F9A7914" w14:textId="77777777" w:rsidR="00010E2E" w:rsidRDefault="00010E2E">
            <w:pPr>
              <w:pStyle w:val="Table"/>
              <w:jc w:val="center"/>
              <w:rPr>
                <w:snapToGrid w:val="0"/>
              </w:rPr>
            </w:pPr>
            <w:r>
              <w:rPr>
                <w:snapToGrid w:val="0"/>
              </w:rPr>
              <w:t>9</w:t>
            </w:r>
            <w:r w:rsidR="00E00664">
              <w:rPr>
                <w:snapToGrid w:val="0"/>
              </w:rPr>
              <w:t>2.6</w:t>
            </w:r>
          </w:p>
        </w:tc>
        <w:tc>
          <w:tcPr>
            <w:tcW w:w="1134" w:type="dxa"/>
          </w:tcPr>
          <w:p w14:paraId="7423C137" w14:textId="77777777" w:rsidR="00010E2E" w:rsidRDefault="00010E2E">
            <w:pPr>
              <w:pStyle w:val="Table"/>
              <w:jc w:val="center"/>
              <w:rPr>
                <w:snapToGrid w:val="0"/>
              </w:rPr>
            </w:pPr>
            <w:r>
              <w:rPr>
                <w:snapToGrid w:val="0"/>
              </w:rPr>
              <w:t>0.0</w:t>
            </w:r>
            <w:r w:rsidR="009C31A9">
              <w:rPr>
                <w:snapToGrid w:val="0"/>
              </w:rPr>
              <w:t>7</w:t>
            </w:r>
          </w:p>
        </w:tc>
        <w:tc>
          <w:tcPr>
            <w:tcW w:w="1276" w:type="dxa"/>
          </w:tcPr>
          <w:p w14:paraId="1AB849BA" w14:textId="77777777" w:rsidR="00010E2E" w:rsidRDefault="00010E2E">
            <w:pPr>
              <w:pStyle w:val="Table"/>
              <w:jc w:val="center"/>
              <w:rPr>
                <w:snapToGrid w:val="0"/>
              </w:rPr>
            </w:pPr>
            <w:r>
              <w:rPr>
                <w:snapToGrid w:val="0"/>
              </w:rPr>
              <w:t>0.2</w:t>
            </w:r>
          </w:p>
        </w:tc>
      </w:tr>
      <w:tr w:rsidR="00010E2E" w14:paraId="51D0D034" w14:textId="77777777" w:rsidTr="00382DF3">
        <w:trPr>
          <w:cantSplit/>
        </w:trPr>
        <w:tc>
          <w:tcPr>
            <w:tcW w:w="3240" w:type="dxa"/>
          </w:tcPr>
          <w:p w14:paraId="00E636FF" w14:textId="77777777" w:rsidR="00010E2E" w:rsidRDefault="00010E2E">
            <w:pPr>
              <w:pStyle w:val="Table"/>
              <w:rPr>
                <w:snapToGrid w:val="0"/>
              </w:rPr>
            </w:pPr>
            <w:r>
              <w:rPr>
                <w:snapToGrid w:val="0"/>
              </w:rPr>
              <w:t>Refinery gas and liquids</w:t>
            </w:r>
          </w:p>
        </w:tc>
        <w:tc>
          <w:tcPr>
            <w:tcW w:w="1560" w:type="dxa"/>
          </w:tcPr>
          <w:p w14:paraId="1AD8900F" w14:textId="77777777" w:rsidR="00010E2E" w:rsidRDefault="00010E2E">
            <w:pPr>
              <w:pStyle w:val="Table"/>
              <w:jc w:val="center"/>
              <w:rPr>
                <w:snapToGrid w:val="0"/>
              </w:rPr>
            </w:pPr>
            <w:r>
              <w:rPr>
                <w:snapToGrid w:val="0"/>
              </w:rPr>
              <w:t>42.9 GJ/t</w:t>
            </w:r>
          </w:p>
        </w:tc>
        <w:tc>
          <w:tcPr>
            <w:tcW w:w="1154" w:type="dxa"/>
          </w:tcPr>
          <w:p w14:paraId="011B4481" w14:textId="77777777" w:rsidR="00010E2E" w:rsidRDefault="00010E2E">
            <w:pPr>
              <w:pStyle w:val="Table"/>
              <w:jc w:val="center"/>
              <w:rPr>
                <w:snapToGrid w:val="0"/>
              </w:rPr>
            </w:pPr>
            <w:r>
              <w:rPr>
                <w:snapToGrid w:val="0"/>
              </w:rPr>
              <w:t>54.</w:t>
            </w:r>
            <w:r w:rsidR="00E00664">
              <w:rPr>
                <w:snapToGrid w:val="0"/>
              </w:rPr>
              <w:t>7</w:t>
            </w:r>
          </w:p>
        </w:tc>
        <w:tc>
          <w:tcPr>
            <w:tcW w:w="1134" w:type="dxa"/>
          </w:tcPr>
          <w:p w14:paraId="0E1FB88F" w14:textId="77777777" w:rsidR="00010E2E" w:rsidRDefault="00010E2E">
            <w:pPr>
              <w:pStyle w:val="Table"/>
              <w:jc w:val="center"/>
              <w:rPr>
                <w:snapToGrid w:val="0"/>
              </w:rPr>
            </w:pPr>
            <w:r>
              <w:rPr>
                <w:snapToGrid w:val="0"/>
              </w:rPr>
              <w:t>0.02</w:t>
            </w:r>
          </w:p>
        </w:tc>
        <w:tc>
          <w:tcPr>
            <w:tcW w:w="1276" w:type="dxa"/>
          </w:tcPr>
          <w:p w14:paraId="71F7FDCF" w14:textId="77777777" w:rsidR="00010E2E" w:rsidRDefault="00010E2E">
            <w:pPr>
              <w:pStyle w:val="Table"/>
              <w:jc w:val="center"/>
              <w:rPr>
                <w:snapToGrid w:val="0"/>
              </w:rPr>
            </w:pPr>
            <w:r>
              <w:rPr>
                <w:snapToGrid w:val="0"/>
              </w:rPr>
              <w:t>0.0</w:t>
            </w:r>
          </w:p>
        </w:tc>
      </w:tr>
      <w:tr w:rsidR="00010E2E" w14:paraId="18C68210" w14:textId="77777777" w:rsidTr="00382DF3">
        <w:trPr>
          <w:cantSplit/>
        </w:trPr>
        <w:tc>
          <w:tcPr>
            <w:tcW w:w="3240" w:type="dxa"/>
          </w:tcPr>
          <w:p w14:paraId="52D04B35" w14:textId="77777777" w:rsidR="00010E2E" w:rsidRDefault="00010E2E">
            <w:pPr>
              <w:pStyle w:val="Table"/>
              <w:rPr>
                <w:snapToGrid w:val="0"/>
              </w:rPr>
            </w:pPr>
            <w:r>
              <w:rPr>
                <w:snapToGrid w:val="0"/>
              </w:rPr>
              <w:t>Refinery coke</w:t>
            </w:r>
          </w:p>
        </w:tc>
        <w:tc>
          <w:tcPr>
            <w:tcW w:w="1560" w:type="dxa"/>
          </w:tcPr>
          <w:p w14:paraId="1BE214CF" w14:textId="77777777" w:rsidR="00010E2E" w:rsidRDefault="00010E2E">
            <w:pPr>
              <w:pStyle w:val="Table"/>
              <w:jc w:val="center"/>
              <w:rPr>
                <w:snapToGrid w:val="0"/>
              </w:rPr>
            </w:pPr>
            <w:r>
              <w:rPr>
                <w:snapToGrid w:val="0"/>
              </w:rPr>
              <w:t>34.2 GJ/t</w:t>
            </w:r>
          </w:p>
        </w:tc>
        <w:tc>
          <w:tcPr>
            <w:tcW w:w="1154" w:type="dxa"/>
          </w:tcPr>
          <w:p w14:paraId="4B4519E6" w14:textId="77777777" w:rsidR="00010E2E" w:rsidRDefault="00010E2E">
            <w:pPr>
              <w:pStyle w:val="Table"/>
              <w:jc w:val="center"/>
              <w:rPr>
                <w:snapToGrid w:val="0"/>
              </w:rPr>
            </w:pPr>
            <w:r>
              <w:rPr>
                <w:snapToGrid w:val="0"/>
              </w:rPr>
              <w:t>9</w:t>
            </w:r>
            <w:r w:rsidR="00E00664">
              <w:rPr>
                <w:snapToGrid w:val="0"/>
              </w:rPr>
              <w:t>2.6</w:t>
            </w:r>
          </w:p>
        </w:tc>
        <w:tc>
          <w:tcPr>
            <w:tcW w:w="1134" w:type="dxa"/>
          </w:tcPr>
          <w:p w14:paraId="34FF5815" w14:textId="77777777" w:rsidR="00010E2E" w:rsidRDefault="00010E2E">
            <w:pPr>
              <w:pStyle w:val="Table"/>
              <w:jc w:val="center"/>
              <w:rPr>
                <w:snapToGrid w:val="0"/>
              </w:rPr>
            </w:pPr>
            <w:r>
              <w:rPr>
                <w:snapToGrid w:val="0"/>
              </w:rPr>
              <w:t>0.0</w:t>
            </w:r>
            <w:r w:rsidR="009C31A9">
              <w:rPr>
                <w:snapToGrid w:val="0"/>
              </w:rPr>
              <w:t>7</w:t>
            </w:r>
          </w:p>
        </w:tc>
        <w:tc>
          <w:tcPr>
            <w:tcW w:w="1276" w:type="dxa"/>
          </w:tcPr>
          <w:p w14:paraId="42E2FB11" w14:textId="77777777" w:rsidR="00010E2E" w:rsidRDefault="00010E2E">
            <w:pPr>
              <w:pStyle w:val="Table"/>
              <w:jc w:val="center"/>
              <w:rPr>
                <w:snapToGrid w:val="0"/>
              </w:rPr>
            </w:pPr>
            <w:r>
              <w:rPr>
                <w:snapToGrid w:val="0"/>
              </w:rPr>
              <w:t>0.2</w:t>
            </w:r>
          </w:p>
        </w:tc>
      </w:tr>
      <w:tr w:rsidR="00010E2E" w14:paraId="67DCEE8E" w14:textId="77777777" w:rsidTr="00382DF3">
        <w:trPr>
          <w:cantSplit/>
        </w:trPr>
        <w:tc>
          <w:tcPr>
            <w:tcW w:w="3240" w:type="dxa"/>
          </w:tcPr>
          <w:p w14:paraId="12784CD9" w14:textId="77777777" w:rsidR="00010E2E" w:rsidRDefault="00010E2E">
            <w:pPr>
              <w:pStyle w:val="Table"/>
              <w:rPr>
                <w:snapToGrid w:val="0"/>
              </w:rPr>
            </w:pPr>
            <w:r>
              <w:rPr>
                <w:snapToGrid w:val="0"/>
              </w:rPr>
              <w:t>Petroleum based products other than mentioned in the items above</w:t>
            </w:r>
          </w:p>
        </w:tc>
        <w:tc>
          <w:tcPr>
            <w:tcW w:w="1560" w:type="dxa"/>
          </w:tcPr>
          <w:p w14:paraId="2C28DAAE" w14:textId="77777777" w:rsidR="00010E2E" w:rsidRDefault="00010E2E">
            <w:pPr>
              <w:pStyle w:val="Table"/>
              <w:jc w:val="center"/>
              <w:rPr>
                <w:snapToGrid w:val="0"/>
              </w:rPr>
            </w:pPr>
            <w:r>
              <w:rPr>
                <w:snapToGrid w:val="0"/>
              </w:rPr>
              <w:t>34.4</w:t>
            </w:r>
          </w:p>
        </w:tc>
        <w:tc>
          <w:tcPr>
            <w:tcW w:w="1154" w:type="dxa"/>
          </w:tcPr>
          <w:p w14:paraId="365A0161" w14:textId="77777777" w:rsidR="00010E2E" w:rsidRDefault="00010E2E">
            <w:pPr>
              <w:pStyle w:val="Table"/>
              <w:jc w:val="center"/>
              <w:rPr>
                <w:snapToGrid w:val="0"/>
              </w:rPr>
            </w:pPr>
            <w:r>
              <w:rPr>
                <w:snapToGrid w:val="0"/>
              </w:rPr>
              <w:t>69.</w:t>
            </w:r>
            <w:r w:rsidR="00E00664">
              <w:rPr>
                <w:snapToGrid w:val="0"/>
              </w:rPr>
              <w:t>8</w:t>
            </w:r>
          </w:p>
        </w:tc>
        <w:tc>
          <w:tcPr>
            <w:tcW w:w="1134" w:type="dxa"/>
          </w:tcPr>
          <w:p w14:paraId="35F3BA9C" w14:textId="77777777" w:rsidR="00010E2E" w:rsidRDefault="00010E2E">
            <w:pPr>
              <w:pStyle w:val="Table"/>
              <w:jc w:val="center"/>
              <w:rPr>
                <w:snapToGrid w:val="0"/>
              </w:rPr>
            </w:pPr>
            <w:r>
              <w:rPr>
                <w:snapToGrid w:val="0"/>
              </w:rPr>
              <w:t>0.0</w:t>
            </w:r>
          </w:p>
        </w:tc>
        <w:tc>
          <w:tcPr>
            <w:tcW w:w="1276" w:type="dxa"/>
          </w:tcPr>
          <w:p w14:paraId="624ABA60" w14:textId="77777777" w:rsidR="00010E2E" w:rsidRDefault="00010E2E">
            <w:pPr>
              <w:pStyle w:val="Table"/>
              <w:jc w:val="center"/>
              <w:rPr>
                <w:snapToGrid w:val="0"/>
              </w:rPr>
            </w:pPr>
            <w:r>
              <w:rPr>
                <w:snapToGrid w:val="0"/>
              </w:rPr>
              <w:t>0.2</w:t>
            </w:r>
          </w:p>
        </w:tc>
      </w:tr>
      <w:tr w:rsidR="00010E2E" w14:paraId="46DDE9C3" w14:textId="77777777" w:rsidTr="00382DF3">
        <w:trPr>
          <w:cantSplit/>
        </w:trPr>
        <w:tc>
          <w:tcPr>
            <w:tcW w:w="3240" w:type="dxa"/>
          </w:tcPr>
          <w:p w14:paraId="21B8BD31" w14:textId="77777777" w:rsidR="00010E2E" w:rsidRDefault="00010E2E">
            <w:pPr>
              <w:pStyle w:val="Table"/>
              <w:rPr>
                <w:snapToGrid w:val="0"/>
              </w:rPr>
            </w:pPr>
            <w:r>
              <w:rPr>
                <w:snapToGrid w:val="0"/>
              </w:rPr>
              <w:t xml:space="preserve">Biodiesel </w:t>
            </w:r>
          </w:p>
        </w:tc>
        <w:tc>
          <w:tcPr>
            <w:tcW w:w="1560" w:type="dxa"/>
          </w:tcPr>
          <w:p w14:paraId="473EC117" w14:textId="77777777" w:rsidR="00010E2E" w:rsidRDefault="00010E2E">
            <w:pPr>
              <w:pStyle w:val="Table"/>
              <w:jc w:val="center"/>
              <w:rPr>
                <w:snapToGrid w:val="0"/>
              </w:rPr>
            </w:pPr>
            <w:r>
              <w:rPr>
                <w:snapToGrid w:val="0"/>
              </w:rPr>
              <w:t>34.6</w:t>
            </w:r>
          </w:p>
        </w:tc>
        <w:tc>
          <w:tcPr>
            <w:tcW w:w="1154" w:type="dxa"/>
          </w:tcPr>
          <w:p w14:paraId="4D826359" w14:textId="77777777" w:rsidR="00010E2E" w:rsidRDefault="00010E2E">
            <w:pPr>
              <w:pStyle w:val="Table"/>
              <w:jc w:val="center"/>
              <w:rPr>
                <w:snapToGrid w:val="0"/>
              </w:rPr>
            </w:pPr>
            <w:r>
              <w:rPr>
                <w:snapToGrid w:val="0"/>
              </w:rPr>
              <w:t>0.0</w:t>
            </w:r>
          </w:p>
        </w:tc>
        <w:tc>
          <w:tcPr>
            <w:tcW w:w="1134" w:type="dxa"/>
          </w:tcPr>
          <w:p w14:paraId="1E2A3EED" w14:textId="77777777" w:rsidR="00010E2E" w:rsidRDefault="00010E2E">
            <w:pPr>
              <w:pStyle w:val="Table"/>
              <w:jc w:val="center"/>
              <w:rPr>
                <w:snapToGrid w:val="0"/>
              </w:rPr>
            </w:pPr>
            <w:r>
              <w:rPr>
                <w:snapToGrid w:val="0"/>
              </w:rPr>
              <w:t>0.0</w:t>
            </w:r>
            <w:r w:rsidR="009C31A9">
              <w:rPr>
                <w:snapToGrid w:val="0"/>
              </w:rPr>
              <w:t>7</w:t>
            </w:r>
          </w:p>
        </w:tc>
        <w:tc>
          <w:tcPr>
            <w:tcW w:w="1276" w:type="dxa"/>
          </w:tcPr>
          <w:p w14:paraId="55BCCBA9" w14:textId="77777777" w:rsidR="00010E2E" w:rsidRDefault="00010E2E">
            <w:pPr>
              <w:pStyle w:val="Table"/>
              <w:jc w:val="center"/>
              <w:rPr>
                <w:snapToGrid w:val="0"/>
              </w:rPr>
            </w:pPr>
            <w:r>
              <w:rPr>
                <w:snapToGrid w:val="0"/>
              </w:rPr>
              <w:t>0.2</w:t>
            </w:r>
          </w:p>
        </w:tc>
      </w:tr>
      <w:tr w:rsidR="00010E2E" w14:paraId="14EF1503" w14:textId="77777777" w:rsidTr="00382DF3">
        <w:trPr>
          <w:cantSplit/>
        </w:trPr>
        <w:tc>
          <w:tcPr>
            <w:tcW w:w="3240" w:type="dxa"/>
          </w:tcPr>
          <w:p w14:paraId="4A5DAFBC" w14:textId="77777777" w:rsidR="00010E2E" w:rsidRDefault="00010E2E">
            <w:pPr>
              <w:pStyle w:val="Table"/>
              <w:rPr>
                <w:b/>
                <w:snapToGrid w:val="0"/>
                <w:sz w:val="22"/>
              </w:rPr>
            </w:pPr>
            <w:r>
              <w:rPr>
                <w:snapToGrid w:val="0"/>
              </w:rPr>
              <w:t>Ethanol for use as a fuel in an internal combustion engine</w:t>
            </w:r>
          </w:p>
        </w:tc>
        <w:tc>
          <w:tcPr>
            <w:tcW w:w="1560" w:type="dxa"/>
          </w:tcPr>
          <w:p w14:paraId="072BAD98" w14:textId="77777777" w:rsidR="00010E2E" w:rsidRDefault="00010E2E">
            <w:pPr>
              <w:pStyle w:val="Table"/>
              <w:jc w:val="center"/>
              <w:rPr>
                <w:snapToGrid w:val="0"/>
              </w:rPr>
            </w:pPr>
            <w:r>
              <w:rPr>
                <w:snapToGrid w:val="0"/>
              </w:rPr>
              <w:t>23.4</w:t>
            </w:r>
          </w:p>
        </w:tc>
        <w:tc>
          <w:tcPr>
            <w:tcW w:w="1154" w:type="dxa"/>
          </w:tcPr>
          <w:p w14:paraId="31AF6215" w14:textId="77777777" w:rsidR="00010E2E" w:rsidRDefault="00010E2E">
            <w:pPr>
              <w:pStyle w:val="Table"/>
              <w:jc w:val="center"/>
              <w:rPr>
                <w:snapToGrid w:val="0"/>
              </w:rPr>
            </w:pPr>
            <w:r>
              <w:rPr>
                <w:snapToGrid w:val="0"/>
              </w:rPr>
              <w:t>0.0</w:t>
            </w:r>
          </w:p>
        </w:tc>
        <w:tc>
          <w:tcPr>
            <w:tcW w:w="1134" w:type="dxa"/>
          </w:tcPr>
          <w:p w14:paraId="30528C82" w14:textId="77777777" w:rsidR="00010E2E" w:rsidRDefault="00010E2E">
            <w:pPr>
              <w:pStyle w:val="Table"/>
              <w:jc w:val="center"/>
              <w:rPr>
                <w:snapToGrid w:val="0"/>
              </w:rPr>
            </w:pPr>
            <w:r>
              <w:rPr>
                <w:snapToGrid w:val="0"/>
              </w:rPr>
              <w:t>0.0</w:t>
            </w:r>
            <w:r w:rsidR="00FA7678">
              <w:rPr>
                <w:snapToGrid w:val="0"/>
              </w:rPr>
              <w:t>7</w:t>
            </w:r>
          </w:p>
        </w:tc>
        <w:tc>
          <w:tcPr>
            <w:tcW w:w="1276" w:type="dxa"/>
          </w:tcPr>
          <w:p w14:paraId="69E518A3" w14:textId="77777777" w:rsidR="00010E2E" w:rsidRDefault="00010E2E">
            <w:pPr>
              <w:pStyle w:val="Table"/>
              <w:jc w:val="center"/>
              <w:rPr>
                <w:snapToGrid w:val="0"/>
              </w:rPr>
            </w:pPr>
            <w:r>
              <w:rPr>
                <w:snapToGrid w:val="0"/>
              </w:rPr>
              <w:t>0.2</w:t>
            </w:r>
          </w:p>
        </w:tc>
      </w:tr>
      <w:tr w:rsidR="00010E2E" w14:paraId="5DB1A7C2" w14:textId="77777777" w:rsidTr="00382DF3">
        <w:trPr>
          <w:cantSplit/>
        </w:trPr>
        <w:tc>
          <w:tcPr>
            <w:tcW w:w="3240" w:type="dxa"/>
          </w:tcPr>
          <w:p w14:paraId="3305C7DE" w14:textId="77777777" w:rsidR="00010E2E" w:rsidRDefault="00010E2E">
            <w:pPr>
              <w:pStyle w:val="Table"/>
              <w:rPr>
                <w:snapToGrid w:val="0"/>
              </w:rPr>
            </w:pPr>
            <w:r>
              <w:rPr>
                <w:snapToGrid w:val="0"/>
              </w:rPr>
              <w:t>Biofuels other than those mentioned in the items above</w:t>
            </w:r>
          </w:p>
        </w:tc>
        <w:tc>
          <w:tcPr>
            <w:tcW w:w="1560" w:type="dxa"/>
          </w:tcPr>
          <w:p w14:paraId="7FD156D4" w14:textId="77777777" w:rsidR="00010E2E" w:rsidRDefault="00010E2E">
            <w:pPr>
              <w:pStyle w:val="Table"/>
              <w:jc w:val="center"/>
              <w:rPr>
                <w:snapToGrid w:val="0"/>
              </w:rPr>
            </w:pPr>
            <w:r>
              <w:rPr>
                <w:snapToGrid w:val="0"/>
              </w:rPr>
              <w:t>23.4</w:t>
            </w:r>
          </w:p>
        </w:tc>
        <w:tc>
          <w:tcPr>
            <w:tcW w:w="1154" w:type="dxa"/>
          </w:tcPr>
          <w:p w14:paraId="1CFCF249" w14:textId="77777777" w:rsidR="00010E2E" w:rsidRDefault="00010E2E">
            <w:pPr>
              <w:pStyle w:val="Table"/>
              <w:jc w:val="center"/>
              <w:rPr>
                <w:snapToGrid w:val="0"/>
              </w:rPr>
            </w:pPr>
            <w:r>
              <w:rPr>
                <w:snapToGrid w:val="0"/>
              </w:rPr>
              <w:t>0.0</w:t>
            </w:r>
          </w:p>
        </w:tc>
        <w:tc>
          <w:tcPr>
            <w:tcW w:w="1134" w:type="dxa"/>
          </w:tcPr>
          <w:p w14:paraId="2EE7AA52" w14:textId="77777777" w:rsidR="00010E2E" w:rsidRDefault="00010E2E">
            <w:pPr>
              <w:pStyle w:val="Table"/>
              <w:jc w:val="center"/>
              <w:rPr>
                <w:snapToGrid w:val="0"/>
              </w:rPr>
            </w:pPr>
            <w:r>
              <w:rPr>
                <w:snapToGrid w:val="0"/>
              </w:rPr>
              <w:t>0.0</w:t>
            </w:r>
            <w:r w:rsidR="009C31A9">
              <w:rPr>
                <w:snapToGrid w:val="0"/>
              </w:rPr>
              <w:t>7</w:t>
            </w:r>
          </w:p>
        </w:tc>
        <w:tc>
          <w:tcPr>
            <w:tcW w:w="1276" w:type="dxa"/>
          </w:tcPr>
          <w:p w14:paraId="087DD06D" w14:textId="77777777" w:rsidR="00010E2E" w:rsidRDefault="00010E2E">
            <w:pPr>
              <w:pStyle w:val="Table"/>
              <w:jc w:val="center"/>
              <w:rPr>
                <w:snapToGrid w:val="0"/>
              </w:rPr>
            </w:pPr>
            <w:r>
              <w:rPr>
                <w:snapToGrid w:val="0"/>
              </w:rPr>
              <w:t>0.2</w:t>
            </w:r>
          </w:p>
        </w:tc>
      </w:tr>
    </w:tbl>
    <w:p w14:paraId="037DA63B" w14:textId="77777777" w:rsidR="00010E2E" w:rsidRDefault="00010E2E">
      <w:pPr>
        <w:pStyle w:val="TableNote"/>
        <w:spacing w:before="60"/>
      </w:pPr>
      <w:r>
        <w:t>Source: National Greenhouse and Energy Reporting (Measurement) Determination 2008 (Schedule 1)</w:t>
      </w:r>
      <w:r w:rsidR="001762F8">
        <w:t>.</w:t>
      </w:r>
    </w:p>
    <w:p w14:paraId="065ED65E" w14:textId="77777777" w:rsidR="00010E2E" w:rsidRDefault="00010E2E">
      <w:pPr>
        <w:pStyle w:val="TableNote"/>
      </w:pPr>
      <w:r>
        <w:t xml:space="preserve">Notes: All emission factors incorporate relevant oxidation factors (sourced from the </w:t>
      </w:r>
      <w:r w:rsidR="00D87633">
        <w:t>Department of the Environment</w:t>
      </w:r>
      <w:r w:rsidR="000873D9">
        <w:t xml:space="preserve"> and Energy</w:t>
      </w:r>
      <w:r>
        <w:t xml:space="preserve"> National Inventory Report).   </w:t>
      </w:r>
    </w:p>
    <w:p w14:paraId="7F5278B6" w14:textId="77777777" w:rsidR="00010E2E" w:rsidRDefault="00010E2E">
      <w:pPr>
        <w:pStyle w:val="TableNote"/>
      </w:pPr>
    </w:p>
    <w:p w14:paraId="19EDD089" w14:textId="77777777" w:rsidR="00010E2E" w:rsidRDefault="00BF2615">
      <w:pPr>
        <w:pStyle w:val="Heading2"/>
        <w:tabs>
          <w:tab w:val="left" w:pos="0"/>
          <w:tab w:val="left" w:pos="2250"/>
        </w:tabs>
        <w:spacing w:before="120" w:after="0" w:line="312" w:lineRule="auto"/>
        <w:ind w:left="578" w:hanging="578"/>
        <w:rPr>
          <w:rFonts w:ascii="Arial" w:hAnsi="Arial" w:cs="Arial"/>
        </w:rPr>
      </w:pPr>
      <w:r>
        <w:rPr>
          <w:rFonts w:ascii="Arial" w:hAnsi="Arial" w:cs="Arial"/>
        </w:rPr>
        <w:br w:type="page"/>
      </w:r>
      <w:r w:rsidR="00010E2E">
        <w:rPr>
          <w:rFonts w:ascii="Arial" w:hAnsi="Arial" w:cs="Arial"/>
        </w:rPr>
        <w:t xml:space="preserve">Transport fuel emissions </w:t>
      </w:r>
    </w:p>
    <w:p w14:paraId="5365D955"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Fuels used for transport purposes produce slightly different methane and nitrous oxide emissions than if the same fuels were used for stationary energy purposes. Therefore, separate emission factors are provided in Table 4, to apply where fuels are used for general transport purposes. In additional, a range of optional emission factors are provided in Table 4 for use with post-2004 vehicles and heavy vehicles conforming to Euro design standards.</w:t>
      </w:r>
    </w:p>
    <w:p w14:paraId="054F6940" w14:textId="77777777" w:rsidR="001570B3" w:rsidRPr="001570B3" w:rsidRDefault="001570B3" w:rsidP="001570B3">
      <w:pPr>
        <w:pStyle w:val="BodyText"/>
        <w:tabs>
          <w:tab w:val="left" w:pos="0"/>
          <w:tab w:val="left" w:pos="2250"/>
        </w:tabs>
        <w:spacing w:before="120" w:line="312" w:lineRule="auto"/>
        <w:ind w:left="0"/>
        <w:rPr>
          <w:rFonts w:ascii="Arial" w:hAnsi="Arial" w:cs="Arial"/>
        </w:rPr>
      </w:pPr>
      <w:r>
        <w:rPr>
          <w:rFonts w:ascii="Arial" w:hAnsi="Arial" w:cs="Arial"/>
        </w:rPr>
        <w:t xml:space="preserve">Transport includes </w:t>
      </w:r>
      <w:r w:rsidRPr="001570B3">
        <w:rPr>
          <w:rFonts w:ascii="Arial" w:hAnsi="Arial" w:cs="Arial"/>
        </w:rPr>
        <w:t>purposes for which fuel is combusted that consist of any of the following:</w:t>
      </w:r>
    </w:p>
    <w:p w14:paraId="528567C8" w14:textId="77777777" w:rsidR="001363EF" w:rsidRDefault="001570B3" w:rsidP="003536C2">
      <w:pPr>
        <w:numPr>
          <w:ilvl w:val="0"/>
          <w:numId w:val="17"/>
        </w:numPr>
        <w:spacing w:before="120" w:line="312" w:lineRule="auto"/>
        <w:rPr>
          <w:rFonts w:ascii="Arial" w:hAnsi="Arial" w:cs="Arial"/>
        </w:rPr>
      </w:pPr>
      <w:r w:rsidRPr="001570B3">
        <w:rPr>
          <w:rFonts w:ascii="Arial" w:hAnsi="Arial" w:cs="Arial"/>
        </w:rPr>
        <w:t>transport by vehicles registered for road use;</w:t>
      </w:r>
    </w:p>
    <w:p w14:paraId="62EB51F3" w14:textId="77777777" w:rsidR="001363EF" w:rsidRDefault="001570B3" w:rsidP="003536C2">
      <w:pPr>
        <w:numPr>
          <w:ilvl w:val="0"/>
          <w:numId w:val="17"/>
        </w:numPr>
        <w:spacing w:before="120" w:line="312" w:lineRule="auto"/>
        <w:rPr>
          <w:rFonts w:ascii="Arial" w:hAnsi="Arial" w:cs="Arial"/>
        </w:rPr>
      </w:pPr>
      <w:r w:rsidRPr="001570B3">
        <w:rPr>
          <w:rFonts w:ascii="Arial" w:hAnsi="Arial" w:cs="Arial"/>
        </w:rPr>
        <w:t>rail transport;</w:t>
      </w:r>
    </w:p>
    <w:p w14:paraId="78B3BF80" w14:textId="77777777" w:rsidR="001363EF" w:rsidRDefault="001570B3" w:rsidP="003536C2">
      <w:pPr>
        <w:numPr>
          <w:ilvl w:val="0"/>
          <w:numId w:val="17"/>
        </w:numPr>
        <w:spacing w:before="120" w:line="312" w:lineRule="auto"/>
        <w:rPr>
          <w:rFonts w:ascii="Arial" w:hAnsi="Arial" w:cs="Arial"/>
        </w:rPr>
      </w:pPr>
      <w:r w:rsidRPr="001570B3">
        <w:rPr>
          <w:rFonts w:ascii="Arial" w:hAnsi="Arial" w:cs="Arial"/>
        </w:rPr>
        <w:t>marine navigation;</w:t>
      </w:r>
    </w:p>
    <w:p w14:paraId="22C684BE" w14:textId="77777777" w:rsidR="001363EF" w:rsidRDefault="001570B3" w:rsidP="003536C2">
      <w:pPr>
        <w:numPr>
          <w:ilvl w:val="0"/>
          <w:numId w:val="17"/>
        </w:numPr>
        <w:spacing w:before="120" w:line="312" w:lineRule="auto"/>
        <w:rPr>
          <w:rFonts w:ascii="Arial" w:hAnsi="Arial" w:cs="Arial"/>
        </w:rPr>
      </w:pPr>
      <w:r w:rsidRPr="001570B3">
        <w:rPr>
          <w:rFonts w:ascii="Arial" w:hAnsi="Arial" w:cs="Arial"/>
        </w:rPr>
        <w:t>air transport.</w:t>
      </w:r>
    </w:p>
    <w:p w14:paraId="34DF2E96" w14:textId="77777777" w:rsidR="00010E2E" w:rsidRDefault="00010E2E" w:rsidP="001570B3">
      <w:pPr>
        <w:pStyle w:val="BodyText"/>
        <w:tabs>
          <w:tab w:val="left" w:pos="0"/>
          <w:tab w:val="left" w:pos="2250"/>
        </w:tabs>
        <w:spacing w:before="120" w:after="0" w:line="312" w:lineRule="auto"/>
        <w:ind w:left="0"/>
        <w:rPr>
          <w:rFonts w:ascii="Arial" w:hAnsi="Arial" w:cs="Arial"/>
        </w:rPr>
      </w:pPr>
      <w:r>
        <w:rPr>
          <w:rFonts w:ascii="Arial" w:hAnsi="Arial" w:cs="Arial"/>
        </w:rPr>
        <w:t>No transport factors are provided for vehicles not registered for road use.  Stationary energy factors for individual fuel types should be used in these cases.</w:t>
      </w:r>
    </w:p>
    <w:p w14:paraId="710B07DB"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Estimates of emissions from the combustion of individual fuel types are made by multiplying a (physical) quantity of fuel combusted by a fuel-specific energy content factor and a fuel-specific emission factor. This is performed for each relevant greenhouse gas (in this case, carbon dioxide, methane and nitrous oxide). Separate calculations should be carried out for each fuel type. </w:t>
      </w:r>
    </w:p>
    <w:p w14:paraId="4F3954D1" w14:textId="77777777" w:rsidR="00010E2E" w:rsidRDefault="00010E2E">
      <w:pPr>
        <w:pStyle w:val="BodyText"/>
        <w:tabs>
          <w:tab w:val="left" w:pos="0"/>
          <w:tab w:val="left" w:pos="2250"/>
        </w:tabs>
        <w:spacing w:before="120" w:after="0" w:line="312" w:lineRule="auto"/>
        <w:ind w:left="0"/>
        <w:rPr>
          <w:rFonts w:ascii="Arial" w:hAnsi="Arial" w:cs="Arial"/>
          <w:b/>
        </w:rPr>
      </w:pPr>
      <w:r>
        <w:rPr>
          <w:rFonts w:ascii="Arial" w:hAnsi="Arial" w:cs="Arial"/>
          <w:b/>
        </w:rPr>
        <w:t>Total greenhouse emissions are calculated by summing the emissions of each fuel type and each greenhouse gas.</w:t>
      </w:r>
    </w:p>
    <w:p w14:paraId="6577C44B"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 xml:space="preserve">The following formula can be used to estimate greenhouse gas emissions from the combustion of each type of fuel listed in Table 4 used for transport energy purposes.  </w:t>
      </w:r>
    </w:p>
    <w:p w14:paraId="3EB26071" w14:textId="77777777" w:rsidR="00010E2E" w:rsidRDefault="00CA4FB8">
      <w:pPr>
        <w:pStyle w:val="Formula"/>
        <w:rPr>
          <w:color w:val="000000"/>
        </w:rPr>
      </w:pPr>
      <w:r>
        <w:rPr>
          <w:color w:val="000000"/>
          <w:position w:val="-24"/>
        </w:rPr>
        <w:pict w14:anchorId="6C94751D">
          <v:shape id="_x0000_i1028" type="#_x0000_t75" style="width:129pt;height:33.75pt">
            <v:imagedata r:id="rId31" o:title=""/>
          </v:shape>
        </w:pict>
      </w:r>
    </w:p>
    <w:p w14:paraId="5C2A97CE" w14:textId="77777777" w:rsidR="00010E2E" w:rsidRPr="008870C0" w:rsidRDefault="00010E2E">
      <w:pPr>
        <w:pStyle w:val="Rc"/>
        <w:keepNext/>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690EA1FC" w14:textId="77777777" w:rsidR="00010E2E" w:rsidRPr="008870C0" w:rsidRDefault="00010E2E">
      <w:pPr>
        <w:pStyle w:val="definition"/>
        <w:rPr>
          <w:color w:val="000000"/>
          <w:sz w:val="22"/>
          <w:szCs w:val="22"/>
        </w:rPr>
      </w:pPr>
      <w:r w:rsidRPr="008870C0">
        <w:rPr>
          <w:b/>
          <w:i/>
          <w:color w:val="000000"/>
          <w:sz w:val="22"/>
          <w:szCs w:val="22"/>
        </w:rPr>
        <w:t>E</w:t>
      </w:r>
      <w:r w:rsidRPr="008870C0">
        <w:rPr>
          <w:rStyle w:val="Subscript"/>
          <w:b/>
          <w:i/>
          <w:iCs/>
          <w:color w:val="000000"/>
          <w:sz w:val="22"/>
          <w:szCs w:val="22"/>
        </w:rPr>
        <w:t xml:space="preserve">ij </w:t>
      </w:r>
      <w:r w:rsidRPr="008870C0">
        <w:rPr>
          <w:rStyle w:val="EquationNoteChar"/>
          <w:rFonts w:ascii="Times New Roman" w:hAnsi="Times New Roman" w:cs="Times New Roman"/>
          <w:sz w:val="22"/>
          <w:szCs w:val="22"/>
        </w:rPr>
        <w:t>is the emissions of gas type (j), carbon dioxide, methane or nitrous oxide, from fuel type (i)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71692CD1" w14:textId="77777777" w:rsidR="00010E2E" w:rsidRPr="008870C0" w:rsidRDefault="00010E2E">
      <w:pPr>
        <w:pStyle w:val="definition"/>
        <w:rPr>
          <w:rStyle w:val="EquationNoteChar"/>
          <w:rFonts w:ascii="Times New Roman" w:hAnsi="Times New Roman" w:cs="Times New Roman"/>
          <w:sz w:val="22"/>
          <w:szCs w:val="22"/>
        </w:rPr>
      </w:pPr>
      <w:r w:rsidRPr="008870C0">
        <w:rPr>
          <w:b/>
          <w:i/>
          <w:color w:val="000000"/>
          <w:sz w:val="22"/>
          <w:szCs w:val="22"/>
        </w:rPr>
        <w:t>Q</w:t>
      </w:r>
      <w:r w:rsidRPr="008870C0">
        <w:rPr>
          <w:b/>
          <w:i/>
          <w:color w:val="000000"/>
          <w:sz w:val="22"/>
          <w:szCs w:val="22"/>
          <w:vertAlign w:val="subscript"/>
        </w:rPr>
        <w:t>i</w:t>
      </w:r>
      <w:r w:rsidRPr="008870C0">
        <w:rPr>
          <w:color w:val="000000"/>
          <w:sz w:val="22"/>
          <w:szCs w:val="22"/>
          <w:vertAlign w:val="subscript"/>
        </w:rPr>
        <w:t xml:space="preserve"> </w:t>
      </w:r>
      <w:r w:rsidRPr="008870C0">
        <w:rPr>
          <w:rStyle w:val="EquationNoteChar"/>
          <w:rFonts w:ascii="Times New Roman" w:hAnsi="Times New Roman" w:cs="Times New Roman"/>
          <w:sz w:val="22"/>
          <w:szCs w:val="22"/>
        </w:rPr>
        <w:t>is the quantity of fuel type (i) (kilolitres or gigajoules) combusted for transport energy purposes</w:t>
      </w:r>
    </w:p>
    <w:p w14:paraId="6AE939D2" w14:textId="77777777" w:rsidR="00010E2E" w:rsidRPr="008870C0" w:rsidRDefault="00010E2E">
      <w:pPr>
        <w:pStyle w:val="definition"/>
        <w:rPr>
          <w:rStyle w:val="EquationNoteChar"/>
          <w:rFonts w:ascii="Times New Roman" w:hAnsi="Times New Roman" w:cs="Times New Roman"/>
          <w:sz w:val="22"/>
          <w:szCs w:val="22"/>
        </w:rPr>
      </w:pPr>
      <w:r w:rsidRPr="008870C0">
        <w:rPr>
          <w:b/>
          <w:i/>
          <w:color w:val="000000"/>
          <w:sz w:val="22"/>
          <w:szCs w:val="22"/>
        </w:rPr>
        <w:t>EC</w:t>
      </w:r>
      <w:r w:rsidRPr="008870C0">
        <w:rPr>
          <w:b/>
          <w:i/>
          <w:color w:val="000000"/>
          <w:sz w:val="22"/>
          <w:szCs w:val="22"/>
          <w:vertAlign w:val="subscript"/>
        </w:rPr>
        <w:t>i</w:t>
      </w:r>
      <w:r w:rsidRPr="008870C0">
        <w:rPr>
          <w:color w:val="000000"/>
          <w:sz w:val="22"/>
          <w:szCs w:val="22"/>
        </w:rPr>
        <w:t xml:space="preserve"> </w:t>
      </w:r>
      <w:r w:rsidRPr="008870C0">
        <w:rPr>
          <w:rStyle w:val="EquationNoteChar"/>
          <w:rFonts w:ascii="Times New Roman" w:hAnsi="Times New Roman" w:cs="Times New Roman"/>
          <w:sz w:val="22"/>
          <w:szCs w:val="22"/>
        </w:rPr>
        <w:t>is the energy content factor of fuel type (i) (gigajoules per kilolitre or per cubic metre) used for transport energy purposes — see Table 4.</w:t>
      </w:r>
    </w:p>
    <w:p w14:paraId="105C1CB6" w14:textId="77777777" w:rsidR="00010E2E" w:rsidRPr="008870C0" w:rsidRDefault="00010E2E">
      <w:pPr>
        <w:pStyle w:val="BodyText"/>
        <w:tabs>
          <w:tab w:val="left" w:pos="0"/>
          <w:tab w:val="left" w:pos="993"/>
        </w:tabs>
        <w:spacing w:before="120" w:after="0" w:line="312" w:lineRule="auto"/>
        <w:ind w:left="0"/>
        <w:rPr>
          <w:rStyle w:val="EquationNoteChar"/>
          <w:rFonts w:ascii="Times New Roman" w:hAnsi="Times New Roman" w:cs="Times New Roman"/>
          <w:iCs w:val="0"/>
          <w:sz w:val="22"/>
          <w:szCs w:val="22"/>
        </w:rPr>
      </w:pPr>
      <w:r w:rsidRPr="008870C0">
        <w:rPr>
          <w:color w:val="000000"/>
          <w:sz w:val="22"/>
          <w:szCs w:val="22"/>
        </w:rPr>
        <w:tab/>
      </w:r>
      <w:r w:rsidRPr="008870C0">
        <w:rPr>
          <w:color w:val="000000"/>
          <w:sz w:val="22"/>
          <w:szCs w:val="22"/>
        </w:rPr>
        <w:tab/>
      </w:r>
      <w:r w:rsidRPr="008870C0">
        <w:rPr>
          <w:rStyle w:val="EquationNoteChar"/>
          <w:rFonts w:ascii="Times New Roman" w:hAnsi="Times New Roman" w:cs="Times New Roman"/>
          <w:sz w:val="22"/>
          <w:szCs w:val="22"/>
        </w:rPr>
        <w:t>If</w:t>
      </w:r>
      <w:r w:rsidRPr="008870C0">
        <w:rPr>
          <w:color w:val="000000"/>
          <w:sz w:val="22"/>
          <w:szCs w:val="22"/>
        </w:rPr>
        <w:t xml:space="preserve"> </w:t>
      </w:r>
      <w:r w:rsidRPr="008870C0">
        <w:rPr>
          <w:b/>
          <w:i/>
          <w:color w:val="000000"/>
          <w:sz w:val="22"/>
          <w:szCs w:val="22"/>
        </w:rPr>
        <w:t>Q</w:t>
      </w:r>
      <w:r w:rsidRPr="008870C0">
        <w:rPr>
          <w:b/>
          <w:i/>
          <w:color w:val="000000"/>
          <w:sz w:val="22"/>
          <w:szCs w:val="22"/>
          <w:vertAlign w:val="subscript"/>
        </w:rPr>
        <w:t xml:space="preserve">i </w:t>
      </w:r>
      <w:r w:rsidRPr="008870C0">
        <w:rPr>
          <w:rStyle w:val="EquationNoteChar"/>
          <w:rFonts w:ascii="Times New Roman" w:hAnsi="Times New Roman" w:cs="Times New Roman"/>
          <w:sz w:val="22"/>
          <w:szCs w:val="22"/>
        </w:rPr>
        <w:t xml:space="preserve">is measured in gigajoules, then </w:t>
      </w:r>
      <w:r w:rsidRPr="008870C0">
        <w:rPr>
          <w:b/>
          <w:i/>
          <w:color w:val="000000"/>
          <w:sz w:val="22"/>
          <w:szCs w:val="22"/>
        </w:rPr>
        <w:t>EC</w:t>
      </w:r>
      <w:r w:rsidRPr="008870C0">
        <w:rPr>
          <w:b/>
          <w:i/>
          <w:color w:val="000000"/>
          <w:sz w:val="22"/>
          <w:szCs w:val="22"/>
          <w:vertAlign w:val="subscript"/>
        </w:rPr>
        <w:t>i</w:t>
      </w:r>
      <w:r w:rsidRPr="008870C0">
        <w:rPr>
          <w:rStyle w:val="EquationNoteChar"/>
          <w:rFonts w:ascii="Times New Roman" w:hAnsi="Times New Roman" w:cs="Times New Roman"/>
          <w:sz w:val="22"/>
          <w:szCs w:val="22"/>
        </w:rPr>
        <w:t xml:space="preserve"> is 1.</w:t>
      </w:r>
    </w:p>
    <w:p w14:paraId="38C6297D" w14:textId="77777777" w:rsidR="00010E2E" w:rsidRPr="008870C0" w:rsidRDefault="00010E2E">
      <w:pPr>
        <w:pStyle w:val="definition"/>
        <w:rPr>
          <w:rStyle w:val="EquationNoteChar"/>
          <w:rFonts w:ascii="Times New Roman" w:hAnsi="Times New Roman" w:cs="Times New Roman"/>
          <w:sz w:val="22"/>
          <w:szCs w:val="22"/>
        </w:rPr>
      </w:pPr>
      <w:r w:rsidRPr="008870C0">
        <w:rPr>
          <w:b/>
          <w:i/>
          <w:color w:val="000000"/>
          <w:sz w:val="22"/>
          <w:szCs w:val="22"/>
        </w:rPr>
        <w:t>EF</w:t>
      </w:r>
      <w:r w:rsidRPr="008870C0">
        <w:rPr>
          <w:b/>
          <w:i/>
          <w:color w:val="000000"/>
          <w:sz w:val="22"/>
          <w:szCs w:val="22"/>
          <w:vertAlign w:val="subscript"/>
        </w:rPr>
        <w:t>ijoxec</w:t>
      </w:r>
      <w:r w:rsidRPr="008870C0">
        <w:rPr>
          <w:color w:val="000000"/>
          <w:sz w:val="22"/>
          <w:szCs w:val="22"/>
        </w:rPr>
        <w:t xml:space="preserve"> </w:t>
      </w:r>
      <w:r w:rsidRPr="008870C0">
        <w:rPr>
          <w:rStyle w:val="EquationNoteChar"/>
          <w:rFonts w:ascii="Times New Roman" w:hAnsi="Times New Roman" w:cs="Times New Roman"/>
          <w:sz w:val="22"/>
          <w:szCs w:val="22"/>
        </w:rPr>
        <w:t>is the emission factor for each gas type (j) (which includes the effect of an oxidation factor) for fuel type (i) (kilograms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gigajoule) used for transport energy purposes — see Table 4.</w:t>
      </w:r>
    </w:p>
    <w:p w14:paraId="2532832B" w14:textId="77777777" w:rsidR="00010E2E" w:rsidRDefault="00010E2E">
      <w:pPr>
        <w:pStyle w:val="BodyText"/>
        <w:tabs>
          <w:tab w:val="left" w:pos="0"/>
          <w:tab w:val="left" w:pos="2250"/>
        </w:tabs>
        <w:spacing w:before="120" w:after="0" w:line="312" w:lineRule="auto"/>
        <w:ind w:left="0"/>
      </w:pPr>
    </w:p>
    <w:p w14:paraId="1DDECB89" w14:textId="77777777" w:rsidR="00010E2E" w:rsidRDefault="00010E2E">
      <w:pPr>
        <w:pStyle w:val="BodyText"/>
        <w:tabs>
          <w:tab w:val="left" w:pos="0"/>
          <w:tab w:val="left" w:pos="2250"/>
        </w:tabs>
        <w:spacing w:before="120" w:after="0" w:line="312" w:lineRule="auto"/>
        <w:ind w:left="0"/>
        <w:rPr>
          <w:rFonts w:ascii="Arial" w:hAnsi="Arial" w:cs="Arial"/>
        </w:rPr>
      </w:pPr>
    </w:p>
    <w:p w14:paraId="0733021E" w14:textId="77777777" w:rsidR="00010E2E" w:rsidRDefault="00BF2615" w:rsidP="00C23E3B">
      <w:pPr>
        <w:pStyle w:val="Caption"/>
      </w:pPr>
      <w:r>
        <w:br w:type="page"/>
      </w:r>
      <w:bookmarkStart w:id="47" w:name="_Toc391646690"/>
      <w:bookmarkStart w:id="48" w:name="_Toc485728112"/>
      <w:r w:rsidR="00010E2E">
        <w:t xml:space="preserve">Table </w:t>
      </w:r>
      <w:r w:rsidR="00DC52E0">
        <w:fldChar w:fldCharType="begin"/>
      </w:r>
      <w:r w:rsidR="000570E2">
        <w:instrText xml:space="preserve"> SEQ Table \* ARABIC </w:instrText>
      </w:r>
      <w:r w:rsidR="00DC52E0">
        <w:fldChar w:fldCharType="separate"/>
      </w:r>
      <w:r w:rsidR="004A1330">
        <w:rPr>
          <w:noProof/>
        </w:rPr>
        <w:t>4</w:t>
      </w:r>
      <w:r w:rsidR="00DC52E0">
        <w:fldChar w:fldCharType="end"/>
      </w:r>
      <w:r w:rsidR="00010E2E">
        <w:t>:  Fuel combustion emission factors -</w:t>
      </w:r>
      <w:r w:rsidR="004074CE">
        <w:t xml:space="preserve"> </w:t>
      </w:r>
      <w:r w:rsidR="00010E2E">
        <w:t>fuels used for transport energy purposes</w:t>
      </w:r>
      <w:bookmarkEnd w:id="47"/>
      <w:bookmarkEnd w:id="48"/>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552"/>
        <w:gridCol w:w="1559"/>
        <w:gridCol w:w="992"/>
        <w:gridCol w:w="709"/>
        <w:gridCol w:w="709"/>
      </w:tblGrid>
      <w:tr w:rsidR="00010E2E" w14:paraId="17408EE5" w14:textId="77777777" w:rsidTr="00382DF3">
        <w:trPr>
          <w:cantSplit/>
          <w:tblHeader/>
        </w:trPr>
        <w:tc>
          <w:tcPr>
            <w:tcW w:w="1843" w:type="dxa"/>
            <w:vMerge w:val="restart"/>
            <w:shd w:val="clear" w:color="auto" w:fill="D9D9D9"/>
            <w:vAlign w:val="center"/>
          </w:tcPr>
          <w:p w14:paraId="4AE4E6FB" w14:textId="77777777" w:rsidR="00010E2E" w:rsidRDefault="00010E2E" w:rsidP="00382DF3">
            <w:pPr>
              <w:pStyle w:val="Table"/>
              <w:jc w:val="center"/>
              <w:rPr>
                <w:rStyle w:val="Strong"/>
                <w:rFonts w:cs="Arial"/>
                <w:szCs w:val="16"/>
              </w:rPr>
            </w:pPr>
            <w:r>
              <w:rPr>
                <w:rStyle w:val="Strong"/>
                <w:rFonts w:cs="Arial"/>
                <w:szCs w:val="16"/>
              </w:rPr>
              <w:t>Transport equipment type</w:t>
            </w:r>
          </w:p>
        </w:tc>
        <w:tc>
          <w:tcPr>
            <w:tcW w:w="2552" w:type="dxa"/>
            <w:vMerge w:val="restart"/>
            <w:shd w:val="clear" w:color="auto" w:fill="D9D9D9"/>
            <w:vAlign w:val="center"/>
          </w:tcPr>
          <w:p w14:paraId="4A7DF9DC" w14:textId="77777777" w:rsidR="00010E2E" w:rsidRDefault="00010E2E" w:rsidP="00382DF3">
            <w:pPr>
              <w:pStyle w:val="Table"/>
              <w:jc w:val="center"/>
              <w:rPr>
                <w:rStyle w:val="Strong"/>
                <w:rFonts w:cs="Arial"/>
                <w:szCs w:val="16"/>
              </w:rPr>
            </w:pPr>
            <w:r>
              <w:rPr>
                <w:rStyle w:val="Strong"/>
                <w:rFonts w:cs="Arial"/>
                <w:szCs w:val="16"/>
              </w:rPr>
              <w:t>Fuel combusted</w:t>
            </w:r>
          </w:p>
        </w:tc>
        <w:tc>
          <w:tcPr>
            <w:tcW w:w="1559" w:type="dxa"/>
            <w:vMerge w:val="restart"/>
            <w:shd w:val="clear" w:color="auto" w:fill="D9D9D9"/>
            <w:vAlign w:val="center"/>
          </w:tcPr>
          <w:p w14:paraId="5DE73C1F" w14:textId="77777777" w:rsidR="00010E2E" w:rsidRDefault="00010E2E" w:rsidP="00382DF3">
            <w:pPr>
              <w:pStyle w:val="TableCentre"/>
              <w:rPr>
                <w:rStyle w:val="Strong"/>
                <w:rFonts w:cs="Arial"/>
                <w:szCs w:val="16"/>
              </w:rPr>
            </w:pPr>
            <w:r>
              <w:rPr>
                <w:rStyle w:val="Strong"/>
                <w:rFonts w:cs="Arial"/>
                <w:szCs w:val="16"/>
              </w:rPr>
              <w:t>Energy content factor</w:t>
            </w:r>
          </w:p>
          <w:p w14:paraId="0AFA4AE1" w14:textId="77777777" w:rsidR="00010E2E" w:rsidRDefault="00010E2E" w:rsidP="00382DF3">
            <w:pPr>
              <w:pStyle w:val="TableCentre"/>
              <w:rPr>
                <w:rStyle w:val="Strong"/>
                <w:rFonts w:cs="Arial"/>
                <w:szCs w:val="16"/>
              </w:rPr>
            </w:pPr>
            <w:r>
              <w:rPr>
                <w:rStyle w:val="Strong"/>
                <w:rFonts w:cs="Arial"/>
                <w:szCs w:val="16"/>
              </w:rPr>
              <w:t>(GJ/kL unless otherwise indicated)</w:t>
            </w:r>
          </w:p>
        </w:tc>
        <w:tc>
          <w:tcPr>
            <w:tcW w:w="2410" w:type="dxa"/>
            <w:gridSpan w:val="3"/>
            <w:shd w:val="clear" w:color="auto" w:fill="D9D9D9"/>
            <w:vAlign w:val="center"/>
          </w:tcPr>
          <w:p w14:paraId="3F175681" w14:textId="77777777" w:rsidR="00010E2E" w:rsidRDefault="00010E2E" w:rsidP="00382DF3">
            <w:pPr>
              <w:pStyle w:val="Heading1Like"/>
              <w:spacing w:before="60" w:after="0"/>
              <w:jc w:val="center"/>
              <w:rPr>
                <w:rFonts w:ascii="Arial" w:hAnsi="Arial"/>
                <w:sz w:val="16"/>
                <w:szCs w:val="16"/>
              </w:rPr>
            </w:pPr>
            <w:r>
              <w:rPr>
                <w:rFonts w:ascii="Arial" w:hAnsi="Arial"/>
                <w:caps w:val="0"/>
                <w:sz w:val="16"/>
                <w:szCs w:val="16"/>
              </w:rPr>
              <w:t>Emission factor</w:t>
            </w:r>
          </w:p>
          <w:p w14:paraId="7D5E789D" w14:textId="77777777" w:rsidR="00010E2E" w:rsidRDefault="00010E2E" w:rsidP="00382DF3">
            <w:pPr>
              <w:pStyle w:val="Heading1Like"/>
              <w:spacing w:before="60" w:after="60"/>
              <w:jc w:val="center"/>
              <w:rPr>
                <w:rFonts w:ascii="Arial" w:hAnsi="Arial"/>
                <w:caps w:val="0"/>
                <w:sz w:val="16"/>
                <w:szCs w:val="16"/>
              </w:rPr>
            </w:pPr>
            <w:r>
              <w:rPr>
                <w:rFonts w:ascii="Arial" w:hAnsi="Arial"/>
                <w:caps w:val="0"/>
                <w:sz w:val="16"/>
                <w:szCs w:val="16"/>
              </w:rPr>
              <w:t>kg CO</w:t>
            </w:r>
            <w:r>
              <w:rPr>
                <w:rFonts w:ascii="Arial" w:hAnsi="Arial"/>
                <w:caps w:val="0"/>
                <w:sz w:val="16"/>
                <w:szCs w:val="16"/>
                <w:vertAlign w:val="subscript"/>
              </w:rPr>
              <w:t>2</w:t>
            </w:r>
            <w:r>
              <w:rPr>
                <w:rFonts w:ascii="Arial" w:hAnsi="Arial"/>
                <w:caps w:val="0"/>
                <w:sz w:val="16"/>
                <w:szCs w:val="16"/>
              </w:rPr>
              <w:noBreakHyphen/>
              <w:t>e/GJ</w:t>
            </w:r>
          </w:p>
          <w:p w14:paraId="2C461280" w14:textId="77777777" w:rsidR="00010E2E" w:rsidRDefault="00010E2E" w:rsidP="00382DF3">
            <w:pPr>
              <w:pStyle w:val="Heading1Like"/>
              <w:spacing w:before="60" w:after="160"/>
              <w:jc w:val="center"/>
              <w:rPr>
                <w:sz w:val="16"/>
                <w:szCs w:val="16"/>
              </w:rPr>
            </w:pPr>
            <w:r>
              <w:rPr>
                <w:rFonts w:ascii="Arial" w:hAnsi="Arial"/>
                <w:caps w:val="0"/>
                <w:sz w:val="16"/>
                <w:szCs w:val="16"/>
              </w:rPr>
              <w:t>(relevant oxidation factors incorporated)</w:t>
            </w:r>
          </w:p>
        </w:tc>
      </w:tr>
      <w:tr w:rsidR="00010E2E" w14:paraId="4D13F514" w14:textId="77777777" w:rsidTr="00382DF3">
        <w:trPr>
          <w:cantSplit/>
          <w:tblHeader/>
        </w:trPr>
        <w:tc>
          <w:tcPr>
            <w:tcW w:w="1843" w:type="dxa"/>
            <w:vMerge/>
            <w:shd w:val="clear" w:color="auto" w:fill="D9D9D9"/>
            <w:vAlign w:val="center"/>
          </w:tcPr>
          <w:p w14:paraId="22B6AB3A" w14:textId="77777777" w:rsidR="00010E2E" w:rsidRDefault="00010E2E" w:rsidP="00382DF3">
            <w:pPr>
              <w:pStyle w:val="HTMLPreformatted"/>
              <w:spacing w:before="60"/>
              <w:jc w:val="center"/>
              <w:rPr>
                <w:sz w:val="16"/>
                <w:szCs w:val="16"/>
              </w:rPr>
            </w:pPr>
          </w:p>
        </w:tc>
        <w:tc>
          <w:tcPr>
            <w:tcW w:w="2552" w:type="dxa"/>
            <w:vMerge/>
            <w:shd w:val="clear" w:color="auto" w:fill="D9D9D9"/>
            <w:vAlign w:val="center"/>
          </w:tcPr>
          <w:p w14:paraId="54D3A736" w14:textId="77777777" w:rsidR="00010E2E" w:rsidRDefault="00010E2E" w:rsidP="00382DF3">
            <w:pPr>
              <w:pStyle w:val="HTMLPreformatted"/>
              <w:spacing w:before="60"/>
              <w:jc w:val="center"/>
              <w:rPr>
                <w:sz w:val="16"/>
                <w:szCs w:val="16"/>
              </w:rPr>
            </w:pPr>
          </w:p>
        </w:tc>
        <w:tc>
          <w:tcPr>
            <w:tcW w:w="1559" w:type="dxa"/>
            <w:vMerge/>
            <w:shd w:val="clear" w:color="auto" w:fill="D9D9D9"/>
            <w:vAlign w:val="center"/>
          </w:tcPr>
          <w:p w14:paraId="56C2A5F9" w14:textId="77777777" w:rsidR="00010E2E" w:rsidRDefault="00010E2E" w:rsidP="00382DF3">
            <w:pPr>
              <w:spacing w:before="60"/>
              <w:jc w:val="center"/>
              <w:rPr>
                <w:rStyle w:val="HTMLVariable"/>
                <w:i w:val="0"/>
                <w:iCs w:val="0"/>
                <w:sz w:val="16"/>
                <w:szCs w:val="16"/>
              </w:rPr>
            </w:pPr>
          </w:p>
        </w:tc>
        <w:tc>
          <w:tcPr>
            <w:tcW w:w="992" w:type="dxa"/>
            <w:shd w:val="clear" w:color="auto" w:fill="D9D9D9"/>
            <w:vAlign w:val="center"/>
          </w:tcPr>
          <w:p w14:paraId="046615C1" w14:textId="77777777" w:rsidR="00010E2E" w:rsidRDefault="00010E2E" w:rsidP="00382DF3">
            <w:pPr>
              <w:pStyle w:val="TableCentre"/>
              <w:rPr>
                <w:szCs w:val="16"/>
              </w:rPr>
            </w:pPr>
            <w:r>
              <w:rPr>
                <w:b/>
                <w:bCs/>
                <w:snapToGrid w:val="0"/>
                <w:szCs w:val="16"/>
              </w:rPr>
              <w:t>CO</w:t>
            </w:r>
            <w:r>
              <w:rPr>
                <w:b/>
                <w:bCs/>
                <w:snapToGrid w:val="0"/>
                <w:szCs w:val="16"/>
                <w:vertAlign w:val="subscript"/>
              </w:rPr>
              <w:t>2</w:t>
            </w:r>
          </w:p>
        </w:tc>
        <w:tc>
          <w:tcPr>
            <w:tcW w:w="709" w:type="dxa"/>
            <w:shd w:val="clear" w:color="auto" w:fill="D9D9D9"/>
            <w:vAlign w:val="center"/>
          </w:tcPr>
          <w:p w14:paraId="5B5D4DDA" w14:textId="77777777" w:rsidR="00010E2E" w:rsidRDefault="00010E2E" w:rsidP="00382DF3">
            <w:pPr>
              <w:pStyle w:val="TableCentre"/>
              <w:rPr>
                <w:rStyle w:val="Strong"/>
                <w:rFonts w:cs="Arial"/>
                <w:szCs w:val="16"/>
              </w:rPr>
            </w:pPr>
            <w:r>
              <w:rPr>
                <w:b/>
                <w:bCs/>
                <w:snapToGrid w:val="0"/>
                <w:szCs w:val="16"/>
              </w:rPr>
              <w:t>CH</w:t>
            </w:r>
            <w:r>
              <w:rPr>
                <w:b/>
                <w:bCs/>
                <w:snapToGrid w:val="0"/>
                <w:szCs w:val="16"/>
                <w:vertAlign w:val="subscript"/>
              </w:rPr>
              <w:t>4</w:t>
            </w:r>
          </w:p>
        </w:tc>
        <w:tc>
          <w:tcPr>
            <w:tcW w:w="709" w:type="dxa"/>
            <w:shd w:val="clear" w:color="auto" w:fill="D9D9D9"/>
            <w:vAlign w:val="center"/>
          </w:tcPr>
          <w:p w14:paraId="25807BA3" w14:textId="77777777" w:rsidR="00010E2E" w:rsidRDefault="00010E2E" w:rsidP="00382DF3">
            <w:pPr>
              <w:pStyle w:val="TableCentre"/>
              <w:spacing w:after="60"/>
              <w:rPr>
                <w:rStyle w:val="Strong"/>
                <w:rFonts w:cs="Arial"/>
                <w:szCs w:val="16"/>
              </w:rPr>
            </w:pPr>
            <w:r>
              <w:rPr>
                <w:b/>
                <w:bCs/>
                <w:snapToGrid w:val="0"/>
                <w:szCs w:val="16"/>
              </w:rPr>
              <w:t>N</w:t>
            </w:r>
            <w:r>
              <w:rPr>
                <w:b/>
                <w:bCs/>
                <w:snapToGrid w:val="0"/>
                <w:szCs w:val="16"/>
                <w:vertAlign w:val="subscript"/>
              </w:rPr>
              <w:t>2</w:t>
            </w:r>
            <w:r>
              <w:rPr>
                <w:b/>
                <w:bCs/>
                <w:snapToGrid w:val="0"/>
                <w:szCs w:val="16"/>
              </w:rPr>
              <w:t>O</w:t>
            </w:r>
          </w:p>
        </w:tc>
      </w:tr>
      <w:tr w:rsidR="00010E2E" w14:paraId="5807B349" w14:textId="77777777">
        <w:trPr>
          <w:cantSplit/>
        </w:trPr>
        <w:tc>
          <w:tcPr>
            <w:tcW w:w="8364" w:type="dxa"/>
            <w:gridSpan w:val="6"/>
            <w:shd w:val="clear" w:color="auto" w:fill="F3F3F3"/>
            <w:vAlign w:val="center"/>
          </w:tcPr>
          <w:p w14:paraId="11ADEA71" w14:textId="77777777" w:rsidR="00010E2E" w:rsidRDefault="00010E2E">
            <w:pPr>
              <w:pStyle w:val="Table"/>
              <w:rPr>
                <w:snapToGrid w:val="0"/>
              </w:rPr>
            </w:pPr>
            <w:r>
              <w:rPr>
                <w:snapToGrid w:val="0"/>
              </w:rPr>
              <w:t>General transport</w:t>
            </w:r>
          </w:p>
        </w:tc>
      </w:tr>
      <w:tr w:rsidR="00010E2E" w14:paraId="13E66756" w14:textId="77777777" w:rsidTr="00382DF3">
        <w:trPr>
          <w:cantSplit/>
        </w:trPr>
        <w:tc>
          <w:tcPr>
            <w:tcW w:w="1843" w:type="dxa"/>
          </w:tcPr>
          <w:p w14:paraId="3A75E73D" w14:textId="77777777" w:rsidR="00010E2E" w:rsidRDefault="00010E2E">
            <w:pPr>
              <w:pStyle w:val="Table"/>
              <w:rPr>
                <w:snapToGrid w:val="0"/>
              </w:rPr>
            </w:pPr>
          </w:p>
        </w:tc>
        <w:tc>
          <w:tcPr>
            <w:tcW w:w="2552" w:type="dxa"/>
          </w:tcPr>
          <w:p w14:paraId="5834E254" w14:textId="77777777" w:rsidR="00010E2E" w:rsidRDefault="00010E2E">
            <w:pPr>
              <w:pStyle w:val="Table"/>
              <w:rPr>
                <w:snapToGrid w:val="0"/>
              </w:rPr>
            </w:pPr>
            <w:r>
              <w:rPr>
                <w:snapToGrid w:val="0"/>
              </w:rPr>
              <w:t>Gasoline (other than for use as fuel in an aircraft)</w:t>
            </w:r>
          </w:p>
        </w:tc>
        <w:tc>
          <w:tcPr>
            <w:tcW w:w="1559" w:type="dxa"/>
          </w:tcPr>
          <w:p w14:paraId="7FDBA22E" w14:textId="77777777" w:rsidR="00010E2E" w:rsidRDefault="00010E2E">
            <w:pPr>
              <w:pStyle w:val="Table"/>
              <w:jc w:val="center"/>
              <w:rPr>
                <w:snapToGrid w:val="0"/>
              </w:rPr>
            </w:pPr>
            <w:r>
              <w:rPr>
                <w:snapToGrid w:val="0"/>
              </w:rPr>
              <w:t>34.2</w:t>
            </w:r>
          </w:p>
        </w:tc>
        <w:tc>
          <w:tcPr>
            <w:tcW w:w="992" w:type="dxa"/>
          </w:tcPr>
          <w:p w14:paraId="27E9AD9B" w14:textId="77777777" w:rsidR="00010E2E" w:rsidRDefault="00010E2E">
            <w:pPr>
              <w:pStyle w:val="Table"/>
              <w:jc w:val="center"/>
              <w:rPr>
                <w:snapToGrid w:val="0"/>
              </w:rPr>
            </w:pPr>
            <w:r>
              <w:rPr>
                <w:snapToGrid w:val="0"/>
              </w:rPr>
              <w:t>6</w:t>
            </w:r>
            <w:r w:rsidR="00CD1DF6">
              <w:rPr>
                <w:snapToGrid w:val="0"/>
              </w:rPr>
              <w:t>7.4</w:t>
            </w:r>
          </w:p>
        </w:tc>
        <w:tc>
          <w:tcPr>
            <w:tcW w:w="709" w:type="dxa"/>
          </w:tcPr>
          <w:p w14:paraId="4AB5E68E" w14:textId="77777777" w:rsidR="00010E2E" w:rsidRDefault="00010E2E">
            <w:pPr>
              <w:pStyle w:val="Table"/>
              <w:jc w:val="center"/>
              <w:rPr>
                <w:snapToGrid w:val="0"/>
              </w:rPr>
            </w:pPr>
            <w:r>
              <w:rPr>
                <w:snapToGrid w:val="0"/>
              </w:rPr>
              <w:t>0.</w:t>
            </w:r>
            <w:r w:rsidR="00CD1DF6">
              <w:rPr>
                <w:snapToGrid w:val="0"/>
              </w:rPr>
              <w:t>5</w:t>
            </w:r>
          </w:p>
        </w:tc>
        <w:tc>
          <w:tcPr>
            <w:tcW w:w="709" w:type="dxa"/>
          </w:tcPr>
          <w:p w14:paraId="3F5AA7DC" w14:textId="77777777" w:rsidR="00010E2E" w:rsidRDefault="00CD1DF6">
            <w:pPr>
              <w:pStyle w:val="Table"/>
              <w:jc w:val="center"/>
              <w:rPr>
                <w:snapToGrid w:val="0"/>
              </w:rPr>
            </w:pPr>
            <w:r>
              <w:rPr>
                <w:snapToGrid w:val="0"/>
              </w:rPr>
              <w:t>1.8</w:t>
            </w:r>
          </w:p>
        </w:tc>
      </w:tr>
      <w:tr w:rsidR="00010E2E" w14:paraId="5D556678" w14:textId="77777777" w:rsidTr="00382DF3">
        <w:trPr>
          <w:cantSplit/>
        </w:trPr>
        <w:tc>
          <w:tcPr>
            <w:tcW w:w="1843" w:type="dxa"/>
          </w:tcPr>
          <w:p w14:paraId="0916FB81" w14:textId="77777777" w:rsidR="00010E2E" w:rsidRDefault="00010E2E">
            <w:pPr>
              <w:pStyle w:val="Table"/>
              <w:rPr>
                <w:snapToGrid w:val="0"/>
              </w:rPr>
            </w:pPr>
          </w:p>
        </w:tc>
        <w:tc>
          <w:tcPr>
            <w:tcW w:w="2552" w:type="dxa"/>
          </w:tcPr>
          <w:p w14:paraId="51BB2C40" w14:textId="77777777" w:rsidR="00010E2E" w:rsidRDefault="00010E2E">
            <w:pPr>
              <w:pStyle w:val="Table"/>
              <w:rPr>
                <w:snapToGrid w:val="0"/>
              </w:rPr>
            </w:pPr>
            <w:r>
              <w:rPr>
                <w:snapToGrid w:val="0"/>
              </w:rPr>
              <w:t>Diesel oil</w:t>
            </w:r>
          </w:p>
        </w:tc>
        <w:tc>
          <w:tcPr>
            <w:tcW w:w="1559" w:type="dxa"/>
          </w:tcPr>
          <w:p w14:paraId="149D696C" w14:textId="77777777" w:rsidR="00010E2E" w:rsidRDefault="00010E2E">
            <w:pPr>
              <w:pStyle w:val="Table"/>
              <w:jc w:val="center"/>
              <w:rPr>
                <w:snapToGrid w:val="0"/>
              </w:rPr>
            </w:pPr>
            <w:r>
              <w:rPr>
                <w:snapToGrid w:val="0"/>
              </w:rPr>
              <w:t>38.6</w:t>
            </w:r>
          </w:p>
        </w:tc>
        <w:tc>
          <w:tcPr>
            <w:tcW w:w="992" w:type="dxa"/>
          </w:tcPr>
          <w:p w14:paraId="75E2035C" w14:textId="77777777" w:rsidR="00010E2E" w:rsidRDefault="00010E2E">
            <w:pPr>
              <w:pStyle w:val="Table"/>
              <w:jc w:val="center"/>
              <w:rPr>
                <w:snapToGrid w:val="0"/>
              </w:rPr>
            </w:pPr>
            <w:r>
              <w:rPr>
                <w:snapToGrid w:val="0"/>
              </w:rPr>
              <w:t>69.</w:t>
            </w:r>
            <w:r w:rsidR="003F2314">
              <w:rPr>
                <w:snapToGrid w:val="0"/>
              </w:rPr>
              <w:t>9</w:t>
            </w:r>
          </w:p>
        </w:tc>
        <w:tc>
          <w:tcPr>
            <w:tcW w:w="709" w:type="dxa"/>
          </w:tcPr>
          <w:p w14:paraId="7AA7EA49" w14:textId="77777777" w:rsidR="00010E2E" w:rsidRDefault="00010E2E">
            <w:pPr>
              <w:pStyle w:val="Table"/>
              <w:jc w:val="center"/>
              <w:rPr>
                <w:snapToGrid w:val="0"/>
              </w:rPr>
            </w:pPr>
            <w:r>
              <w:rPr>
                <w:snapToGrid w:val="0"/>
              </w:rPr>
              <w:t>0.</w:t>
            </w:r>
            <w:r w:rsidR="00CD1DF6">
              <w:rPr>
                <w:snapToGrid w:val="0"/>
              </w:rPr>
              <w:t>1</w:t>
            </w:r>
          </w:p>
        </w:tc>
        <w:tc>
          <w:tcPr>
            <w:tcW w:w="709" w:type="dxa"/>
          </w:tcPr>
          <w:p w14:paraId="16D3FB1E" w14:textId="77777777" w:rsidR="00010E2E" w:rsidRDefault="00010E2E">
            <w:pPr>
              <w:pStyle w:val="Table"/>
              <w:jc w:val="center"/>
              <w:rPr>
                <w:snapToGrid w:val="0"/>
              </w:rPr>
            </w:pPr>
            <w:r>
              <w:rPr>
                <w:snapToGrid w:val="0"/>
              </w:rPr>
              <w:t>0.5</w:t>
            </w:r>
          </w:p>
        </w:tc>
      </w:tr>
      <w:tr w:rsidR="00010E2E" w14:paraId="496E22F1" w14:textId="77777777" w:rsidTr="00382DF3">
        <w:trPr>
          <w:cantSplit/>
        </w:trPr>
        <w:tc>
          <w:tcPr>
            <w:tcW w:w="1843" w:type="dxa"/>
          </w:tcPr>
          <w:p w14:paraId="3048E8C1" w14:textId="77777777" w:rsidR="00010E2E" w:rsidRDefault="00010E2E">
            <w:pPr>
              <w:pStyle w:val="Table"/>
              <w:rPr>
                <w:snapToGrid w:val="0"/>
              </w:rPr>
            </w:pPr>
          </w:p>
        </w:tc>
        <w:tc>
          <w:tcPr>
            <w:tcW w:w="2552" w:type="dxa"/>
          </w:tcPr>
          <w:p w14:paraId="781601D0" w14:textId="77777777" w:rsidR="00010E2E" w:rsidRDefault="00010E2E">
            <w:pPr>
              <w:pStyle w:val="Table"/>
              <w:rPr>
                <w:snapToGrid w:val="0"/>
              </w:rPr>
            </w:pPr>
            <w:r>
              <w:rPr>
                <w:snapToGrid w:val="0"/>
              </w:rPr>
              <w:t>Gasoline for use as fuel in an aircraft</w:t>
            </w:r>
          </w:p>
        </w:tc>
        <w:tc>
          <w:tcPr>
            <w:tcW w:w="1559" w:type="dxa"/>
          </w:tcPr>
          <w:p w14:paraId="7F507042" w14:textId="77777777" w:rsidR="00010E2E" w:rsidRDefault="00010E2E">
            <w:pPr>
              <w:pStyle w:val="Table"/>
              <w:jc w:val="center"/>
              <w:rPr>
                <w:snapToGrid w:val="0"/>
              </w:rPr>
            </w:pPr>
            <w:r>
              <w:rPr>
                <w:snapToGrid w:val="0"/>
              </w:rPr>
              <w:t>33.1</w:t>
            </w:r>
          </w:p>
        </w:tc>
        <w:tc>
          <w:tcPr>
            <w:tcW w:w="992" w:type="dxa"/>
          </w:tcPr>
          <w:p w14:paraId="4BEFA32A" w14:textId="77777777" w:rsidR="00010E2E" w:rsidRDefault="00010E2E">
            <w:pPr>
              <w:pStyle w:val="Table"/>
              <w:jc w:val="center"/>
              <w:rPr>
                <w:snapToGrid w:val="0"/>
              </w:rPr>
            </w:pPr>
            <w:r>
              <w:rPr>
                <w:snapToGrid w:val="0"/>
              </w:rPr>
              <w:t>6</w:t>
            </w:r>
            <w:r w:rsidR="00CD1DF6">
              <w:rPr>
                <w:snapToGrid w:val="0"/>
              </w:rPr>
              <w:t>7.0</w:t>
            </w:r>
          </w:p>
        </w:tc>
        <w:tc>
          <w:tcPr>
            <w:tcW w:w="709" w:type="dxa"/>
          </w:tcPr>
          <w:p w14:paraId="43536098" w14:textId="77777777" w:rsidR="00010E2E" w:rsidRDefault="00010E2E">
            <w:pPr>
              <w:pStyle w:val="Table"/>
              <w:jc w:val="center"/>
              <w:rPr>
                <w:snapToGrid w:val="0"/>
              </w:rPr>
            </w:pPr>
            <w:r>
              <w:rPr>
                <w:snapToGrid w:val="0"/>
              </w:rPr>
              <w:t>0.0</w:t>
            </w:r>
            <w:r w:rsidR="00CD1DF6">
              <w:rPr>
                <w:snapToGrid w:val="0"/>
              </w:rPr>
              <w:t>5</w:t>
            </w:r>
          </w:p>
        </w:tc>
        <w:tc>
          <w:tcPr>
            <w:tcW w:w="709" w:type="dxa"/>
          </w:tcPr>
          <w:p w14:paraId="70AD74FE" w14:textId="77777777" w:rsidR="00010E2E" w:rsidRDefault="00010E2E">
            <w:pPr>
              <w:pStyle w:val="Table"/>
              <w:jc w:val="center"/>
              <w:rPr>
                <w:snapToGrid w:val="0"/>
              </w:rPr>
            </w:pPr>
            <w:r>
              <w:rPr>
                <w:snapToGrid w:val="0"/>
              </w:rPr>
              <w:t>0.7</w:t>
            </w:r>
          </w:p>
        </w:tc>
      </w:tr>
      <w:tr w:rsidR="00010E2E" w14:paraId="07ECD191" w14:textId="77777777" w:rsidTr="00382DF3">
        <w:trPr>
          <w:cantSplit/>
        </w:trPr>
        <w:tc>
          <w:tcPr>
            <w:tcW w:w="1843" w:type="dxa"/>
          </w:tcPr>
          <w:p w14:paraId="213F5C55" w14:textId="77777777" w:rsidR="00010E2E" w:rsidRDefault="00010E2E">
            <w:pPr>
              <w:pStyle w:val="Table"/>
            </w:pPr>
          </w:p>
        </w:tc>
        <w:tc>
          <w:tcPr>
            <w:tcW w:w="2552" w:type="dxa"/>
          </w:tcPr>
          <w:p w14:paraId="16C5E81F" w14:textId="77777777" w:rsidR="00010E2E" w:rsidRDefault="00010E2E">
            <w:pPr>
              <w:pStyle w:val="Table"/>
              <w:rPr>
                <w:snapToGrid w:val="0"/>
              </w:rPr>
            </w:pPr>
            <w:r>
              <w:t>Kerosene for use as fuel in an aircraft</w:t>
            </w:r>
          </w:p>
        </w:tc>
        <w:tc>
          <w:tcPr>
            <w:tcW w:w="1559" w:type="dxa"/>
          </w:tcPr>
          <w:p w14:paraId="4166AC6D" w14:textId="77777777" w:rsidR="00010E2E" w:rsidRDefault="00010E2E">
            <w:pPr>
              <w:pStyle w:val="Table"/>
              <w:jc w:val="center"/>
              <w:rPr>
                <w:snapToGrid w:val="0"/>
              </w:rPr>
            </w:pPr>
            <w:r>
              <w:rPr>
                <w:snapToGrid w:val="0"/>
              </w:rPr>
              <w:t>36.8</w:t>
            </w:r>
          </w:p>
        </w:tc>
        <w:tc>
          <w:tcPr>
            <w:tcW w:w="992" w:type="dxa"/>
          </w:tcPr>
          <w:p w14:paraId="1AF1B029" w14:textId="77777777" w:rsidR="00010E2E" w:rsidRDefault="00010E2E">
            <w:pPr>
              <w:pStyle w:val="Table"/>
              <w:jc w:val="center"/>
              <w:rPr>
                <w:snapToGrid w:val="0"/>
              </w:rPr>
            </w:pPr>
            <w:r>
              <w:rPr>
                <w:snapToGrid w:val="0"/>
              </w:rPr>
              <w:t>6</w:t>
            </w:r>
            <w:r w:rsidR="00CD1DF6">
              <w:rPr>
                <w:snapToGrid w:val="0"/>
              </w:rPr>
              <w:t>9.6</w:t>
            </w:r>
          </w:p>
        </w:tc>
        <w:tc>
          <w:tcPr>
            <w:tcW w:w="709" w:type="dxa"/>
          </w:tcPr>
          <w:p w14:paraId="44FFD136" w14:textId="77777777" w:rsidR="00010E2E" w:rsidRDefault="00010E2E">
            <w:pPr>
              <w:pStyle w:val="Table"/>
              <w:jc w:val="center"/>
              <w:rPr>
                <w:snapToGrid w:val="0"/>
              </w:rPr>
            </w:pPr>
            <w:r>
              <w:rPr>
                <w:snapToGrid w:val="0"/>
              </w:rPr>
              <w:t>0.01</w:t>
            </w:r>
          </w:p>
        </w:tc>
        <w:tc>
          <w:tcPr>
            <w:tcW w:w="709" w:type="dxa"/>
          </w:tcPr>
          <w:p w14:paraId="2509E6ED" w14:textId="77777777" w:rsidR="00010E2E" w:rsidRDefault="00010E2E">
            <w:pPr>
              <w:pStyle w:val="Table"/>
              <w:jc w:val="center"/>
              <w:rPr>
                <w:snapToGrid w:val="0"/>
              </w:rPr>
            </w:pPr>
            <w:r>
              <w:rPr>
                <w:snapToGrid w:val="0"/>
              </w:rPr>
              <w:t>0.</w:t>
            </w:r>
            <w:r w:rsidR="00CD1DF6">
              <w:rPr>
                <w:snapToGrid w:val="0"/>
              </w:rPr>
              <w:t>6</w:t>
            </w:r>
          </w:p>
        </w:tc>
      </w:tr>
      <w:tr w:rsidR="00010E2E" w14:paraId="4FA0D33C" w14:textId="77777777" w:rsidTr="00382DF3">
        <w:trPr>
          <w:cantSplit/>
        </w:trPr>
        <w:tc>
          <w:tcPr>
            <w:tcW w:w="1843" w:type="dxa"/>
          </w:tcPr>
          <w:p w14:paraId="23305562" w14:textId="77777777" w:rsidR="00010E2E" w:rsidRDefault="00010E2E">
            <w:pPr>
              <w:pStyle w:val="Table"/>
              <w:rPr>
                <w:snapToGrid w:val="0"/>
              </w:rPr>
            </w:pPr>
          </w:p>
        </w:tc>
        <w:tc>
          <w:tcPr>
            <w:tcW w:w="2552" w:type="dxa"/>
          </w:tcPr>
          <w:p w14:paraId="104862CD" w14:textId="77777777" w:rsidR="00010E2E" w:rsidRDefault="00010E2E">
            <w:pPr>
              <w:pStyle w:val="Table"/>
              <w:rPr>
                <w:snapToGrid w:val="0"/>
              </w:rPr>
            </w:pPr>
            <w:r>
              <w:rPr>
                <w:snapToGrid w:val="0"/>
              </w:rPr>
              <w:t>Fuel oil</w:t>
            </w:r>
          </w:p>
        </w:tc>
        <w:tc>
          <w:tcPr>
            <w:tcW w:w="1559" w:type="dxa"/>
          </w:tcPr>
          <w:p w14:paraId="44030FEA" w14:textId="77777777" w:rsidR="00010E2E" w:rsidRDefault="00010E2E">
            <w:pPr>
              <w:pStyle w:val="Table"/>
              <w:jc w:val="center"/>
              <w:rPr>
                <w:snapToGrid w:val="0"/>
              </w:rPr>
            </w:pPr>
            <w:r>
              <w:rPr>
                <w:snapToGrid w:val="0"/>
              </w:rPr>
              <w:t>39.7</w:t>
            </w:r>
          </w:p>
        </w:tc>
        <w:tc>
          <w:tcPr>
            <w:tcW w:w="992" w:type="dxa"/>
          </w:tcPr>
          <w:p w14:paraId="44865BC0" w14:textId="77777777" w:rsidR="00010E2E" w:rsidRDefault="00010E2E">
            <w:pPr>
              <w:pStyle w:val="Table"/>
              <w:jc w:val="center"/>
              <w:rPr>
                <w:snapToGrid w:val="0"/>
              </w:rPr>
            </w:pPr>
            <w:r>
              <w:rPr>
                <w:snapToGrid w:val="0"/>
              </w:rPr>
              <w:t>7</w:t>
            </w:r>
            <w:r w:rsidR="00CD1DF6">
              <w:rPr>
                <w:snapToGrid w:val="0"/>
              </w:rPr>
              <w:t>3.6</w:t>
            </w:r>
          </w:p>
        </w:tc>
        <w:tc>
          <w:tcPr>
            <w:tcW w:w="709" w:type="dxa"/>
          </w:tcPr>
          <w:p w14:paraId="717AA31F" w14:textId="77777777" w:rsidR="00010E2E" w:rsidRDefault="00010E2E">
            <w:pPr>
              <w:pStyle w:val="Table"/>
              <w:jc w:val="center"/>
              <w:rPr>
                <w:snapToGrid w:val="0"/>
              </w:rPr>
            </w:pPr>
            <w:r>
              <w:rPr>
                <w:snapToGrid w:val="0"/>
              </w:rPr>
              <w:t>0.0</w:t>
            </w:r>
            <w:r w:rsidR="00CD1DF6">
              <w:rPr>
                <w:snapToGrid w:val="0"/>
              </w:rPr>
              <w:t>7</w:t>
            </w:r>
          </w:p>
        </w:tc>
        <w:tc>
          <w:tcPr>
            <w:tcW w:w="709" w:type="dxa"/>
          </w:tcPr>
          <w:p w14:paraId="08D0DC51" w14:textId="77777777" w:rsidR="00010E2E" w:rsidRDefault="00010E2E">
            <w:pPr>
              <w:pStyle w:val="Table"/>
              <w:jc w:val="center"/>
              <w:rPr>
                <w:snapToGrid w:val="0"/>
              </w:rPr>
            </w:pPr>
            <w:r>
              <w:rPr>
                <w:snapToGrid w:val="0"/>
              </w:rPr>
              <w:t>0.6</w:t>
            </w:r>
          </w:p>
        </w:tc>
      </w:tr>
      <w:tr w:rsidR="00010E2E" w14:paraId="5C1EB4AA" w14:textId="77777777" w:rsidTr="00382DF3">
        <w:trPr>
          <w:cantSplit/>
        </w:trPr>
        <w:tc>
          <w:tcPr>
            <w:tcW w:w="1843" w:type="dxa"/>
          </w:tcPr>
          <w:p w14:paraId="67D48D65" w14:textId="77777777" w:rsidR="00010E2E" w:rsidRDefault="00010E2E">
            <w:pPr>
              <w:pStyle w:val="Table"/>
              <w:rPr>
                <w:snapToGrid w:val="0"/>
              </w:rPr>
            </w:pPr>
          </w:p>
        </w:tc>
        <w:tc>
          <w:tcPr>
            <w:tcW w:w="2552" w:type="dxa"/>
          </w:tcPr>
          <w:p w14:paraId="60414B68" w14:textId="77777777" w:rsidR="00010E2E" w:rsidRDefault="00010E2E">
            <w:pPr>
              <w:pStyle w:val="Table"/>
              <w:rPr>
                <w:snapToGrid w:val="0"/>
              </w:rPr>
            </w:pPr>
            <w:r>
              <w:rPr>
                <w:snapToGrid w:val="0"/>
              </w:rPr>
              <w:t>Liquefied petroleum gas</w:t>
            </w:r>
          </w:p>
        </w:tc>
        <w:tc>
          <w:tcPr>
            <w:tcW w:w="1559" w:type="dxa"/>
          </w:tcPr>
          <w:p w14:paraId="43F6CE51" w14:textId="77777777" w:rsidR="00010E2E" w:rsidRDefault="00010E2E">
            <w:pPr>
              <w:pStyle w:val="Table"/>
              <w:jc w:val="center"/>
              <w:rPr>
                <w:snapToGrid w:val="0"/>
              </w:rPr>
            </w:pPr>
            <w:r>
              <w:rPr>
                <w:snapToGrid w:val="0"/>
              </w:rPr>
              <w:t>26.2</w:t>
            </w:r>
          </w:p>
        </w:tc>
        <w:tc>
          <w:tcPr>
            <w:tcW w:w="992" w:type="dxa"/>
          </w:tcPr>
          <w:p w14:paraId="6E55C4BA" w14:textId="77777777" w:rsidR="00010E2E" w:rsidRDefault="00CD1DF6">
            <w:pPr>
              <w:pStyle w:val="Table"/>
              <w:jc w:val="center"/>
              <w:rPr>
                <w:snapToGrid w:val="0"/>
              </w:rPr>
            </w:pPr>
            <w:r>
              <w:rPr>
                <w:snapToGrid w:val="0"/>
              </w:rPr>
              <w:t>60.2</w:t>
            </w:r>
          </w:p>
        </w:tc>
        <w:tc>
          <w:tcPr>
            <w:tcW w:w="709" w:type="dxa"/>
          </w:tcPr>
          <w:p w14:paraId="6B690276" w14:textId="77777777" w:rsidR="00010E2E" w:rsidRDefault="00010E2E">
            <w:pPr>
              <w:pStyle w:val="Table"/>
              <w:jc w:val="center"/>
              <w:rPr>
                <w:snapToGrid w:val="0"/>
              </w:rPr>
            </w:pPr>
            <w:r>
              <w:rPr>
                <w:snapToGrid w:val="0"/>
              </w:rPr>
              <w:t>0.</w:t>
            </w:r>
            <w:r w:rsidR="00CD1DF6">
              <w:rPr>
                <w:snapToGrid w:val="0"/>
              </w:rPr>
              <w:t>6</w:t>
            </w:r>
          </w:p>
        </w:tc>
        <w:tc>
          <w:tcPr>
            <w:tcW w:w="709" w:type="dxa"/>
          </w:tcPr>
          <w:p w14:paraId="3690627A" w14:textId="77777777" w:rsidR="00010E2E" w:rsidRDefault="00010E2E">
            <w:pPr>
              <w:pStyle w:val="Table"/>
              <w:jc w:val="center"/>
              <w:rPr>
                <w:snapToGrid w:val="0"/>
              </w:rPr>
            </w:pPr>
            <w:r>
              <w:rPr>
                <w:snapToGrid w:val="0"/>
              </w:rPr>
              <w:t>0.</w:t>
            </w:r>
            <w:r w:rsidR="00CD1DF6">
              <w:rPr>
                <w:snapToGrid w:val="0"/>
              </w:rPr>
              <w:t>7</w:t>
            </w:r>
          </w:p>
        </w:tc>
      </w:tr>
      <w:tr w:rsidR="00010E2E" w14:paraId="37E6B776" w14:textId="77777777" w:rsidTr="00382DF3">
        <w:trPr>
          <w:cantSplit/>
        </w:trPr>
        <w:tc>
          <w:tcPr>
            <w:tcW w:w="1843" w:type="dxa"/>
          </w:tcPr>
          <w:p w14:paraId="2105CF80" w14:textId="77777777" w:rsidR="00010E2E" w:rsidRDefault="00010E2E">
            <w:pPr>
              <w:pStyle w:val="Table"/>
              <w:rPr>
                <w:snapToGrid w:val="0"/>
              </w:rPr>
            </w:pPr>
          </w:p>
        </w:tc>
        <w:tc>
          <w:tcPr>
            <w:tcW w:w="2552" w:type="dxa"/>
          </w:tcPr>
          <w:p w14:paraId="76F630FF" w14:textId="77777777" w:rsidR="00010E2E" w:rsidRDefault="00010E2E">
            <w:pPr>
              <w:pStyle w:val="Table"/>
              <w:rPr>
                <w:snapToGrid w:val="0"/>
              </w:rPr>
            </w:pPr>
            <w:r>
              <w:rPr>
                <w:snapToGrid w:val="0"/>
              </w:rPr>
              <w:t>Biodiesel</w:t>
            </w:r>
          </w:p>
        </w:tc>
        <w:tc>
          <w:tcPr>
            <w:tcW w:w="1559" w:type="dxa"/>
          </w:tcPr>
          <w:p w14:paraId="5DC29C1F" w14:textId="77777777" w:rsidR="00010E2E" w:rsidRDefault="00010E2E">
            <w:pPr>
              <w:pStyle w:val="Table"/>
              <w:jc w:val="center"/>
              <w:rPr>
                <w:snapToGrid w:val="0"/>
              </w:rPr>
            </w:pPr>
            <w:r>
              <w:rPr>
                <w:snapToGrid w:val="0"/>
              </w:rPr>
              <w:t>34.6</w:t>
            </w:r>
          </w:p>
        </w:tc>
        <w:tc>
          <w:tcPr>
            <w:tcW w:w="992" w:type="dxa"/>
          </w:tcPr>
          <w:p w14:paraId="0DEC4A46" w14:textId="77777777" w:rsidR="00010E2E" w:rsidRDefault="00010E2E">
            <w:pPr>
              <w:pStyle w:val="Table"/>
              <w:jc w:val="center"/>
              <w:rPr>
                <w:snapToGrid w:val="0"/>
              </w:rPr>
            </w:pPr>
            <w:r>
              <w:rPr>
                <w:snapToGrid w:val="0"/>
              </w:rPr>
              <w:t>0.0</w:t>
            </w:r>
          </w:p>
        </w:tc>
        <w:tc>
          <w:tcPr>
            <w:tcW w:w="709" w:type="dxa"/>
          </w:tcPr>
          <w:p w14:paraId="3CEA2051" w14:textId="77777777" w:rsidR="00010E2E" w:rsidRDefault="00CD1DF6">
            <w:pPr>
              <w:pStyle w:val="Table"/>
              <w:jc w:val="center"/>
              <w:rPr>
                <w:snapToGrid w:val="0"/>
              </w:rPr>
            </w:pPr>
            <w:r>
              <w:rPr>
                <w:snapToGrid w:val="0"/>
              </w:rPr>
              <w:t>0.7</w:t>
            </w:r>
          </w:p>
        </w:tc>
        <w:tc>
          <w:tcPr>
            <w:tcW w:w="709" w:type="dxa"/>
          </w:tcPr>
          <w:p w14:paraId="7CE6A8CD" w14:textId="77777777" w:rsidR="00010E2E" w:rsidRDefault="00CD1DF6">
            <w:pPr>
              <w:pStyle w:val="Table"/>
              <w:jc w:val="center"/>
              <w:rPr>
                <w:snapToGrid w:val="0"/>
              </w:rPr>
            </w:pPr>
            <w:r>
              <w:rPr>
                <w:snapToGrid w:val="0"/>
              </w:rPr>
              <w:t>1.9</w:t>
            </w:r>
          </w:p>
        </w:tc>
      </w:tr>
      <w:tr w:rsidR="00010E2E" w14:paraId="204B490F" w14:textId="77777777" w:rsidTr="00382DF3">
        <w:trPr>
          <w:cantSplit/>
        </w:trPr>
        <w:tc>
          <w:tcPr>
            <w:tcW w:w="1843" w:type="dxa"/>
          </w:tcPr>
          <w:p w14:paraId="2918EE6E" w14:textId="77777777" w:rsidR="00010E2E" w:rsidRDefault="00010E2E">
            <w:pPr>
              <w:pStyle w:val="Table"/>
              <w:rPr>
                <w:snapToGrid w:val="0"/>
              </w:rPr>
            </w:pPr>
          </w:p>
        </w:tc>
        <w:tc>
          <w:tcPr>
            <w:tcW w:w="2552" w:type="dxa"/>
          </w:tcPr>
          <w:p w14:paraId="3C7FAD28" w14:textId="77777777" w:rsidR="00010E2E" w:rsidRDefault="00010E2E">
            <w:pPr>
              <w:pStyle w:val="Table"/>
              <w:rPr>
                <w:b/>
                <w:snapToGrid w:val="0"/>
              </w:rPr>
            </w:pPr>
            <w:r>
              <w:rPr>
                <w:snapToGrid w:val="0"/>
              </w:rPr>
              <w:t>Ethanol for use as fuel in an internal combustion engine</w:t>
            </w:r>
          </w:p>
        </w:tc>
        <w:tc>
          <w:tcPr>
            <w:tcW w:w="1559" w:type="dxa"/>
          </w:tcPr>
          <w:p w14:paraId="09229E0B" w14:textId="77777777" w:rsidR="00010E2E" w:rsidRDefault="00010E2E">
            <w:pPr>
              <w:pStyle w:val="Table"/>
              <w:jc w:val="center"/>
              <w:rPr>
                <w:snapToGrid w:val="0"/>
              </w:rPr>
            </w:pPr>
            <w:r>
              <w:rPr>
                <w:snapToGrid w:val="0"/>
              </w:rPr>
              <w:t>23.4</w:t>
            </w:r>
          </w:p>
        </w:tc>
        <w:tc>
          <w:tcPr>
            <w:tcW w:w="992" w:type="dxa"/>
          </w:tcPr>
          <w:p w14:paraId="1015BC8E" w14:textId="77777777" w:rsidR="00010E2E" w:rsidRDefault="00010E2E">
            <w:pPr>
              <w:pStyle w:val="Table"/>
              <w:jc w:val="center"/>
              <w:rPr>
                <w:snapToGrid w:val="0"/>
              </w:rPr>
            </w:pPr>
            <w:r>
              <w:rPr>
                <w:snapToGrid w:val="0"/>
              </w:rPr>
              <w:t>0.0</w:t>
            </w:r>
          </w:p>
        </w:tc>
        <w:tc>
          <w:tcPr>
            <w:tcW w:w="709" w:type="dxa"/>
          </w:tcPr>
          <w:p w14:paraId="2CEF3BAD" w14:textId="77777777" w:rsidR="00010E2E" w:rsidRDefault="00CD1DF6">
            <w:pPr>
              <w:pStyle w:val="Table"/>
              <w:jc w:val="center"/>
              <w:rPr>
                <w:snapToGrid w:val="0"/>
              </w:rPr>
            </w:pPr>
            <w:r>
              <w:rPr>
                <w:snapToGrid w:val="0"/>
              </w:rPr>
              <w:t>0.7</w:t>
            </w:r>
          </w:p>
        </w:tc>
        <w:tc>
          <w:tcPr>
            <w:tcW w:w="709" w:type="dxa"/>
          </w:tcPr>
          <w:p w14:paraId="70D11624" w14:textId="77777777" w:rsidR="00010E2E" w:rsidRDefault="00CD1DF6">
            <w:pPr>
              <w:pStyle w:val="Table"/>
              <w:jc w:val="center"/>
              <w:rPr>
                <w:snapToGrid w:val="0"/>
              </w:rPr>
            </w:pPr>
            <w:r>
              <w:rPr>
                <w:snapToGrid w:val="0"/>
              </w:rPr>
              <w:t>1.9</w:t>
            </w:r>
          </w:p>
        </w:tc>
      </w:tr>
      <w:tr w:rsidR="00010E2E" w14:paraId="2E337786" w14:textId="77777777" w:rsidTr="00382DF3">
        <w:trPr>
          <w:cantSplit/>
        </w:trPr>
        <w:tc>
          <w:tcPr>
            <w:tcW w:w="1843" w:type="dxa"/>
          </w:tcPr>
          <w:p w14:paraId="033E802C" w14:textId="77777777" w:rsidR="00010E2E" w:rsidRDefault="00010E2E">
            <w:pPr>
              <w:pStyle w:val="Table"/>
              <w:rPr>
                <w:snapToGrid w:val="0"/>
              </w:rPr>
            </w:pPr>
          </w:p>
        </w:tc>
        <w:tc>
          <w:tcPr>
            <w:tcW w:w="2552" w:type="dxa"/>
          </w:tcPr>
          <w:p w14:paraId="0FC7C28C" w14:textId="77777777" w:rsidR="00010E2E" w:rsidRDefault="00010E2E">
            <w:pPr>
              <w:pStyle w:val="Table"/>
              <w:rPr>
                <w:snapToGrid w:val="0"/>
              </w:rPr>
            </w:pPr>
            <w:r>
              <w:rPr>
                <w:snapToGrid w:val="0"/>
              </w:rPr>
              <w:t>Biofuels other than those mentioned in items above</w:t>
            </w:r>
          </w:p>
        </w:tc>
        <w:tc>
          <w:tcPr>
            <w:tcW w:w="1559" w:type="dxa"/>
          </w:tcPr>
          <w:p w14:paraId="7D7F2EED" w14:textId="77777777" w:rsidR="00010E2E" w:rsidRDefault="00010E2E">
            <w:pPr>
              <w:pStyle w:val="Table"/>
              <w:jc w:val="center"/>
              <w:rPr>
                <w:snapToGrid w:val="0"/>
              </w:rPr>
            </w:pPr>
            <w:r>
              <w:rPr>
                <w:snapToGrid w:val="0"/>
              </w:rPr>
              <w:t>23.4</w:t>
            </w:r>
          </w:p>
        </w:tc>
        <w:tc>
          <w:tcPr>
            <w:tcW w:w="992" w:type="dxa"/>
          </w:tcPr>
          <w:p w14:paraId="1338488A" w14:textId="77777777" w:rsidR="00010E2E" w:rsidRDefault="00010E2E">
            <w:pPr>
              <w:pStyle w:val="Table"/>
              <w:jc w:val="center"/>
              <w:rPr>
                <w:snapToGrid w:val="0"/>
              </w:rPr>
            </w:pPr>
            <w:r>
              <w:rPr>
                <w:snapToGrid w:val="0"/>
              </w:rPr>
              <w:t>0.0</w:t>
            </w:r>
          </w:p>
        </w:tc>
        <w:tc>
          <w:tcPr>
            <w:tcW w:w="709" w:type="dxa"/>
          </w:tcPr>
          <w:p w14:paraId="71439525" w14:textId="77777777" w:rsidR="00010E2E" w:rsidRDefault="00CD1DF6">
            <w:pPr>
              <w:pStyle w:val="Table"/>
              <w:jc w:val="center"/>
              <w:rPr>
                <w:snapToGrid w:val="0"/>
              </w:rPr>
            </w:pPr>
            <w:r>
              <w:rPr>
                <w:snapToGrid w:val="0"/>
              </w:rPr>
              <w:t>0.7</w:t>
            </w:r>
          </w:p>
        </w:tc>
        <w:tc>
          <w:tcPr>
            <w:tcW w:w="709" w:type="dxa"/>
          </w:tcPr>
          <w:p w14:paraId="48BDA36D" w14:textId="77777777" w:rsidR="00010E2E" w:rsidRDefault="00CD1DF6">
            <w:pPr>
              <w:pStyle w:val="Table"/>
              <w:jc w:val="center"/>
              <w:rPr>
                <w:snapToGrid w:val="0"/>
              </w:rPr>
            </w:pPr>
            <w:r>
              <w:rPr>
                <w:snapToGrid w:val="0"/>
              </w:rPr>
              <w:t>1.9</w:t>
            </w:r>
          </w:p>
        </w:tc>
      </w:tr>
      <w:tr w:rsidR="00010E2E" w14:paraId="02BFE6E2" w14:textId="77777777" w:rsidTr="00382DF3">
        <w:trPr>
          <w:cantSplit/>
        </w:trPr>
        <w:tc>
          <w:tcPr>
            <w:tcW w:w="1843" w:type="dxa"/>
          </w:tcPr>
          <w:p w14:paraId="077D0AE0" w14:textId="77777777" w:rsidR="00010E2E" w:rsidRDefault="00010E2E">
            <w:pPr>
              <w:pStyle w:val="Table"/>
              <w:rPr>
                <w:snapToGrid w:val="0"/>
              </w:rPr>
            </w:pPr>
          </w:p>
        </w:tc>
        <w:tc>
          <w:tcPr>
            <w:tcW w:w="2552" w:type="dxa"/>
          </w:tcPr>
          <w:p w14:paraId="6316F9E1" w14:textId="77777777" w:rsidR="00010E2E" w:rsidRDefault="002C63C2">
            <w:pPr>
              <w:pStyle w:val="Table"/>
              <w:rPr>
                <w:snapToGrid w:val="0"/>
              </w:rPr>
            </w:pPr>
            <w:r>
              <w:rPr>
                <w:snapToGrid w:val="0"/>
              </w:rPr>
              <w:t>Compressed n</w:t>
            </w:r>
            <w:r w:rsidR="00010E2E">
              <w:rPr>
                <w:snapToGrid w:val="0"/>
              </w:rPr>
              <w:t xml:space="preserve">atural gas </w:t>
            </w:r>
            <w:r>
              <w:rPr>
                <w:snapToGrid w:val="0"/>
              </w:rPr>
              <w:t xml:space="preserve">that has converted to standard conditions </w:t>
            </w:r>
            <w:r w:rsidR="00010E2E">
              <w:rPr>
                <w:snapToGrid w:val="0"/>
              </w:rPr>
              <w:t>(light duty vehicles)</w:t>
            </w:r>
          </w:p>
        </w:tc>
        <w:tc>
          <w:tcPr>
            <w:tcW w:w="1559" w:type="dxa"/>
          </w:tcPr>
          <w:p w14:paraId="037D2A06" w14:textId="77777777" w:rsidR="00010E2E" w:rsidRDefault="00CE179C">
            <w:pPr>
              <w:pStyle w:val="Table"/>
              <w:jc w:val="center"/>
              <w:rPr>
                <w:snapToGrid w:val="0"/>
              </w:rPr>
            </w:pPr>
            <w:r>
              <w:rPr>
                <w:snapToGrid w:val="0"/>
              </w:rPr>
              <w:t xml:space="preserve">39.3 </w:t>
            </w:r>
            <w:r>
              <w:t>×</w:t>
            </w:r>
            <w:r>
              <w:rPr>
                <w:snapToGrid w:val="0"/>
              </w:rPr>
              <w:t xml:space="preserve"> 10</w:t>
            </w:r>
            <w:r>
              <w:rPr>
                <w:snapToGrid w:val="0"/>
                <w:vertAlign w:val="superscript"/>
              </w:rPr>
              <w:noBreakHyphen/>
              <w:t>3</w:t>
            </w:r>
            <w:r>
              <w:rPr>
                <w:snapToGrid w:val="0"/>
              </w:rPr>
              <w:t xml:space="preserve"> GJ/m</w:t>
            </w:r>
            <w:r>
              <w:rPr>
                <w:snapToGrid w:val="0"/>
                <w:vertAlign w:val="superscript"/>
              </w:rPr>
              <w:t>3</w:t>
            </w:r>
          </w:p>
        </w:tc>
        <w:tc>
          <w:tcPr>
            <w:tcW w:w="992" w:type="dxa"/>
          </w:tcPr>
          <w:p w14:paraId="73C1D043" w14:textId="77777777" w:rsidR="00010E2E" w:rsidRDefault="00010E2E">
            <w:pPr>
              <w:pStyle w:val="Table"/>
              <w:jc w:val="center"/>
              <w:rPr>
                <w:snapToGrid w:val="0"/>
              </w:rPr>
            </w:pPr>
            <w:r>
              <w:rPr>
                <w:snapToGrid w:val="0"/>
              </w:rPr>
              <w:t>51.</w:t>
            </w:r>
            <w:r w:rsidR="00CD1DF6">
              <w:rPr>
                <w:snapToGrid w:val="0"/>
              </w:rPr>
              <w:t>4</w:t>
            </w:r>
          </w:p>
        </w:tc>
        <w:tc>
          <w:tcPr>
            <w:tcW w:w="709" w:type="dxa"/>
          </w:tcPr>
          <w:p w14:paraId="6D5FA15C" w14:textId="77777777" w:rsidR="00010E2E" w:rsidRDefault="00CD1DF6">
            <w:pPr>
              <w:pStyle w:val="Table"/>
              <w:jc w:val="center"/>
              <w:rPr>
                <w:snapToGrid w:val="0"/>
              </w:rPr>
            </w:pPr>
            <w:r>
              <w:rPr>
                <w:snapToGrid w:val="0"/>
              </w:rPr>
              <w:t>6</w:t>
            </w:r>
            <w:r w:rsidR="00010E2E">
              <w:rPr>
                <w:snapToGrid w:val="0"/>
              </w:rPr>
              <w:t>.5</w:t>
            </w:r>
          </w:p>
        </w:tc>
        <w:tc>
          <w:tcPr>
            <w:tcW w:w="709" w:type="dxa"/>
          </w:tcPr>
          <w:p w14:paraId="08BE2C8E" w14:textId="77777777" w:rsidR="00010E2E" w:rsidRDefault="00010E2E">
            <w:pPr>
              <w:pStyle w:val="Table"/>
              <w:jc w:val="center"/>
              <w:rPr>
                <w:snapToGrid w:val="0"/>
              </w:rPr>
            </w:pPr>
            <w:r>
              <w:rPr>
                <w:snapToGrid w:val="0"/>
              </w:rPr>
              <w:t>0.3</w:t>
            </w:r>
          </w:p>
        </w:tc>
      </w:tr>
      <w:tr w:rsidR="00010E2E" w14:paraId="63257443" w14:textId="77777777" w:rsidTr="00382DF3">
        <w:trPr>
          <w:cantSplit/>
        </w:trPr>
        <w:tc>
          <w:tcPr>
            <w:tcW w:w="1843" w:type="dxa"/>
          </w:tcPr>
          <w:p w14:paraId="17090E6C" w14:textId="77777777" w:rsidR="00010E2E" w:rsidRDefault="00010E2E">
            <w:pPr>
              <w:pStyle w:val="Table"/>
              <w:rPr>
                <w:snapToGrid w:val="0"/>
              </w:rPr>
            </w:pPr>
          </w:p>
        </w:tc>
        <w:tc>
          <w:tcPr>
            <w:tcW w:w="2552" w:type="dxa"/>
          </w:tcPr>
          <w:p w14:paraId="517B000E" w14:textId="77777777" w:rsidR="00010E2E" w:rsidRDefault="002C63C2">
            <w:pPr>
              <w:pStyle w:val="Table"/>
              <w:rPr>
                <w:snapToGrid w:val="0"/>
              </w:rPr>
            </w:pPr>
            <w:r>
              <w:rPr>
                <w:snapToGrid w:val="0"/>
              </w:rPr>
              <w:t xml:space="preserve">Compressed natural gas that has converted to standard conditions </w:t>
            </w:r>
            <w:r w:rsidR="00010E2E">
              <w:rPr>
                <w:snapToGrid w:val="0"/>
              </w:rPr>
              <w:t xml:space="preserve"> (heavy duty vehicles)</w:t>
            </w:r>
          </w:p>
        </w:tc>
        <w:tc>
          <w:tcPr>
            <w:tcW w:w="1559" w:type="dxa"/>
          </w:tcPr>
          <w:p w14:paraId="76BDFA1D" w14:textId="77777777" w:rsidR="00010E2E" w:rsidRDefault="00CE179C">
            <w:pPr>
              <w:pStyle w:val="Table"/>
              <w:jc w:val="center"/>
              <w:rPr>
                <w:snapToGrid w:val="0"/>
              </w:rPr>
            </w:pPr>
            <w:r>
              <w:rPr>
                <w:snapToGrid w:val="0"/>
              </w:rPr>
              <w:t xml:space="preserve">39.3 </w:t>
            </w:r>
            <w:r>
              <w:t>×</w:t>
            </w:r>
            <w:r>
              <w:rPr>
                <w:snapToGrid w:val="0"/>
              </w:rPr>
              <w:t xml:space="preserve"> 10</w:t>
            </w:r>
            <w:r>
              <w:rPr>
                <w:snapToGrid w:val="0"/>
                <w:vertAlign w:val="superscript"/>
              </w:rPr>
              <w:noBreakHyphen/>
              <w:t>3</w:t>
            </w:r>
            <w:r>
              <w:rPr>
                <w:snapToGrid w:val="0"/>
              </w:rPr>
              <w:t xml:space="preserve"> GJ/m</w:t>
            </w:r>
            <w:r>
              <w:rPr>
                <w:snapToGrid w:val="0"/>
                <w:vertAlign w:val="superscript"/>
              </w:rPr>
              <w:t>3</w:t>
            </w:r>
          </w:p>
        </w:tc>
        <w:tc>
          <w:tcPr>
            <w:tcW w:w="992" w:type="dxa"/>
          </w:tcPr>
          <w:p w14:paraId="7131335A" w14:textId="77777777" w:rsidR="00010E2E" w:rsidRDefault="00010E2E">
            <w:pPr>
              <w:pStyle w:val="Table"/>
              <w:jc w:val="center"/>
              <w:rPr>
                <w:snapToGrid w:val="0"/>
              </w:rPr>
            </w:pPr>
            <w:r>
              <w:rPr>
                <w:snapToGrid w:val="0"/>
              </w:rPr>
              <w:t>51.</w:t>
            </w:r>
            <w:r w:rsidR="00CD1DF6">
              <w:rPr>
                <w:snapToGrid w:val="0"/>
              </w:rPr>
              <w:t>4</w:t>
            </w:r>
          </w:p>
        </w:tc>
        <w:tc>
          <w:tcPr>
            <w:tcW w:w="709" w:type="dxa"/>
          </w:tcPr>
          <w:p w14:paraId="078BF79D" w14:textId="77777777" w:rsidR="00010E2E" w:rsidRDefault="00010E2E">
            <w:pPr>
              <w:pStyle w:val="Table"/>
              <w:jc w:val="center"/>
              <w:rPr>
                <w:snapToGrid w:val="0"/>
              </w:rPr>
            </w:pPr>
            <w:r>
              <w:rPr>
                <w:snapToGrid w:val="0"/>
              </w:rPr>
              <w:t>2.</w:t>
            </w:r>
            <w:r w:rsidR="00CD1DF6">
              <w:rPr>
                <w:snapToGrid w:val="0"/>
              </w:rPr>
              <w:t>5</w:t>
            </w:r>
          </w:p>
        </w:tc>
        <w:tc>
          <w:tcPr>
            <w:tcW w:w="709" w:type="dxa"/>
          </w:tcPr>
          <w:p w14:paraId="1FA6F583" w14:textId="77777777" w:rsidR="00010E2E" w:rsidRDefault="00010E2E">
            <w:pPr>
              <w:pStyle w:val="Table"/>
              <w:jc w:val="center"/>
              <w:rPr>
                <w:snapToGrid w:val="0"/>
              </w:rPr>
            </w:pPr>
            <w:r>
              <w:rPr>
                <w:snapToGrid w:val="0"/>
              </w:rPr>
              <w:t>0.3</w:t>
            </w:r>
          </w:p>
        </w:tc>
      </w:tr>
      <w:tr w:rsidR="00CE179C" w14:paraId="6CBCB3CF" w14:textId="77777777" w:rsidTr="00382DF3">
        <w:trPr>
          <w:cantSplit/>
        </w:trPr>
        <w:tc>
          <w:tcPr>
            <w:tcW w:w="1843" w:type="dxa"/>
          </w:tcPr>
          <w:p w14:paraId="2EEA07BB" w14:textId="77777777" w:rsidR="00CE179C" w:rsidRDefault="00CE179C" w:rsidP="00D9432B">
            <w:pPr>
              <w:pStyle w:val="Table"/>
              <w:rPr>
                <w:snapToGrid w:val="0"/>
              </w:rPr>
            </w:pPr>
          </w:p>
        </w:tc>
        <w:tc>
          <w:tcPr>
            <w:tcW w:w="2552" w:type="dxa"/>
          </w:tcPr>
          <w:p w14:paraId="63375F28" w14:textId="77777777" w:rsidR="00CE179C" w:rsidRDefault="00CE179C" w:rsidP="00D9432B">
            <w:pPr>
              <w:pStyle w:val="Table"/>
              <w:rPr>
                <w:snapToGrid w:val="0"/>
              </w:rPr>
            </w:pPr>
            <w:r>
              <w:rPr>
                <w:snapToGrid w:val="0"/>
              </w:rPr>
              <w:t>Liquefied natural gas (light duty vehicles)</w:t>
            </w:r>
          </w:p>
        </w:tc>
        <w:tc>
          <w:tcPr>
            <w:tcW w:w="1559" w:type="dxa"/>
          </w:tcPr>
          <w:p w14:paraId="5E4A73A5" w14:textId="77777777" w:rsidR="00CE179C" w:rsidRDefault="00CE179C" w:rsidP="00D9432B">
            <w:pPr>
              <w:pStyle w:val="Table"/>
              <w:jc w:val="center"/>
              <w:rPr>
                <w:snapToGrid w:val="0"/>
              </w:rPr>
            </w:pPr>
            <w:r>
              <w:rPr>
                <w:snapToGrid w:val="0"/>
              </w:rPr>
              <w:t>25.3</w:t>
            </w:r>
          </w:p>
        </w:tc>
        <w:tc>
          <w:tcPr>
            <w:tcW w:w="992" w:type="dxa"/>
          </w:tcPr>
          <w:p w14:paraId="69437348" w14:textId="77777777" w:rsidR="00CE179C" w:rsidRDefault="00CE179C" w:rsidP="00D9432B">
            <w:pPr>
              <w:pStyle w:val="Table"/>
              <w:jc w:val="center"/>
              <w:rPr>
                <w:snapToGrid w:val="0"/>
              </w:rPr>
            </w:pPr>
            <w:r>
              <w:rPr>
                <w:snapToGrid w:val="0"/>
              </w:rPr>
              <w:t>51.</w:t>
            </w:r>
            <w:r w:rsidR="00CD1DF6">
              <w:rPr>
                <w:snapToGrid w:val="0"/>
              </w:rPr>
              <w:t>4</w:t>
            </w:r>
          </w:p>
        </w:tc>
        <w:tc>
          <w:tcPr>
            <w:tcW w:w="709" w:type="dxa"/>
          </w:tcPr>
          <w:p w14:paraId="5BAA720A" w14:textId="77777777" w:rsidR="00CE179C" w:rsidRDefault="00CD1DF6" w:rsidP="00D9432B">
            <w:pPr>
              <w:pStyle w:val="Table"/>
              <w:jc w:val="center"/>
              <w:rPr>
                <w:snapToGrid w:val="0"/>
              </w:rPr>
            </w:pPr>
            <w:r>
              <w:rPr>
                <w:snapToGrid w:val="0"/>
              </w:rPr>
              <w:t>6</w:t>
            </w:r>
            <w:r w:rsidR="00CE179C">
              <w:rPr>
                <w:snapToGrid w:val="0"/>
              </w:rPr>
              <w:t>.5</w:t>
            </w:r>
          </w:p>
        </w:tc>
        <w:tc>
          <w:tcPr>
            <w:tcW w:w="709" w:type="dxa"/>
          </w:tcPr>
          <w:p w14:paraId="34E5BE27" w14:textId="77777777" w:rsidR="00CE179C" w:rsidRDefault="00CE179C" w:rsidP="00D9432B">
            <w:pPr>
              <w:pStyle w:val="Table"/>
              <w:jc w:val="center"/>
              <w:rPr>
                <w:snapToGrid w:val="0"/>
              </w:rPr>
            </w:pPr>
            <w:r>
              <w:rPr>
                <w:snapToGrid w:val="0"/>
              </w:rPr>
              <w:t>0.3</w:t>
            </w:r>
          </w:p>
        </w:tc>
      </w:tr>
      <w:tr w:rsidR="00CE179C" w14:paraId="68DBDF73" w14:textId="77777777" w:rsidTr="00382DF3">
        <w:trPr>
          <w:cantSplit/>
        </w:trPr>
        <w:tc>
          <w:tcPr>
            <w:tcW w:w="1843" w:type="dxa"/>
          </w:tcPr>
          <w:p w14:paraId="1E4AFDA5" w14:textId="77777777" w:rsidR="00CE179C" w:rsidRDefault="00CE179C">
            <w:pPr>
              <w:pStyle w:val="Table"/>
              <w:rPr>
                <w:snapToGrid w:val="0"/>
              </w:rPr>
            </w:pPr>
          </w:p>
        </w:tc>
        <w:tc>
          <w:tcPr>
            <w:tcW w:w="2552" w:type="dxa"/>
          </w:tcPr>
          <w:p w14:paraId="3DF156B8" w14:textId="77777777" w:rsidR="00CE179C" w:rsidRDefault="00CE179C">
            <w:pPr>
              <w:pStyle w:val="Table"/>
              <w:rPr>
                <w:snapToGrid w:val="0"/>
              </w:rPr>
            </w:pPr>
            <w:r>
              <w:rPr>
                <w:snapToGrid w:val="0"/>
              </w:rPr>
              <w:t>Liquefied natural gas (heavy duty vehicles)</w:t>
            </w:r>
          </w:p>
        </w:tc>
        <w:tc>
          <w:tcPr>
            <w:tcW w:w="1559" w:type="dxa"/>
          </w:tcPr>
          <w:p w14:paraId="6E989806" w14:textId="77777777" w:rsidR="00CE179C" w:rsidRDefault="00CE179C">
            <w:pPr>
              <w:pStyle w:val="Table"/>
              <w:jc w:val="center"/>
              <w:rPr>
                <w:snapToGrid w:val="0"/>
              </w:rPr>
            </w:pPr>
            <w:r>
              <w:rPr>
                <w:snapToGrid w:val="0"/>
              </w:rPr>
              <w:t>25.3</w:t>
            </w:r>
          </w:p>
        </w:tc>
        <w:tc>
          <w:tcPr>
            <w:tcW w:w="992" w:type="dxa"/>
          </w:tcPr>
          <w:p w14:paraId="6F0D0D72" w14:textId="77777777" w:rsidR="00CE179C" w:rsidRDefault="00CE179C" w:rsidP="00D9432B">
            <w:pPr>
              <w:pStyle w:val="Table"/>
              <w:jc w:val="center"/>
              <w:rPr>
                <w:snapToGrid w:val="0"/>
              </w:rPr>
            </w:pPr>
            <w:r>
              <w:rPr>
                <w:snapToGrid w:val="0"/>
              </w:rPr>
              <w:t>51.</w:t>
            </w:r>
            <w:r w:rsidR="00CD1DF6">
              <w:rPr>
                <w:snapToGrid w:val="0"/>
              </w:rPr>
              <w:t>4</w:t>
            </w:r>
          </w:p>
        </w:tc>
        <w:tc>
          <w:tcPr>
            <w:tcW w:w="709" w:type="dxa"/>
          </w:tcPr>
          <w:p w14:paraId="62C9C493" w14:textId="77777777" w:rsidR="00CE179C" w:rsidRDefault="00CE179C" w:rsidP="00D9432B">
            <w:pPr>
              <w:pStyle w:val="Table"/>
              <w:jc w:val="center"/>
              <w:rPr>
                <w:snapToGrid w:val="0"/>
              </w:rPr>
            </w:pPr>
            <w:r>
              <w:rPr>
                <w:snapToGrid w:val="0"/>
              </w:rPr>
              <w:t>2.</w:t>
            </w:r>
            <w:r w:rsidR="00CD1DF6">
              <w:rPr>
                <w:snapToGrid w:val="0"/>
              </w:rPr>
              <w:t>5</w:t>
            </w:r>
          </w:p>
        </w:tc>
        <w:tc>
          <w:tcPr>
            <w:tcW w:w="709" w:type="dxa"/>
          </w:tcPr>
          <w:p w14:paraId="71872679" w14:textId="77777777" w:rsidR="00CE179C" w:rsidRDefault="00CE179C" w:rsidP="00D9432B">
            <w:pPr>
              <w:pStyle w:val="Table"/>
              <w:jc w:val="center"/>
              <w:rPr>
                <w:snapToGrid w:val="0"/>
              </w:rPr>
            </w:pPr>
            <w:r>
              <w:rPr>
                <w:snapToGrid w:val="0"/>
              </w:rPr>
              <w:t>0.3</w:t>
            </w:r>
          </w:p>
        </w:tc>
      </w:tr>
      <w:tr w:rsidR="00010E2E" w14:paraId="77132472" w14:textId="77777777">
        <w:trPr>
          <w:cantSplit/>
        </w:trPr>
        <w:tc>
          <w:tcPr>
            <w:tcW w:w="8364" w:type="dxa"/>
            <w:gridSpan w:val="6"/>
            <w:shd w:val="clear" w:color="auto" w:fill="F3F3F3"/>
            <w:vAlign w:val="center"/>
          </w:tcPr>
          <w:p w14:paraId="56182368" w14:textId="77777777" w:rsidR="00010E2E" w:rsidRDefault="00010E2E">
            <w:pPr>
              <w:pStyle w:val="Table"/>
              <w:rPr>
                <w:snapToGrid w:val="0"/>
              </w:rPr>
            </w:pPr>
            <w:r>
              <w:rPr>
                <w:snapToGrid w:val="0"/>
              </w:rPr>
              <w:t>Post-2004 vehicles</w:t>
            </w:r>
          </w:p>
        </w:tc>
      </w:tr>
      <w:tr w:rsidR="00010E2E" w14:paraId="158D1597" w14:textId="77777777" w:rsidTr="00382DF3">
        <w:trPr>
          <w:cantSplit/>
        </w:trPr>
        <w:tc>
          <w:tcPr>
            <w:tcW w:w="1843" w:type="dxa"/>
          </w:tcPr>
          <w:p w14:paraId="346A172F" w14:textId="77777777" w:rsidR="00010E2E" w:rsidRDefault="00010E2E">
            <w:pPr>
              <w:pStyle w:val="Table"/>
              <w:rPr>
                <w:snapToGrid w:val="0"/>
              </w:rPr>
            </w:pPr>
          </w:p>
        </w:tc>
        <w:tc>
          <w:tcPr>
            <w:tcW w:w="2552" w:type="dxa"/>
          </w:tcPr>
          <w:p w14:paraId="650843F5" w14:textId="77777777" w:rsidR="00010E2E" w:rsidRDefault="00010E2E">
            <w:pPr>
              <w:pStyle w:val="Table"/>
              <w:rPr>
                <w:snapToGrid w:val="0"/>
              </w:rPr>
            </w:pPr>
            <w:r>
              <w:rPr>
                <w:snapToGrid w:val="0"/>
              </w:rPr>
              <w:t>Gasoline (other than for use as fuel in an aircraft)</w:t>
            </w:r>
          </w:p>
        </w:tc>
        <w:tc>
          <w:tcPr>
            <w:tcW w:w="1559" w:type="dxa"/>
          </w:tcPr>
          <w:p w14:paraId="0923FEB3" w14:textId="77777777" w:rsidR="00010E2E" w:rsidRDefault="00010E2E">
            <w:pPr>
              <w:pStyle w:val="Table"/>
              <w:jc w:val="center"/>
              <w:rPr>
                <w:snapToGrid w:val="0"/>
              </w:rPr>
            </w:pPr>
            <w:r>
              <w:rPr>
                <w:snapToGrid w:val="0"/>
              </w:rPr>
              <w:t>34.2</w:t>
            </w:r>
          </w:p>
        </w:tc>
        <w:tc>
          <w:tcPr>
            <w:tcW w:w="992" w:type="dxa"/>
          </w:tcPr>
          <w:p w14:paraId="44EED3B2" w14:textId="77777777" w:rsidR="00010E2E" w:rsidRDefault="00010E2E">
            <w:pPr>
              <w:pStyle w:val="Table"/>
              <w:jc w:val="center"/>
              <w:rPr>
                <w:snapToGrid w:val="0"/>
              </w:rPr>
            </w:pPr>
            <w:r>
              <w:rPr>
                <w:snapToGrid w:val="0"/>
              </w:rPr>
              <w:t>6</w:t>
            </w:r>
            <w:r w:rsidR="0065341F">
              <w:rPr>
                <w:snapToGrid w:val="0"/>
              </w:rPr>
              <w:t>7.4</w:t>
            </w:r>
          </w:p>
        </w:tc>
        <w:tc>
          <w:tcPr>
            <w:tcW w:w="709" w:type="dxa"/>
          </w:tcPr>
          <w:p w14:paraId="193C361F" w14:textId="77777777" w:rsidR="00010E2E" w:rsidRDefault="00010E2E">
            <w:pPr>
              <w:pStyle w:val="Table"/>
              <w:jc w:val="center"/>
              <w:rPr>
                <w:snapToGrid w:val="0"/>
              </w:rPr>
            </w:pPr>
            <w:r>
              <w:rPr>
                <w:snapToGrid w:val="0"/>
              </w:rPr>
              <w:t>0.02</w:t>
            </w:r>
          </w:p>
        </w:tc>
        <w:tc>
          <w:tcPr>
            <w:tcW w:w="709" w:type="dxa"/>
          </w:tcPr>
          <w:p w14:paraId="35F510AA" w14:textId="77777777" w:rsidR="00010E2E" w:rsidRDefault="00010E2E">
            <w:pPr>
              <w:pStyle w:val="Table"/>
              <w:jc w:val="center"/>
              <w:rPr>
                <w:snapToGrid w:val="0"/>
              </w:rPr>
            </w:pPr>
            <w:r>
              <w:rPr>
                <w:snapToGrid w:val="0"/>
              </w:rPr>
              <w:t>0.2</w:t>
            </w:r>
          </w:p>
        </w:tc>
      </w:tr>
      <w:tr w:rsidR="00010E2E" w14:paraId="28D94F8A" w14:textId="77777777" w:rsidTr="00382DF3">
        <w:trPr>
          <w:cantSplit/>
        </w:trPr>
        <w:tc>
          <w:tcPr>
            <w:tcW w:w="1843" w:type="dxa"/>
          </w:tcPr>
          <w:p w14:paraId="6081EE70" w14:textId="77777777" w:rsidR="00010E2E" w:rsidRDefault="00010E2E">
            <w:pPr>
              <w:pStyle w:val="Table"/>
              <w:rPr>
                <w:snapToGrid w:val="0"/>
              </w:rPr>
            </w:pPr>
          </w:p>
        </w:tc>
        <w:tc>
          <w:tcPr>
            <w:tcW w:w="2552" w:type="dxa"/>
          </w:tcPr>
          <w:p w14:paraId="73A51B72" w14:textId="77777777" w:rsidR="00010E2E" w:rsidRDefault="00010E2E">
            <w:pPr>
              <w:pStyle w:val="Table"/>
              <w:rPr>
                <w:snapToGrid w:val="0"/>
              </w:rPr>
            </w:pPr>
            <w:r>
              <w:rPr>
                <w:snapToGrid w:val="0"/>
              </w:rPr>
              <w:t>Diesel oil</w:t>
            </w:r>
          </w:p>
        </w:tc>
        <w:tc>
          <w:tcPr>
            <w:tcW w:w="1559" w:type="dxa"/>
          </w:tcPr>
          <w:p w14:paraId="201ADFAC" w14:textId="77777777" w:rsidR="00010E2E" w:rsidRDefault="00010E2E">
            <w:pPr>
              <w:pStyle w:val="Table"/>
              <w:jc w:val="center"/>
              <w:rPr>
                <w:snapToGrid w:val="0"/>
              </w:rPr>
            </w:pPr>
            <w:r>
              <w:rPr>
                <w:snapToGrid w:val="0"/>
              </w:rPr>
              <w:t>38.6</w:t>
            </w:r>
          </w:p>
        </w:tc>
        <w:tc>
          <w:tcPr>
            <w:tcW w:w="992" w:type="dxa"/>
          </w:tcPr>
          <w:p w14:paraId="42039BAE" w14:textId="77777777" w:rsidR="00010E2E" w:rsidRDefault="00010E2E">
            <w:pPr>
              <w:pStyle w:val="Table"/>
              <w:jc w:val="center"/>
              <w:rPr>
                <w:snapToGrid w:val="0"/>
              </w:rPr>
            </w:pPr>
            <w:r>
              <w:rPr>
                <w:snapToGrid w:val="0"/>
              </w:rPr>
              <w:t>69.</w:t>
            </w:r>
            <w:r w:rsidR="0065341F">
              <w:rPr>
                <w:snapToGrid w:val="0"/>
              </w:rPr>
              <w:t>9</w:t>
            </w:r>
          </w:p>
        </w:tc>
        <w:tc>
          <w:tcPr>
            <w:tcW w:w="709" w:type="dxa"/>
          </w:tcPr>
          <w:p w14:paraId="1F784605" w14:textId="77777777" w:rsidR="00010E2E" w:rsidRDefault="00010E2E">
            <w:pPr>
              <w:pStyle w:val="Table"/>
              <w:jc w:val="center"/>
              <w:rPr>
                <w:snapToGrid w:val="0"/>
              </w:rPr>
            </w:pPr>
            <w:r>
              <w:rPr>
                <w:snapToGrid w:val="0"/>
              </w:rPr>
              <w:t>0.01</w:t>
            </w:r>
          </w:p>
        </w:tc>
        <w:tc>
          <w:tcPr>
            <w:tcW w:w="709" w:type="dxa"/>
          </w:tcPr>
          <w:p w14:paraId="6422DF31" w14:textId="77777777" w:rsidR="00010E2E" w:rsidRDefault="00010E2E">
            <w:pPr>
              <w:pStyle w:val="Table"/>
              <w:jc w:val="center"/>
              <w:rPr>
                <w:snapToGrid w:val="0"/>
              </w:rPr>
            </w:pPr>
            <w:r>
              <w:rPr>
                <w:snapToGrid w:val="0"/>
              </w:rPr>
              <w:t>0.6</w:t>
            </w:r>
          </w:p>
        </w:tc>
      </w:tr>
      <w:tr w:rsidR="00010E2E" w14:paraId="13FE7A20" w14:textId="77777777" w:rsidTr="00382DF3">
        <w:trPr>
          <w:cantSplit/>
        </w:trPr>
        <w:tc>
          <w:tcPr>
            <w:tcW w:w="1843" w:type="dxa"/>
          </w:tcPr>
          <w:p w14:paraId="33CD3AD3" w14:textId="77777777" w:rsidR="00010E2E" w:rsidRDefault="00010E2E">
            <w:pPr>
              <w:pStyle w:val="Table"/>
              <w:rPr>
                <w:snapToGrid w:val="0"/>
              </w:rPr>
            </w:pPr>
          </w:p>
        </w:tc>
        <w:tc>
          <w:tcPr>
            <w:tcW w:w="2552" w:type="dxa"/>
          </w:tcPr>
          <w:p w14:paraId="63567463" w14:textId="77777777" w:rsidR="00010E2E" w:rsidRDefault="00010E2E">
            <w:pPr>
              <w:pStyle w:val="Table"/>
              <w:rPr>
                <w:snapToGrid w:val="0"/>
              </w:rPr>
            </w:pPr>
            <w:r>
              <w:rPr>
                <w:snapToGrid w:val="0"/>
              </w:rPr>
              <w:t>Liquefied petroleum gas</w:t>
            </w:r>
          </w:p>
        </w:tc>
        <w:tc>
          <w:tcPr>
            <w:tcW w:w="1559" w:type="dxa"/>
          </w:tcPr>
          <w:p w14:paraId="06BBDB9A" w14:textId="77777777" w:rsidR="00010E2E" w:rsidRDefault="00010E2E">
            <w:pPr>
              <w:pStyle w:val="Table"/>
              <w:jc w:val="center"/>
              <w:rPr>
                <w:snapToGrid w:val="0"/>
              </w:rPr>
            </w:pPr>
            <w:r>
              <w:rPr>
                <w:snapToGrid w:val="0"/>
              </w:rPr>
              <w:t>26.2</w:t>
            </w:r>
          </w:p>
        </w:tc>
        <w:tc>
          <w:tcPr>
            <w:tcW w:w="992" w:type="dxa"/>
          </w:tcPr>
          <w:p w14:paraId="6FE44A0E" w14:textId="77777777" w:rsidR="00010E2E" w:rsidRDefault="0065341F">
            <w:pPr>
              <w:pStyle w:val="Table"/>
              <w:jc w:val="center"/>
              <w:rPr>
                <w:snapToGrid w:val="0"/>
              </w:rPr>
            </w:pPr>
            <w:r>
              <w:rPr>
                <w:snapToGrid w:val="0"/>
              </w:rPr>
              <w:t>60.2</w:t>
            </w:r>
          </w:p>
        </w:tc>
        <w:tc>
          <w:tcPr>
            <w:tcW w:w="709" w:type="dxa"/>
          </w:tcPr>
          <w:p w14:paraId="23F9F43F" w14:textId="77777777" w:rsidR="00010E2E" w:rsidRDefault="00010E2E">
            <w:pPr>
              <w:pStyle w:val="Table"/>
              <w:jc w:val="center"/>
              <w:rPr>
                <w:snapToGrid w:val="0"/>
              </w:rPr>
            </w:pPr>
            <w:r>
              <w:rPr>
                <w:snapToGrid w:val="0"/>
              </w:rPr>
              <w:t>0.</w:t>
            </w:r>
            <w:r w:rsidR="0065341F">
              <w:rPr>
                <w:snapToGrid w:val="0"/>
              </w:rPr>
              <w:t>4</w:t>
            </w:r>
          </w:p>
        </w:tc>
        <w:tc>
          <w:tcPr>
            <w:tcW w:w="709" w:type="dxa"/>
          </w:tcPr>
          <w:p w14:paraId="471BE3C9" w14:textId="77777777" w:rsidR="00010E2E" w:rsidRDefault="00010E2E">
            <w:pPr>
              <w:pStyle w:val="Table"/>
              <w:jc w:val="center"/>
              <w:rPr>
                <w:snapToGrid w:val="0"/>
              </w:rPr>
            </w:pPr>
            <w:r>
              <w:rPr>
                <w:snapToGrid w:val="0"/>
              </w:rPr>
              <w:t>0.3</w:t>
            </w:r>
          </w:p>
        </w:tc>
      </w:tr>
      <w:tr w:rsidR="00010E2E" w14:paraId="57B7C8EB" w14:textId="77777777" w:rsidTr="00382DF3">
        <w:trPr>
          <w:cantSplit/>
        </w:trPr>
        <w:tc>
          <w:tcPr>
            <w:tcW w:w="1843" w:type="dxa"/>
          </w:tcPr>
          <w:p w14:paraId="249FEAE1" w14:textId="77777777" w:rsidR="00010E2E" w:rsidRDefault="00010E2E">
            <w:pPr>
              <w:pStyle w:val="Table"/>
              <w:rPr>
                <w:snapToGrid w:val="0"/>
              </w:rPr>
            </w:pPr>
          </w:p>
        </w:tc>
        <w:tc>
          <w:tcPr>
            <w:tcW w:w="2552" w:type="dxa"/>
          </w:tcPr>
          <w:p w14:paraId="260277A2" w14:textId="77777777" w:rsidR="00010E2E" w:rsidRDefault="00010E2E">
            <w:pPr>
              <w:pStyle w:val="Table"/>
              <w:rPr>
                <w:snapToGrid w:val="0"/>
              </w:rPr>
            </w:pPr>
            <w:r>
              <w:rPr>
                <w:snapToGrid w:val="0"/>
              </w:rPr>
              <w:t>Ethanol for use as fuel in an internal combustion engine</w:t>
            </w:r>
          </w:p>
        </w:tc>
        <w:tc>
          <w:tcPr>
            <w:tcW w:w="1559" w:type="dxa"/>
          </w:tcPr>
          <w:p w14:paraId="47B436AD" w14:textId="77777777" w:rsidR="00010E2E" w:rsidRDefault="00010E2E">
            <w:pPr>
              <w:pStyle w:val="Table"/>
              <w:jc w:val="center"/>
              <w:rPr>
                <w:snapToGrid w:val="0"/>
              </w:rPr>
            </w:pPr>
            <w:r>
              <w:rPr>
                <w:snapToGrid w:val="0"/>
              </w:rPr>
              <w:t>23.4</w:t>
            </w:r>
          </w:p>
        </w:tc>
        <w:tc>
          <w:tcPr>
            <w:tcW w:w="992" w:type="dxa"/>
          </w:tcPr>
          <w:p w14:paraId="67A266DC" w14:textId="77777777" w:rsidR="00010E2E" w:rsidRDefault="00010E2E">
            <w:pPr>
              <w:pStyle w:val="Table"/>
              <w:jc w:val="center"/>
              <w:rPr>
                <w:snapToGrid w:val="0"/>
              </w:rPr>
            </w:pPr>
            <w:r>
              <w:rPr>
                <w:snapToGrid w:val="0"/>
              </w:rPr>
              <w:t>0</w:t>
            </w:r>
          </w:p>
        </w:tc>
        <w:tc>
          <w:tcPr>
            <w:tcW w:w="709" w:type="dxa"/>
          </w:tcPr>
          <w:p w14:paraId="5C50E1DC" w14:textId="77777777" w:rsidR="00010E2E" w:rsidRDefault="00010E2E">
            <w:pPr>
              <w:pStyle w:val="Table"/>
              <w:jc w:val="center"/>
              <w:rPr>
                <w:snapToGrid w:val="0"/>
              </w:rPr>
            </w:pPr>
            <w:r>
              <w:rPr>
                <w:snapToGrid w:val="0"/>
              </w:rPr>
              <w:t>0.2</w:t>
            </w:r>
          </w:p>
        </w:tc>
        <w:tc>
          <w:tcPr>
            <w:tcW w:w="709" w:type="dxa"/>
          </w:tcPr>
          <w:p w14:paraId="25F589E4" w14:textId="77777777" w:rsidR="00010E2E" w:rsidRDefault="00010E2E">
            <w:pPr>
              <w:pStyle w:val="Table"/>
              <w:jc w:val="center"/>
              <w:rPr>
                <w:snapToGrid w:val="0"/>
              </w:rPr>
            </w:pPr>
            <w:r>
              <w:rPr>
                <w:snapToGrid w:val="0"/>
              </w:rPr>
              <w:t>0.2</w:t>
            </w:r>
          </w:p>
        </w:tc>
      </w:tr>
      <w:tr w:rsidR="00010E2E" w14:paraId="63DA003A" w14:textId="77777777">
        <w:trPr>
          <w:cantSplit/>
        </w:trPr>
        <w:tc>
          <w:tcPr>
            <w:tcW w:w="8364" w:type="dxa"/>
            <w:gridSpan w:val="6"/>
            <w:shd w:val="clear" w:color="auto" w:fill="F3F3F3"/>
            <w:vAlign w:val="center"/>
          </w:tcPr>
          <w:p w14:paraId="40A3B816" w14:textId="77777777" w:rsidR="00010E2E" w:rsidRDefault="00010E2E">
            <w:pPr>
              <w:pStyle w:val="Table"/>
              <w:rPr>
                <w:snapToGrid w:val="0"/>
              </w:rPr>
            </w:pPr>
            <w:r>
              <w:rPr>
                <w:snapToGrid w:val="0"/>
              </w:rPr>
              <w:t>Heavy vehicles conforming to Euro design standards</w:t>
            </w:r>
          </w:p>
        </w:tc>
      </w:tr>
      <w:tr w:rsidR="00010E2E" w14:paraId="6E6BC36C" w14:textId="77777777" w:rsidTr="00382DF3">
        <w:trPr>
          <w:cantSplit/>
        </w:trPr>
        <w:tc>
          <w:tcPr>
            <w:tcW w:w="1843" w:type="dxa"/>
          </w:tcPr>
          <w:p w14:paraId="3D47A1EA" w14:textId="77777777" w:rsidR="00010E2E" w:rsidRDefault="00010E2E">
            <w:pPr>
              <w:pStyle w:val="Table"/>
              <w:jc w:val="center"/>
              <w:rPr>
                <w:snapToGrid w:val="0"/>
              </w:rPr>
            </w:pPr>
            <w:r>
              <w:rPr>
                <w:snapToGrid w:val="0"/>
              </w:rPr>
              <w:t>Euro iv</w:t>
            </w:r>
            <w:r w:rsidR="004C132B">
              <w:rPr>
                <w:snapToGrid w:val="0"/>
              </w:rPr>
              <w:t xml:space="preserve"> or higher</w:t>
            </w:r>
          </w:p>
        </w:tc>
        <w:tc>
          <w:tcPr>
            <w:tcW w:w="2552" w:type="dxa"/>
          </w:tcPr>
          <w:p w14:paraId="001B569E" w14:textId="77777777" w:rsidR="00010E2E" w:rsidRDefault="00010E2E">
            <w:pPr>
              <w:pStyle w:val="Table"/>
              <w:rPr>
                <w:snapToGrid w:val="0"/>
              </w:rPr>
            </w:pPr>
            <w:r>
              <w:rPr>
                <w:snapToGrid w:val="0"/>
              </w:rPr>
              <w:t>Diesel oil</w:t>
            </w:r>
          </w:p>
        </w:tc>
        <w:tc>
          <w:tcPr>
            <w:tcW w:w="1559" w:type="dxa"/>
          </w:tcPr>
          <w:p w14:paraId="33D69F40" w14:textId="77777777" w:rsidR="00010E2E" w:rsidRDefault="00010E2E">
            <w:pPr>
              <w:pStyle w:val="Table"/>
              <w:jc w:val="center"/>
              <w:rPr>
                <w:snapToGrid w:val="0"/>
              </w:rPr>
            </w:pPr>
            <w:r>
              <w:rPr>
                <w:snapToGrid w:val="0"/>
              </w:rPr>
              <w:t>38.6</w:t>
            </w:r>
          </w:p>
        </w:tc>
        <w:tc>
          <w:tcPr>
            <w:tcW w:w="992" w:type="dxa"/>
          </w:tcPr>
          <w:p w14:paraId="4BA82867" w14:textId="77777777" w:rsidR="00010E2E" w:rsidRDefault="00010E2E">
            <w:pPr>
              <w:pStyle w:val="Table"/>
              <w:jc w:val="center"/>
              <w:rPr>
                <w:snapToGrid w:val="0"/>
              </w:rPr>
            </w:pPr>
            <w:r>
              <w:rPr>
                <w:snapToGrid w:val="0"/>
              </w:rPr>
              <w:t>69.</w:t>
            </w:r>
            <w:r w:rsidR="0065341F">
              <w:rPr>
                <w:snapToGrid w:val="0"/>
              </w:rPr>
              <w:t>9</w:t>
            </w:r>
          </w:p>
        </w:tc>
        <w:tc>
          <w:tcPr>
            <w:tcW w:w="709" w:type="dxa"/>
          </w:tcPr>
          <w:p w14:paraId="0D22CA98" w14:textId="77777777" w:rsidR="00010E2E" w:rsidRDefault="00010E2E">
            <w:pPr>
              <w:pStyle w:val="Table"/>
              <w:jc w:val="center"/>
              <w:rPr>
                <w:snapToGrid w:val="0"/>
              </w:rPr>
            </w:pPr>
            <w:r>
              <w:rPr>
                <w:snapToGrid w:val="0"/>
              </w:rPr>
              <w:t>0.0</w:t>
            </w:r>
            <w:r w:rsidR="0065341F">
              <w:rPr>
                <w:snapToGrid w:val="0"/>
              </w:rPr>
              <w:t>6</w:t>
            </w:r>
          </w:p>
        </w:tc>
        <w:tc>
          <w:tcPr>
            <w:tcW w:w="709" w:type="dxa"/>
          </w:tcPr>
          <w:p w14:paraId="0AC2CE29" w14:textId="77777777" w:rsidR="00010E2E" w:rsidRDefault="00010E2E">
            <w:pPr>
              <w:pStyle w:val="Table"/>
              <w:jc w:val="center"/>
              <w:rPr>
                <w:snapToGrid w:val="0"/>
              </w:rPr>
            </w:pPr>
            <w:r>
              <w:rPr>
                <w:snapToGrid w:val="0"/>
              </w:rPr>
              <w:t>0.5</w:t>
            </w:r>
          </w:p>
        </w:tc>
      </w:tr>
      <w:tr w:rsidR="00010E2E" w14:paraId="36AFDE80" w14:textId="77777777" w:rsidTr="00382DF3">
        <w:trPr>
          <w:cantSplit/>
        </w:trPr>
        <w:tc>
          <w:tcPr>
            <w:tcW w:w="1843" w:type="dxa"/>
          </w:tcPr>
          <w:p w14:paraId="3734FFD8" w14:textId="77777777" w:rsidR="00010E2E" w:rsidRDefault="00010E2E">
            <w:pPr>
              <w:pStyle w:val="Table"/>
              <w:jc w:val="center"/>
              <w:rPr>
                <w:snapToGrid w:val="0"/>
              </w:rPr>
            </w:pPr>
            <w:r>
              <w:rPr>
                <w:snapToGrid w:val="0"/>
              </w:rPr>
              <w:t>Euro iii</w:t>
            </w:r>
          </w:p>
        </w:tc>
        <w:tc>
          <w:tcPr>
            <w:tcW w:w="2552" w:type="dxa"/>
          </w:tcPr>
          <w:p w14:paraId="0747D3D2" w14:textId="77777777" w:rsidR="00010E2E" w:rsidRDefault="00010E2E">
            <w:pPr>
              <w:pStyle w:val="Table"/>
              <w:rPr>
                <w:snapToGrid w:val="0"/>
              </w:rPr>
            </w:pPr>
            <w:r>
              <w:rPr>
                <w:snapToGrid w:val="0"/>
              </w:rPr>
              <w:t>Diesel oil</w:t>
            </w:r>
          </w:p>
        </w:tc>
        <w:tc>
          <w:tcPr>
            <w:tcW w:w="1559" w:type="dxa"/>
          </w:tcPr>
          <w:p w14:paraId="6995C44D" w14:textId="77777777" w:rsidR="00010E2E" w:rsidRDefault="00010E2E">
            <w:pPr>
              <w:pStyle w:val="Table"/>
              <w:jc w:val="center"/>
              <w:rPr>
                <w:snapToGrid w:val="0"/>
              </w:rPr>
            </w:pPr>
            <w:r>
              <w:rPr>
                <w:snapToGrid w:val="0"/>
              </w:rPr>
              <w:t>38.6</w:t>
            </w:r>
          </w:p>
        </w:tc>
        <w:tc>
          <w:tcPr>
            <w:tcW w:w="992" w:type="dxa"/>
          </w:tcPr>
          <w:p w14:paraId="3198B3D6" w14:textId="77777777" w:rsidR="00010E2E" w:rsidRDefault="00010E2E">
            <w:pPr>
              <w:pStyle w:val="Table"/>
              <w:jc w:val="center"/>
              <w:rPr>
                <w:snapToGrid w:val="0"/>
              </w:rPr>
            </w:pPr>
            <w:r>
              <w:rPr>
                <w:snapToGrid w:val="0"/>
              </w:rPr>
              <w:t>69.</w:t>
            </w:r>
            <w:r w:rsidR="0065341F">
              <w:rPr>
                <w:snapToGrid w:val="0"/>
              </w:rPr>
              <w:t>9</w:t>
            </w:r>
          </w:p>
        </w:tc>
        <w:tc>
          <w:tcPr>
            <w:tcW w:w="709" w:type="dxa"/>
          </w:tcPr>
          <w:p w14:paraId="4A37E7DE" w14:textId="77777777" w:rsidR="00010E2E" w:rsidRDefault="00010E2E">
            <w:pPr>
              <w:pStyle w:val="Table"/>
              <w:jc w:val="center"/>
              <w:rPr>
                <w:snapToGrid w:val="0"/>
              </w:rPr>
            </w:pPr>
            <w:r>
              <w:rPr>
                <w:snapToGrid w:val="0"/>
              </w:rPr>
              <w:t>0.1</w:t>
            </w:r>
          </w:p>
        </w:tc>
        <w:tc>
          <w:tcPr>
            <w:tcW w:w="709" w:type="dxa"/>
          </w:tcPr>
          <w:p w14:paraId="5DC7024B" w14:textId="77777777" w:rsidR="00010E2E" w:rsidRDefault="00010E2E">
            <w:pPr>
              <w:pStyle w:val="Table"/>
              <w:jc w:val="center"/>
              <w:rPr>
                <w:snapToGrid w:val="0"/>
              </w:rPr>
            </w:pPr>
            <w:r>
              <w:rPr>
                <w:snapToGrid w:val="0"/>
              </w:rPr>
              <w:t>0.5</w:t>
            </w:r>
          </w:p>
        </w:tc>
      </w:tr>
      <w:tr w:rsidR="00010E2E" w14:paraId="0164DB62" w14:textId="77777777" w:rsidTr="00382DF3">
        <w:trPr>
          <w:cantSplit/>
        </w:trPr>
        <w:tc>
          <w:tcPr>
            <w:tcW w:w="1843" w:type="dxa"/>
          </w:tcPr>
          <w:p w14:paraId="13F79385" w14:textId="77777777" w:rsidR="00010E2E" w:rsidRDefault="00010E2E">
            <w:pPr>
              <w:pStyle w:val="Table"/>
              <w:jc w:val="center"/>
              <w:rPr>
                <w:snapToGrid w:val="0"/>
              </w:rPr>
            </w:pPr>
            <w:r>
              <w:rPr>
                <w:snapToGrid w:val="0"/>
              </w:rPr>
              <w:t>Euro i</w:t>
            </w:r>
          </w:p>
        </w:tc>
        <w:tc>
          <w:tcPr>
            <w:tcW w:w="2552" w:type="dxa"/>
          </w:tcPr>
          <w:p w14:paraId="1BE2FF94" w14:textId="77777777" w:rsidR="00010E2E" w:rsidRDefault="00010E2E">
            <w:pPr>
              <w:pStyle w:val="Table"/>
              <w:rPr>
                <w:snapToGrid w:val="0"/>
              </w:rPr>
            </w:pPr>
            <w:r>
              <w:rPr>
                <w:snapToGrid w:val="0"/>
              </w:rPr>
              <w:t>Diesel oil</w:t>
            </w:r>
          </w:p>
        </w:tc>
        <w:tc>
          <w:tcPr>
            <w:tcW w:w="1559" w:type="dxa"/>
          </w:tcPr>
          <w:p w14:paraId="6E739553" w14:textId="77777777" w:rsidR="00010E2E" w:rsidRDefault="00010E2E">
            <w:pPr>
              <w:pStyle w:val="Table"/>
              <w:jc w:val="center"/>
              <w:rPr>
                <w:snapToGrid w:val="0"/>
              </w:rPr>
            </w:pPr>
            <w:r>
              <w:rPr>
                <w:snapToGrid w:val="0"/>
              </w:rPr>
              <w:t>38.6</w:t>
            </w:r>
          </w:p>
        </w:tc>
        <w:tc>
          <w:tcPr>
            <w:tcW w:w="992" w:type="dxa"/>
          </w:tcPr>
          <w:p w14:paraId="633472B5" w14:textId="77777777" w:rsidR="00010E2E" w:rsidRDefault="00010E2E">
            <w:pPr>
              <w:pStyle w:val="Table"/>
              <w:jc w:val="center"/>
              <w:rPr>
                <w:snapToGrid w:val="0"/>
              </w:rPr>
            </w:pPr>
            <w:r>
              <w:rPr>
                <w:snapToGrid w:val="0"/>
              </w:rPr>
              <w:t>69.</w:t>
            </w:r>
            <w:r w:rsidR="0065341F">
              <w:rPr>
                <w:snapToGrid w:val="0"/>
              </w:rPr>
              <w:t>9</w:t>
            </w:r>
          </w:p>
        </w:tc>
        <w:tc>
          <w:tcPr>
            <w:tcW w:w="709" w:type="dxa"/>
          </w:tcPr>
          <w:p w14:paraId="6E2176C6" w14:textId="77777777" w:rsidR="00010E2E" w:rsidRDefault="00010E2E">
            <w:pPr>
              <w:pStyle w:val="Table"/>
              <w:jc w:val="center"/>
              <w:rPr>
                <w:snapToGrid w:val="0"/>
              </w:rPr>
            </w:pPr>
            <w:r>
              <w:rPr>
                <w:snapToGrid w:val="0"/>
              </w:rPr>
              <w:t>0.2</w:t>
            </w:r>
          </w:p>
        </w:tc>
        <w:tc>
          <w:tcPr>
            <w:tcW w:w="709" w:type="dxa"/>
          </w:tcPr>
          <w:p w14:paraId="14D66EC9" w14:textId="77777777" w:rsidR="00010E2E" w:rsidRDefault="00010E2E">
            <w:pPr>
              <w:pStyle w:val="Table"/>
              <w:jc w:val="center"/>
              <w:rPr>
                <w:snapToGrid w:val="0"/>
              </w:rPr>
            </w:pPr>
            <w:r>
              <w:rPr>
                <w:snapToGrid w:val="0"/>
              </w:rPr>
              <w:t>0.5</w:t>
            </w:r>
          </w:p>
        </w:tc>
      </w:tr>
    </w:tbl>
    <w:p w14:paraId="1540E139" w14:textId="77777777" w:rsidR="00010E2E" w:rsidRDefault="00010E2E">
      <w:pPr>
        <w:pStyle w:val="TableNote"/>
        <w:spacing w:before="60"/>
      </w:pPr>
      <w:r>
        <w:t>Source: National Greenhouse and Energy Reporting (Measurement) Determination 2008 (Schedule 1)</w:t>
      </w:r>
      <w:r w:rsidR="0069115E">
        <w:t>.</w:t>
      </w:r>
      <w:r w:rsidR="00554938">
        <w:t xml:space="preserve"> </w:t>
      </w:r>
    </w:p>
    <w:p w14:paraId="750CF809" w14:textId="77777777" w:rsidR="00010E2E" w:rsidRDefault="00010E2E">
      <w:pPr>
        <w:pStyle w:val="TableNote"/>
      </w:pPr>
      <w:r>
        <w:t xml:space="preserve">Notes: All emission factors incorporate relevant oxidation factors (sourced from the </w:t>
      </w:r>
      <w:r w:rsidR="00D87633">
        <w:t>Department of the Environment</w:t>
      </w:r>
      <w:r>
        <w:t xml:space="preserve"> </w:t>
      </w:r>
      <w:r w:rsidR="000873D9">
        <w:t xml:space="preserve">and Energy </w:t>
      </w:r>
      <w:r>
        <w:t xml:space="preserve">National Inventory Report).   </w:t>
      </w:r>
    </w:p>
    <w:p w14:paraId="0D945CAF" w14:textId="77777777" w:rsidR="00010E2E" w:rsidRDefault="00010E2E">
      <w:pPr>
        <w:pStyle w:val="BodyText"/>
        <w:tabs>
          <w:tab w:val="left" w:pos="0"/>
          <w:tab w:val="left" w:pos="2250"/>
        </w:tabs>
        <w:spacing w:before="120" w:after="0" w:line="312" w:lineRule="auto"/>
        <w:rPr>
          <w:rFonts w:ascii="Arial" w:hAnsi="Arial" w:cs="Arial"/>
          <w:b/>
          <w:bCs/>
        </w:rPr>
      </w:pPr>
    </w:p>
    <w:p w14:paraId="0FB4548F" w14:textId="77777777" w:rsidR="00DD2190" w:rsidRDefault="00DD2190">
      <w:pPr>
        <w:pStyle w:val="BodyText"/>
        <w:tabs>
          <w:tab w:val="left" w:pos="0"/>
          <w:tab w:val="left" w:pos="2250"/>
        </w:tabs>
        <w:spacing w:before="120" w:after="0" w:line="312" w:lineRule="auto"/>
        <w:rPr>
          <w:rFonts w:ascii="Arial" w:hAnsi="Arial" w:cs="Arial"/>
          <w:b/>
          <w:bCs/>
        </w:rPr>
      </w:pPr>
    </w:p>
    <w:p w14:paraId="141CA128" w14:textId="77777777" w:rsidR="00DD2190" w:rsidRDefault="00DD2190">
      <w:pPr>
        <w:pStyle w:val="BodyText"/>
        <w:tabs>
          <w:tab w:val="left" w:pos="0"/>
          <w:tab w:val="left" w:pos="2250"/>
        </w:tabs>
        <w:spacing w:before="120" w:after="0" w:line="312" w:lineRule="auto"/>
        <w:rPr>
          <w:rFonts w:ascii="Arial" w:hAnsi="Arial" w:cs="Arial"/>
          <w:b/>
          <w:bCs/>
        </w:rPr>
      </w:pPr>
    </w:p>
    <w:p w14:paraId="295F3FA5" w14:textId="77777777" w:rsidR="00F31DAA" w:rsidRDefault="00F31DAA">
      <w:pPr>
        <w:pStyle w:val="BodyText"/>
        <w:tabs>
          <w:tab w:val="left" w:pos="0"/>
          <w:tab w:val="left" w:pos="2250"/>
        </w:tabs>
        <w:spacing w:before="120" w:after="0" w:line="312" w:lineRule="auto"/>
        <w:rPr>
          <w:rFonts w:ascii="Arial" w:hAnsi="Arial" w:cs="Arial"/>
          <w:b/>
          <w:bCs/>
        </w:rPr>
      </w:pPr>
    </w:p>
    <w:p w14:paraId="461954B0"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b/>
          <w:bCs/>
        </w:rPr>
      </w:pPr>
      <w:r>
        <w:rPr>
          <w:rFonts w:ascii="Arial" w:hAnsi="Arial" w:cs="Arial"/>
          <w:b/>
          <w:bCs/>
        </w:rPr>
        <w:t>Example: calculation of emissions from transport fuels consumed</w:t>
      </w:r>
    </w:p>
    <w:p w14:paraId="54D2C32C"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A freight company consumes 10000 kL of automotive diesel for transport purposes. Emissions of greenhouse gases (carbon dioxide, methane and nitrous oxide) in tonnes of CO</w:t>
      </w:r>
      <w:r>
        <w:rPr>
          <w:rStyle w:val="EquationNoteChar"/>
          <w:szCs w:val="24"/>
          <w:vertAlign w:val="subscript"/>
        </w:rPr>
        <w:t>2</w:t>
      </w:r>
      <w:r>
        <w:rPr>
          <w:rFonts w:ascii="Arial" w:hAnsi="Arial" w:cs="Arial"/>
        </w:rPr>
        <w:t>-e are estimated as follows</w:t>
      </w:r>
      <w:r w:rsidR="00F427CA">
        <w:rPr>
          <w:rFonts w:ascii="Arial" w:hAnsi="Arial" w:cs="Arial"/>
        </w:rPr>
        <w:t>;</w:t>
      </w:r>
    </w:p>
    <w:p w14:paraId="349643A8"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xml:space="preserve">Emissions of carbon dioxide: </w:t>
      </w:r>
    </w:p>
    <w:p w14:paraId="03AE4140"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(10,000 x 38.6 x 69.</w:t>
      </w:r>
      <w:r w:rsidR="003F2314">
        <w:rPr>
          <w:rFonts w:ascii="Arial" w:hAnsi="Arial" w:cs="Arial"/>
        </w:rPr>
        <w:t>9</w:t>
      </w:r>
      <w:r>
        <w:rPr>
          <w:rFonts w:ascii="Arial" w:hAnsi="Arial" w:cs="Arial"/>
        </w:rPr>
        <w:t>)/1,000</w:t>
      </w:r>
    </w:p>
    <w:p w14:paraId="4F09F716"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26,</w:t>
      </w:r>
      <w:r w:rsidR="00CC722D">
        <w:rPr>
          <w:rFonts w:ascii="Arial" w:hAnsi="Arial" w:cs="Arial"/>
        </w:rPr>
        <w:t>981</w:t>
      </w:r>
      <w:r>
        <w:rPr>
          <w:rFonts w:ascii="Arial" w:hAnsi="Arial" w:cs="Arial"/>
        </w:rPr>
        <w:t xml:space="preserve"> t CO</w:t>
      </w:r>
      <w:r>
        <w:rPr>
          <w:rStyle w:val="EquationNoteChar"/>
          <w:szCs w:val="24"/>
          <w:vertAlign w:val="subscript"/>
        </w:rPr>
        <w:t>2</w:t>
      </w:r>
      <w:r>
        <w:rPr>
          <w:rFonts w:ascii="Arial" w:hAnsi="Arial" w:cs="Arial"/>
        </w:rPr>
        <w:t xml:space="preserve">-e </w:t>
      </w:r>
    </w:p>
    <w:p w14:paraId="4C58E1BB"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xml:space="preserve">Emissions of methane: </w:t>
      </w:r>
    </w:p>
    <w:p w14:paraId="08D89B81"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(10,000 x 38.6 x 0.</w:t>
      </w:r>
      <w:r w:rsidR="003F2314">
        <w:rPr>
          <w:rFonts w:ascii="Arial" w:hAnsi="Arial" w:cs="Arial"/>
        </w:rPr>
        <w:t>1</w:t>
      </w:r>
      <w:r>
        <w:rPr>
          <w:rFonts w:ascii="Arial" w:hAnsi="Arial" w:cs="Arial"/>
        </w:rPr>
        <w:t xml:space="preserve">)/1,000 </w:t>
      </w:r>
    </w:p>
    <w:p w14:paraId="78D24BCC"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xml:space="preserve">= </w:t>
      </w:r>
      <w:r w:rsidR="00CC722D">
        <w:rPr>
          <w:rFonts w:ascii="Arial" w:hAnsi="Arial" w:cs="Arial"/>
        </w:rPr>
        <w:t>39</w:t>
      </w:r>
      <w:r>
        <w:rPr>
          <w:rFonts w:ascii="Arial" w:hAnsi="Arial" w:cs="Arial"/>
        </w:rPr>
        <w:t xml:space="preserve"> t CO</w:t>
      </w:r>
      <w:r>
        <w:rPr>
          <w:rStyle w:val="EquationNoteChar"/>
          <w:szCs w:val="24"/>
          <w:vertAlign w:val="subscript"/>
        </w:rPr>
        <w:t>2</w:t>
      </w:r>
      <w:r>
        <w:rPr>
          <w:rFonts w:ascii="Arial" w:hAnsi="Arial" w:cs="Arial"/>
        </w:rPr>
        <w:t>-e</w:t>
      </w:r>
    </w:p>
    <w:p w14:paraId="36B2CA32"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Emissions of nitrous oxide:</w:t>
      </w:r>
    </w:p>
    <w:p w14:paraId="0403A806"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xml:space="preserve">= (10,000 x 38.6 x 0.5)/1,000 </w:t>
      </w:r>
    </w:p>
    <w:p w14:paraId="1B51A913"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709"/>
        </w:tabs>
        <w:spacing w:before="120" w:line="312" w:lineRule="auto"/>
        <w:ind w:left="0"/>
        <w:rPr>
          <w:rFonts w:ascii="Arial" w:hAnsi="Arial" w:cs="Arial"/>
        </w:rPr>
      </w:pPr>
      <w:r>
        <w:rPr>
          <w:rFonts w:ascii="Arial" w:hAnsi="Arial" w:cs="Arial"/>
        </w:rPr>
        <w:tab/>
        <w:t>= 193 t CO</w:t>
      </w:r>
      <w:r>
        <w:rPr>
          <w:rStyle w:val="EquationNoteChar"/>
          <w:szCs w:val="24"/>
          <w:vertAlign w:val="subscript"/>
        </w:rPr>
        <w:t>2</w:t>
      </w:r>
      <w:r>
        <w:rPr>
          <w:rFonts w:ascii="Arial" w:hAnsi="Arial" w:cs="Arial"/>
        </w:rPr>
        <w:t xml:space="preserve">-e </w:t>
      </w:r>
    </w:p>
    <w:p w14:paraId="26D00EE7"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120" w:line="312" w:lineRule="auto"/>
        <w:ind w:left="0"/>
        <w:rPr>
          <w:rFonts w:ascii="Arial" w:hAnsi="Arial" w:cs="Arial"/>
        </w:rPr>
      </w:pPr>
      <w:r>
        <w:rPr>
          <w:rFonts w:ascii="Arial" w:hAnsi="Arial" w:cs="Arial"/>
        </w:rPr>
        <w:t xml:space="preserve">Total scope 1 GHG emissions  </w:t>
      </w:r>
      <w:r>
        <w:rPr>
          <w:rFonts w:ascii="Arial" w:hAnsi="Arial" w:cs="Arial"/>
        </w:rPr>
        <w:tab/>
        <w:t>= 26</w:t>
      </w:r>
      <w:r w:rsidR="00CC722D">
        <w:rPr>
          <w:rFonts w:ascii="Arial" w:hAnsi="Arial" w:cs="Arial"/>
        </w:rPr>
        <w:t>981</w:t>
      </w:r>
      <w:r>
        <w:rPr>
          <w:rFonts w:ascii="Arial" w:hAnsi="Arial" w:cs="Arial"/>
        </w:rPr>
        <w:t xml:space="preserve"> + </w:t>
      </w:r>
      <w:r w:rsidR="00CC722D">
        <w:rPr>
          <w:rFonts w:ascii="Arial" w:hAnsi="Arial" w:cs="Arial"/>
        </w:rPr>
        <w:t>39</w:t>
      </w:r>
      <w:r>
        <w:rPr>
          <w:rFonts w:ascii="Arial" w:hAnsi="Arial" w:cs="Arial"/>
        </w:rPr>
        <w:t xml:space="preserve"> + 193 </w:t>
      </w:r>
    </w:p>
    <w:p w14:paraId="16D874F5" w14:textId="77777777" w:rsidR="00010E2E" w:rsidRPr="00D157AC"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line="312" w:lineRule="auto"/>
        <w:ind w:left="0" w:firstLine="2835"/>
        <w:rPr>
          <w:rFonts w:ascii="Arial" w:hAnsi="Arial"/>
        </w:rPr>
      </w:pPr>
      <w:r>
        <w:rPr>
          <w:rFonts w:ascii="Arial" w:hAnsi="Arial" w:cs="Arial"/>
        </w:rPr>
        <w:t xml:space="preserve"> </w:t>
      </w:r>
      <w:r w:rsidRPr="00D157AC">
        <w:rPr>
          <w:rFonts w:ascii="Arial" w:hAnsi="Arial" w:cs="Arial"/>
        </w:rPr>
        <w:t>= 2</w:t>
      </w:r>
      <w:r w:rsidR="00CC722D">
        <w:rPr>
          <w:rFonts w:ascii="Arial" w:hAnsi="Arial" w:cs="Arial"/>
        </w:rPr>
        <w:t>7,213</w:t>
      </w:r>
      <w:r w:rsidRPr="00D157AC">
        <w:rPr>
          <w:rFonts w:ascii="Arial" w:hAnsi="Arial" w:cs="Arial"/>
        </w:rPr>
        <w:t xml:space="preserve"> t CO</w:t>
      </w:r>
      <w:r w:rsidRPr="00D157AC">
        <w:rPr>
          <w:rFonts w:ascii="Arial" w:hAnsi="Arial" w:cs="Arial"/>
          <w:vertAlign w:val="subscript"/>
        </w:rPr>
        <w:t>2</w:t>
      </w:r>
      <w:r w:rsidRPr="00D157AC">
        <w:rPr>
          <w:rFonts w:ascii="Arial" w:hAnsi="Arial" w:cs="Arial"/>
        </w:rPr>
        <w:t>-e</w:t>
      </w:r>
    </w:p>
    <w:p w14:paraId="090BA7F5" w14:textId="1F92B895" w:rsidR="00010E2E" w:rsidRDefault="00C919AC">
      <w:pPr>
        <w:pStyle w:val="Heading2"/>
        <w:tabs>
          <w:tab w:val="left" w:pos="0"/>
          <w:tab w:val="left" w:pos="2250"/>
        </w:tabs>
        <w:spacing w:before="120" w:after="0" w:line="312" w:lineRule="auto"/>
        <w:ind w:left="578" w:hanging="578"/>
        <w:rPr>
          <w:rFonts w:ascii="Arial" w:hAnsi="Arial" w:cs="Arial"/>
        </w:rPr>
      </w:pPr>
      <w:r w:rsidRPr="00D157AC">
        <w:rPr>
          <w:rFonts w:ascii="Arial" w:hAnsi="Arial" w:cs="Arial"/>
        </w:rPr>
        <w:t xml:space="preserve">Indirect emissions from electricity </w:t>
      </w:r>
      <w:r w:rsidR="001672F8">
        <w:rPr>
          <w:rFonts w:ascii="Arial" w:hAnsi="Arial" w:cs="Arial"/>
        </w:rPr>
        <w:t>(Scope 2 emission factors)</w:t>
      </w:r>
    </w:p>
    <w:p w14:paraId="404475F3" w14:textId="559EA5CE" w:rsidR="00786715" w:rsidRPr="000D12D8" w:rsidRDefault="00786715" w:rsidP="000D12D8">
      <w:pPr>
        <w:pStyle w:val="Heading3"/>
        <w:tabs>
          <w:tab w:val="left" w:pos="0"/>
          <w:tab w:val="left" w:pos="2250"/>
        </w:tabs>
        <w:spacing w:before="120" w:line="312" w:lineRule="auto"/>
        <w:ind w:left="0" w:firstLine="0"/>
        <w:rPr>
          <w:rFonts w:ascii="Arial" w:hAnsi="Arial" w:cs="Arial"/>
        </w:rPr>
      </w:pPr>
      <w:r>
        <w:rPr>
          <w:rFonts w:ascii="Arial" w:hAnsi="Arial" w:cs="Arial"/>
        </w:rPr>
        <w:t xml:space="preserve">How scope 2 factors are calculated </w:t>
      </w:r>
    </w:p>
    <w:p w14:paraId="5865488A" w14:textId="7859F308" w:rsidR="00786715" w:rsidRPr="00E16369" w:rsidRDefault="00786715" w:rsidP="00786715">
      <w:pPr>
        <w:pStyle w:val="BodyText"/>
        <w:tabs>
          <w:tab w:val="left" w:pos="0"/>
          <w:tab w:val="left" w:pos="2250"/>
        </w:tabs>
        <w:spacing w:before="120" w:after="0" w:line="312" w:lineRule="auto"/>
        <w:ind w:left="0"/>
        <w:rPr>
          <w:rFonts w:ascii="Arial" w:hAnsi="Arial" w:cs="Arial"/>
          <w:bCs/>
        </w:rPr>
      </w:pPr>
      <w:r w:rsidRPr="00E16369">
        <w:rPr>
          <w:rFonts w:ascii="Arial" w:hAnsi="Arial" w:cs="Arial"/>
          <w:bCs/>
        </w:rPr>
        <w:t>The scope 2 emission factors are state-based emission factors from on-grid electricity generation calculated systematically from the physical characteristics of the electricity grid. The state-based emission factor calculates an average emission factor for all electricity consumed from the grid in a given state, territory or electricity grid. All emissions attributable to a state territory or grid’s electricity consumption are allocated amongst individual consumers in proportion to their relative level of consumption. In effect, the likelihood of a particular generator supplying a particular consumer is assumed to reflect each generator’s relati</w:t>
      </w:r>
      <w:r w:rsidR="00D46B27">
        <w:rPr>
          <w:rFonts w:ascii="Arial" w:hAnsi="Arial" w:cs="Arial"/>
          <w:bCs/>
        </w:rPr>
        <w:t>ve level of supply to that State’s component of the grid.</w:t>
      </w:r>
    </w:p>
    <w:p w14:paraId="7DFE6A19" w14:textId="706DED38" w:rsidR="0001279B" w:rsidRPr="000D12D8" w:rsidRDefault="00786715" w:rsidP="000D12D8">
      <w:pPr>
        <w:pStyle w:val="BodyText"/>
        <w:tabs>
          <w:tab w:val="left" w:pos="0"/>
          <w:tab w:val="left" w:pos="2250"/>
        </w:tabs>
        <w:spacing w:before="120" w:line="312" w:lineRule="auto"/>
        <w:ind w:left="0"/>
        <w:rPr>
          <w:rFonts w:ascii="Arial" w:hAnsi="Arial" w:cs="Arial"/>
          <w:bCs/>
        </w:rPr>
      </w:pPr>
      <w:r w:rsidRPr="00E16369">
        <w:rPr>
          <w:rFonts w:ascii="Arial" w:hAnsi="Arial" w:cs="Arial"/>
          <w:bCs/>
        </w:rPr>
        <w:t>This approach minimises information requirements for the system and produces factors that are relatively easy to interpret and apply. Consistent adoption of these ‘physical’ state-based emission factors ensures the emissions generated in each state are fully accounted for by the end-users of the purchased electricity and double counting is avoided. It is recognised that this approach does not serve all possible policy purposes and that alternative, more data-intensive approaches are possible.</w:t>
      </w:r>
    </w:p>
    <w:p w14:paraId="040CD232" w14:textId="77777777" w:rsidR="00786715" w:rsidRPr="00B5124A" w:rsidRDefault="00786715" w:rsidP="00786715">
      <w:pPr>
        <w:spacing w:after="200" w:line="276" w:lineRule="auto"/>
        <w:ind w:left="0"/>
        <w:rPr>
          <w:rFonts w:ascii="Arial" w:eastAsia="Calibri" w:hAnsi="Arial"/>
        </w:rPr>
      </w:pPr>
      <w:r w:rsidRPr="00B5124A">
        <w:rPr>
          <w:rFonts w:ascii="Arial" w:eastAsia="Calibri" w:hAnsi="Arial"/>
        </w:rPr>
        <w:t xml:space="preserve">The scope 2 emission factors reflect data that are based on: </w:t>
      </w:r>
    </w:p>
    <w:p w14:paraId="7AE87784" w14:textId="77777777" w:rsidR="00786715" w:rsidRPr="00B5124A" w:rsidRDefault="00786715" w:rsidP="000D12D8">
      <w:pPr>
        <w:pStyle w:val="ListParagraph"/>
        <w:numPr>
          <w:ilvl w:val="0"/>
          <w:numId w:val="57"/>
        </w:numPr>
        <w:spacing w:after="200" w:line="480" w:lineRule="auto"/>
        <w:rPr>
          <w:rFonts w:ascii="Arial" w:eastAsia="Calibri" w:hAnsi="Arial"/>
        </w:rPr>
      </w:pPr>
      <w:r w:rsidRPr="00B5124A">
        <w:rPr>
          <w:rFonts w:ascii="Arial" w:eastAsia="Calibri" w:hAnsi="Arial"/>
        </w:rPr>
        <w:t xml:space="preserve">on-grid activity only; </w:t>
      </w:r>
    </w:p>
    <w:p w14:paraId="433DFB5D" w14:textId="77777777" w:rsidR="00786715" w:rsidRPr="00B5124A" w:rsidRDefault="00786715" w:rsidP="000D12D8">
      <w:pPr>
        <w:pStyle w:val="ListParagraph"/>
        <w:numPr>
          <w:ilvl w:val="0"/>
          <w:numId w:val="57"/>
        </w:numPr>
        <w:spacing w:after="200" w:line="480" w:lineRule="auto"/>
        <w:rPr>
          <w:rFonts w:ascii="Arial" w:eastAsia="Calibri" w:hAnsi="Arial"/>
        </w:rPr>
      </w:pPr>
      <w:r w:rsidRPr="00B5124A">
        <w:rPr>
          <w:rFonts w:ascii="Arial" w:eastAsia="Calibri" w:hAnsi="Arial"/>
        </w:rPr>
        <w:t xml:space="preserve">state-based activity; </w:t>
      </w:r>
    </w:p>
    <w:p w14:paraId="3BE0F4BA" w14:textId="77777777" w:rsidR="00786715" w:rsidRPr="00B5124A" w:rsidRDefault="00786715" w:rsidP="000D12D8">
      <w:pPr>
        <w:pStyle w:val="ListParagraph"/>
        <w:numPr>
          <w:ilvl w:val="0"/>
          <w:numId w:val="57"/>
        </w:numPr>
        <w:spacing w:after="200" w:line="480" w:lineRule="auto"/>
        <w:rPr>
          <w:rFonts w:ascii="Arial" w:eastAsia="Calibri" w:hAnsi="Arial"/>
        </w:rPr>
      </w:pPr>
      <w:r w:rsidRPr="00B5124A">
        <w:rPr>
          <w:rFonts w:ascii="Arial" w:eastAsia="Calibri" w:hAnsi="Arial"/>
        </w:rPr>
        <w:t xml:space="preserve">annual financial year averages; </w:t>
      </w:r>
    </w:p>
    <w:p w14:paraId="40196A86" w14:textId="77777777" w:rsidR="00786715" w:rsidRPr="00B5124A" w:rsidRDefault="00786715" w:rsidP="000D12D8">
      <w:pPr>
        <w:pStyle w:val="ListParagraph"/>
        <w:numPr>
          <w:ilvl w:val="0"/>
          <w:numId w:val="57"/>
        </w:numPr>
        <w:spacing w:after="200" w:line="480" w:lineRule="auto"/>
        <w:rPr>
          <w:rFonts w:ascii="Arial" w:eastAsia="Calibri" w:hAnsi="Arial"/>
        </w:rPr>
      </w:pPr>
      <w:r w:rsidRPr="00B5124A">
        <w:rPr>
          <w:rFonts w:ascii="Arial" w:eastAsia="Calibri" w:hAnsi="Arial"/>
        </w:rPr>
        <w:t xml:space="preserve">physical characteristics of the electricity supply and demand. </w:t>
      </w:r>
    </w:p>
    <w:p w14:paraId="2A186030" w14:textId="07639821" w:rsidR="00786715" w:rsidRPr="00B5124A" w:rsidRDefault="00786715" w:rsidP="00786715">
      <w:pPr>
        <w:spacing w:after="200" w:line="276" w:lineRule="auto"/>
        <w:ind w:left="0"/>
        <w:rPr>
          <w:rFonts w:ascii="Arial" w:eastAsia="Calibri" w:hAnsi="Arial"/>
        </w:rPr>
      </w:pPr>
      <w:r w:rsidRPr="00B5124A">
        <w:rPr>
          <w:rFonts w:ascii="Arial" w:eastAsia="Calibri" w:hAnsi="Arial"/>
        </w:rPr>
        <w:t xml:space="preserve">The estimated electricity emission factors have been aligned with the definitions used in </w:t>
      </w:r>
      <w:r w:rsidRPr="00914552">
        <w:rPr>
          <w:rFonts w:ascii="Arial" w:eastAsia="Calibri" w:hAnsi="Arial"/>
          <w:i/>
        </w:rPr>
        <w:t>The Greenhouse Gas Protocol: A Corporate Accounting and Reporting Standard of the World Resources Institute/World Business Council for Sustainable Development</w:t>
      </w:r>
      <w:r w:rsidRPr="00B5124A">
        <w:rPr>
          <w:rFonts w:ascii="Arial" w:eastAsia="Calibri" w:hAnsi="Arial"/>
        </w:rPr>
        <w:t xml:space="preserve"> (the GHG Protocol). The emission factor for scope 2 is defined in terms of energy sent out on the grid rather than energy delivered because this effectively ensures that end users of electricity are allocated only the scope 2 emissions attributable to the electricity they consume and not the scope 2 emissions attributable to electricity lost in transmission and distribution. The latter are allocated to the transmission and distribution network. </w:t>
      </w:r>
      <w:r w:rsidRPr="008F10B4">
        <w:rPr>
          <w:rFonts w:ascii="Arial" w:eastAsia="Calibri" w:hAnsi="Arial"/>
        </w:rPr>
        <w:t>This follows the GHG Protocol guidance that scope 2 emissions be reported by the organisation owning or controlling the plant or equipment where the electricity is consumed. Companies that own or control transmission and distribution networks report their transmission and distribution loss emissions under scope 2.</w:t>
      </w:r>
      <w:r w:rsidR="007A1ACE">
        <w:rPr>
          <w:rFonts w:ascii="Arial" w:eastAsia="Calibri" w:hAnsi="Arial"/>
        </w:rPr>
        <w:t xml:space="preserve"> </w:t>
      </w:r>
    </w:p>
    <w:p w14:paraId="042ECC2F" w14:textId="77777777" w:rsidR="00786715" w:rsidRPr="00B5124A" w:rsidRDefault="00786715" w:rsidP="00786715">
      <w:pPr>
        <w:spacing w:after="200" w:line="276" w:lineRule="auto"/>
        <w:ind w:left="0"/>
        <w:rPr>
          <w:rFonts w:ascii="Arial" w:eastAsia="Calibri" w:hAnsi="Arial"/>
        </w:rPr>
      </w:pPr>
      <w:r w:rsidRPr="00B5124A">
        <w:rPr>
          <w:rFonts w:ascii="Arial" w:eastAsia="Calibri" w:hAnsi="Arial"/>
        </w:rPr>
        <w:t>Electricity generation that is not supplied to the grid, for example remote generators is not included in the scope 2 calculation.</w:t>
      </w:r>
    </w:p>
    <w:p w14:paraId="125BEA23" w14:textId="7EAE52F2" w:rsidR="00786715" w:rsidRPr="00B5124A" w:rsidRDefault="00786715" w:rsidP="00786715">
      <w:pPr>
        <w:spacing w:after="200" w:line="276" w:lineRule="auto"/>
        <w:ind w:left="0"/>
        <w:rPr>
          <w:rFonts w:ascii="Arial" w:eastAsia="Calibri" w:hAnsi="Arial"/>
        </w:rPr>
      </w:pPr>
      <w:r w:rsidRPr="00B5124A">
        <w:rPr>
          <w:rFonts w:ascii="Arial" w:eastAsia="Calibri" w:hAnsi="Arial"/>
        </w:rPr>
        <w:t>The emission factors are calculated as financial year averages based on electricity generation within each state and territory and take into accou</w:t>
      </w:r>
      <w:r w:rsidR="00D46B27">
        <w:rPr>
          <w:rFonts w:ascii="Arial" w:eastAsia="Calibri" w:hAnsi="Arial"/>
        </w:rPr>
        <w:t>nt interstate electricity flows</w:t>
      </w:r>
      <w:r w:rsidRPr="00B5124A">
        <w:rPr>
          <w:rFonts w:ascii="Arial" w:eastAsia="Calibri" w:hAnsi="Arial"/>
        </w:rPr>
        <w:t xml:space="preserve"> and the emissions attributable to those flows. To reduce volatility scope 2 emission factors are calculated as a three-year moving average.</w:t>
      </w:r>
    </w:p>
    <w:p w14:paraId="6B3209FE" w14:textId="77777777" w:rsidR="00786715" w:rsidRPr="00B5124A" w:rsidRDefault="00786715" w:rsidP="00786715">
      <w:pPr>
        <w:spacing w:after="200" w:line="276" w:lineRule="auto"/>
        <w:ind w:left="0"/>
        <w:rPr>
          <w:rFonts w:ascii="Arial" w:eastAsia="Calibri" w:hAnsi="Arial"/>
        </w:rPr>
      </w:pPr>
      <w:r w:rsidRPr="00B5124A">
        <w:rPr>
          <w:rFonts w:ascii="Arial" w:eastAsia="Calibri" w:hAnsi="Arial"/>
        </w:rPr>
        <w:t xml:space="preserve">Scope 2 emissions result from the generation of purchased electricity from each state’s electricity grid. </w:t>
      </w:r>
    </w:p>
    <w:p w14:paraId="79B647D6" w14:textId="77777777" w:rsidR="00786715" w:rsidRPr="00AF70F5" w:rsidRDefault="00786715" w:rsidP="00786715">
      <w:pPr>
        <w:spacing w:after="200" w:line="276" w:lineRule="auto"/>
        <w:ind w:left="0"/>
        <w:rPr>
          <w:rFonts w:ascii="Arial" w:eastAsia="Calibri" w:hAnsi="Arial"/>
          <w:sz w:val="22"/>
          <w:szCs w:val="22"/>
        </w:rPr>
      </w:pPr>
      <m:oMathPara>
        <m:oMath>
          <m:r>
            <w:rPr>
              <w:rFonts w:ascii="Cambria Math" w:eastAsia="Calibri" w:hAnsi="Cambria Math"/>
              <w:sz w:val="22"/>
              <w:szCs w:val="22"/>
            </w:rPr>
            <m:t>scope 2=</m:t>
          </m:r>
          <m:f>
            <m:fPr>
              <m:ctrlPr>
                <w:rPr>
                  <w:rFonts w:ascii="Cambria Math" w:eastAsia="Calibri" w:hAnsi="Cambria Math"/>
                  <w:i/>
                  <w:sz w:val="22"/>
                  <w:szCs w:val="22"/>
                </w:rPr>
              </m:ctrlPr>
            </m:fPr>
            <m:num>
              <m:r>
                <w:rPr>
                  <w:rFonts w:ascii="Cambria Math" w:eastAsia="Calibri" w:hAnsi="Cambria Math"/>
                  <w:sz w:val="22"/>
                  <w:szCs w:val="22"/>
                </w:rPr>
                <m:t>Combustion emissions from electricity  in the state</m:t>
              </m:r>
            </m:num>
            <m:den>
              <m:r>
                <w:rPr>
                  <w:rFonts w:ascii="Cambria Math" w:eastAsia="Calibri" w:hAnsi="Cambria Math"/>
                  <w:sz w:val="22"/>
                  <w:szCs w:val="22"/>
                </w:rPr>
                <m:t>Electricity sent out in the state</m:t>
              </m:r>
            </m:den>
          </m:f>
        </m:oMath>
      </m:oMathPara>
    </w:p>
    <w:p w14:paraId="60EED29A" w14:textId="77777777" w:rsidR="00786715" w:rsidRPr="00E16369" w:rsidRDefault="00786715" w:rsidP="00786715">
      <w:pPr>
        <w:spacing w:after="200" w:line="276" w:lineRule="auto"/>
        <w:ind w:left="0"/>
        <w:rPr>
          <w:rFonts w:ascii="Arial" w:eastAsia="Calibri" w:hAnsi="Arial"/>
        </w:rPr>
      </w:pPr>
    </w:p>
    <w:p w14:paraId="45125382" w14:textId="6B68B93A" w:rsidR="00786715" w:rsidRPr="00E16369" w:rsidRDefault="00786715" w:rsidP="00786715">
      <w:pPr>
        <w:spacing w:after="200" w:line="276" w:lineRule="auto"/>
        <w:ind w:left="0"/>
        <w:rPr>
          <w:rFonts w:ascii="Arial" w:eastAsia="Calibri" w:hAnsi="Arial"/>
        </w:rPr>
      </w:pPr>
      <w:r w:rsidRPr="00E16369">
        <w:rPr>
          <w:rFonts w:ascii="Arial" w:eastAsia="Calibri" w:hAnsi="Arial"/>
        </w:rPr>
        <w:t xml:space="preserve">The estimated ‘Scope 2’ emission </w:t>
      </w:r>
      <w:r w:rsidR="00914552">
        <w:rPr>
          <w:rFonts w:ascii="Arial" w:eastAsia="Calibri" w:hAnsi="Arial"/>
        </w:rPr>
        <w:t xml:space="preserve">factors </w:t>
      </w:r>
      <w:r w:rsidRPr="00E16369">
        <w:rPr>
          <w:rFonts w:ascii="Arial" w:eastAsia="Calibri" w:hAnsi="Arial"/>
        </w:rPr>
        <w:t xml:space="preserve">use </w:t>
      </w:r>
      <w:r w:rsidR="007F59B3">
        <w:rPr>
          <w:rFonts w:ascii="Arial" w:eastAsia="Calibri" w:hAnsi="Arial"/>
        </w:rPr>
        <w:t xml:space="preserve">Scope 1 </w:t>
      </w:r>
      <w:r w:rsidRPr="00E16369">
        <w:rPr>
          <w:rFonts w:ascii="Arial" w:eastAsia="Calibri" w:hAnsi="Arial"/>
        </w:rPr>
        <w:t xml:space="preserve">data obtained under the </w:t>
      </w:r>
      <w:r w:rsidRPr="00E16369">
        <w:rPr>
          <w:rFonts w:ascii="Arial" w:eastAsia="Calibri" w:hAnsi="Arial"/>
          <w:i/>
        </w:rPr>
        <w:t>National Greenhouse and Energy Reporting Act 2007</w:t>
      </w:r>
      <w:r w:rsidR="007F59B3">
        <w:rPr>
          <w:rFonts w:ascii="Arial" w:eastAsia="Calibri" w:hAnsi="Arial"/>
        </w:rPr>
        <w:t xml:space="preserve">, </w:t>
      </w:r>
      <w:r w:rsidRPr="00E16369">
        <w:rPr>
          <w:rFonts w:ascii="Arial" w:eastAsia="Calibri" w:hAnsi="Arial"/>
        </w:rPr>
        <w:t xml:space="preserve">supplemented with data from the Australian Energy Market Operator and the Clean Energy Regulator. Emission estimates are taken from the National Greenhouse Accounts. Further detail on the approach to calculating electricity emission estimates is available in the </w:t>
      </w:r>
      <w:r w:rsidRPr="00914552">
        <w:rPr>
          <w:rFonts w:ascii="Arial" w:eastAsia="Calibri" w:hAnsi="Arial"/>
          <w:i/>
        </w:rPr>
        <w:t>National Inventory Report 2015</w:t>
      </w:r>
      <w:r w:rsidRPr="00E16369">
        <w:rPr>
          <w:rFonts w:ascii="Arial" w:eastAsia="Calibri" w:hAnsi="Arial"/>
        </w:rPr>
        <w:t xml:space="preserve">. </w:t>
      </w:r>
    </w:p>
    <w:p w14:paraId="50406F49" w14:textId="13D8ED59" w:rsidR="00786715" w:rsidRPr="000D12D8" w:rsidRDefault="00786715" w:rsidP="000D12D8">
      <w:pPr>
        <w:spacing w:after="200" w:line="276" w:lineRule="auto"/>
        <w:ind w:left="0"/>
        <w:rPr>
          <w:rFonts w:ascii="Arial" w:eastAsia="Calibri" w:hAnsi="Arial"/>
        </w:rPr>
      </w:pPr>
      <w:r w:rsidRPr="00E16369">
        <w:rPr>
          <w:rFonts w:ascii="Arial" w:eastAsia="Calibri" w:hAnsi="Arial"/>
        </w:rPr>
        <w:t>It should be noted that Renewable Energy Certificates and other emissions reduction programs are not used in the calculation of scope 2 emission factors. These programs may impact the emissions intensity of electricity generation but are not directly related to the calculation of scope 2 emission factors.</w:t>
      </w:r>
    </w:p>
    <w:p w14:paraId="1F372A63" w14:textId="513F84C8" w:rsidR="00D157AC" w:rsidRPr="00D157AC" w:rsidRDefault="00C919AC">
      <w:pPr>
        <w:pStyle w:val="Heading3"/>
        <w:tabs>
          <w:tab w:val="left" w:pos="0"/>
          <w:tab w:val="left" w:pos="2250"/>
        </w:tabs>
        <w:spacing w:before="120" w:line="312" w:lineRule="auto"/>
        <w:ind w:left="0" w:firstLine="0"/>
        <w:rPr>
          <w:rFonts w:ascii="Arial" w:hAnsi="Arial" w:cs="Arial"/>
        </w:rPr>
      </w:pPr>
      <w:r w:rsidRPr="00D157AC">
        <w:rPr>
          <w:rFonts w:ascii="Arial" w:hAnsi="Arial" w:cs="Arial"/>
        </w:rPr>
        <w:t xml:space="preserve">General calculations for indirect emissions from consumption of purchased electricity </w:t>
      </w:r>
      <w:r w:rsidR="001E7D6B" w:rsidRPr="00AE19F6">
        <w:rPr>
          <w:rFonts w:ascii="Arial" w:hAnsi="Arial" w:cs="Arial"/>
        </w:rPr>
        <w:t>or loss of electricity</w:t>
      </w:r>
    </w:p>
    <w:p w14:paraId="7203390D" w14:textId="77777777" w:rsidR="008F10B4" w:rsidRDefault="00010E2E">
      <w:pPr>
        <w:pStyle w:val="BodyText"/>
        <w:tabs>
          <w:tab w:val="left" w:pos="0"/>
          <w:tab w:val="left" w:pos="2250"/>
        </w:tabs>
        <w:spacing w:before="120" w:after="0" w:line="312" w:lineRule="auto"/>
        <w:ind w:left="0"/>
        <w:rPr>
          <w:rFonts w:ascii="Arial" w:hAnsi="Arial" w:cs="Arial"/>
          <w:bCs/>
        </w:rPr>
      </w:pPr>
      <w:r w:rsidRPr="003E012E">
        <w:rPr>
          <w:rFonts w:ascii="Arial" w:hAnsi="Arial" w:cs="Arial"/>
          <w:bCs/>
        </w:rPr>
        <w:t>This section describes the method of determining scope 2 emissions from</w:t>
      </w:r>
      <w:r w:rsidR="008F10B4">
        <w:rPr>
          <w:rFonts w:ascii="Arial" w:hAnsi="Arial" w:cs="Arial"/>
          <w:bCs/>
        </w:rPr>
        <w:t>:</w:t>
      </w:r>
    </w:p>
    <w:p w14:paraId="689448A0" w14:textId="54CF7AC8" w:rsidR="008F10B4" w:rsidRDefault="00010E2E" w:rsidP="00914552">
      <w:pPr>
        <w:pStyle w:val="ListParagraph"/>
        <w:numPr>
          <w:ilvl w:val="0"/>
          <w:numId w:val="62"/>
        </w:numPr>
        <w:spacing w:after="200" w:line="276" w:lineRule="auto"/>
        <w:rPr>
          <w:rFonts w:ascii="Arial" w:eastAsia="Calibri" w:hAnsi="Arial"/>
        </w:rPr>
      </w:pPr>
      <w:r w:rsidRPr="00914552">
        <w:rPr>
          <w:rFonts w:ascii="Arial" w:eastAsia="Calibri" w:hAnsi="Arial"/>
        </w:rPr>
        <w:t>the consumption of purchased</w:t>
      </w:r>
      <w:r w:rsidR="005C0140" w:rsidRPr="00914552">
        <w:rPr>
          <w:rFonts w:ascii="Arial" w:eastAsia="Calibri" w:hAnsi="Arial"/>
        </w:rPr>
        <w:t xml:space="preserve"> electricity</w:t>
      </w:r>
      <w:r w:rsidR="001E7D6B" w:rsidRPr="00914552">
        <w:rPr>
          <w:rFonts w:ascii="Arial" w:eastAsia="Calibri" w:hAnsi="Arial"/>
        </w:rPr>
        <w:t xml:space="preserve"> </w:t>
      </w:r>
      <w:r w:rsidR="008F10B4">
        <w:rPr>
          <w:rFonts w:ascii="Arial" w:eastAsia="Calibri" w:hAnsi="Arial"/>
        </w:rPr>
        <w:t xml:space="preserve">from the main grid, </w:t>
      </w:r>
      <w:r w:rsidR="001E7D6B" w:rsidRPr="00914552">
        <w:rPr>
          <w:rFonts w:ascii="Arial" w:eastAsia="Calibri" w:hAnsi="Arial"/>
        </w:rPr>
        <w:t xml:space="preserve">or </w:t>
      </w:r>
    </w:p>
    <w:p w14:paraId="7991E272" w14:textId="13436296" w:rsidR="00AE19F6" w:rsidRDefault="001E7D6B" w:rsidP="00914552">
      <w:pPr>
        <w:pStyle w:val="ListParagraph"/>
        <w:numPr>
          <w:ilvl w:val="0"/>
          <w:numId w:val="62"/>
        </w:numPr>
        <w:spacing w:after="200" w:line="276" w:lineRule="auto"/>
        <w:rPr>
          <w:rFonts w:ascii="Arial" w:eastAsia="Calibri" w:hAnsi="Arial"/>
        </w:rPr>
      </w:pPr>
      <w:r w:rsidRPr="00914552">
        <w:rPr>
          <w:rFonts w:ascii="Arial" w:eastAsia="Calibri" w:hAnsi="Arial"/>
        </w:rPr>
        <w:t xml:space="preserve">loss of electricity from a facility, the operation of which is constituted by an electricity transmission network or distribution network that is, or is part of, the main grid </w:t>
      </w:r>
      <w:r w:rsidRPr="008F10B4">
        <w:rPr>
          <w:rFonts w:ascii="Arial" w:eastAsia="Calibri" w:hAnsi="Arial"/>
        </w:rPr>
        <w:t>(</w:t>
      </w:r>
      <w:r w:rsidRPr="00914552">
        <w:rPr>
          <w:rFonts w:ascii="Arial" w:eastAsia="Calibri" w:hAnsi="Arial"/>
        </w:rPr>
        <w:t xml:space="preserve">hereinafter “or </w:t>
      </w:r>
      <w:r w:rsidRPr="008F10B4">
        <w:rPr>
          <w:rFonts w:ascii="Arial" w:eastAsia="Calibri" w:hAnsi="Arial"/>
        </w:rPr>
        <w:t>loss of electricity</w:t>
      </w:r>
      <w:r w:rsidRPr="00914552">
        <w:rPr>
          <w:rFonts w:ascii="Arial" w:eastAsia="Calibri" w:hAnsi="Arial"/>
        </w:rPr>
        <w:t>”</w:t>
      </w:r>
      <w:r w:rsidRPr="008F10B4">
        <w:rPr>
          <w:rFonts w:ascii="Arial" w:eastAsia="Calibri" w:hAnsi="Arial"/>
        </w:rPr>
        <w:t>)</w:t>
      </w:r>
      <w:r w:rsidR="005C0140" w:rsidRPr="00914552">
        <w:rPr>
          <w:rFonts w:ascii="Arial" w:eastAsia="Calibri" w:hAnsi="Arial"/>
        </w:rPr>
        <w:t>.</w:t>
      </w:r>
      <w:r w:rsidR="00EC42F2" w:rsidRPr="00914552">
        <w:rPr>
          <w:rFonts w:ascii="Arial" w:eastAsia="Calibri" w:hAnsi="Arial"/>
        </w:rPr>
        <w:t xml:space="preserve"> </w:t>
      </w:r>
    </w:p>
    <w:p w14:paraId="375B1F90" w14:textId="45A8041A" w:rsidR="00AF70F5" w:rsidRPr="003E012E" w:rsidRDefault="00EC42F2">
      <w:pPr>
        <w:pStyle w:val="BodyText"/>
        <w:tabs>
          <w:tab w:val="left" w:pos="0"/>
          <w:tab w:val="left" w:pos="2250"/>
        </w:tabs>
        <w:spacing w:before="120" w:after="0" w:line="312" w:lineRule="auto"/>
        <w:ind w:left="0"/>
        <w:rPr>
          <w:rFonts w:ascii="Arial" w:hAnsi="Arial" w:cs="Arial"/>
          <w:bCs/>
        </w:rPr>
      </w:pPr>
      <w:r w:rsidRPr="00914552">
        <w:rPr>
          <w:rFonts w:ascii="Arial" w:hAnsi="Arial" w:cs="Arial"/>
          <w:bCs/>
        </w:rPr>
        <w:t xml:space="preserve">These are not the relevant grid emissions factors for methodology determinations under the </w:t>
      </w:r>
      <w:r w:rsidR="005A2999" w:rsidRPr="00914552">
        <w:rPr>
          <w:rFonts w:ascii="Arial" w:hAnsi="Arial" w:cs="Arial"/>
          <w:bCs/>
          <w:i/>
        </w:rPr>
        <w:t>Carbon Credits (Carbon Farming Initiative) Act 2011</w:t>
      </w:r>
      <w:r w:rsidRPr="00914552">
        <w:rPr>
          <w:rFonts w:ascii="Arial" w:hAnsi="Arial" w:cs="Arial"/>
          <w:bCs/>
        </w:rPr>
        <w:t xml:space="preserve"> which can be found at 2.3.</w:t>
      </w:r>
      <w:r w:rsidR="000D12D8" w:rsidRPr="00914552">
        <w:rPr>
          <w:rFonts w:ascii="Arial" w:hAnsi="Arial" w:cs="Arial"/>
          <w:bCs/>
        </w:rPr>
        <w:t>3</w:t>
      </w:r>
      <w:r w:rsidRPr="00914552">
        <w:rPr>
          <w:rFonts w:ascii="Arial" w:hAnsi="Arial" w:cs="Arial"/>
          <w:bCs/>
        </w:rPr>
        <w:t>.</w:t>
      </w:r>
    </w:p>
    <w:p w14:paraId="1F72A0F2" w14:textId="7200794B" w:rsidR="00010E2E" w:rsidRPr="003E012E" w:rsidRDefault="00010E2E">
      <w:pPr>
        <w:pStyle w:val="BodyText"/>
        <w:tabs>
          <w:tab w:val="left" w:pos="0"/>
          <w:tab w:val="left" w:pos="2250"/>
        </w:tabs>
        <w:spacing w:before="120" w:after="0" w:line="312" w:lineRule="auto"/>
        <w:ind w:left="0"/>
        <w:rPr>
          <w:rFonts w:ascii="Arial" w:hAnsi="Arial" w:cs="Arial"/>
          <w:b/>
        </w:rPr>
      </w:pPr>
      <w:r w:rsidRPr="003E012E">
        <w:rPr>
          <w:rFonts w:ascii="Arial" w:hAnsi="Arial" w:cs="Arial"/>
          <w:b/>
          <w:bCs/>
        </w:rPr>
        <w:t>Indirect emission factors</w:t>
      </w:r>
      <w:r w:rsidRPr="003E012E">
        <w:rPr>
          <w:rFonts w:ascii="Arial" w:hAnsi="Arial" w:cs="Arial"/>
        </w:rPr>
        <w:t xml:space="preserve"> for the consumption of purchased electricity </w:t>
      </w:r>
      <w:r w:rsidR="001E7D6B" w:rsidRPr="00AE19F6">
        <w:rPr>
          <w:rFonts w:ascii="Arial" w:hAnsi="Arial" w:cs="Arial"/>
        </w:rPr>
        <w:t>or loss of electricity</w:t>
      </w:r>
      <w:r w:rsidR="001E7D6B">
        <w:rPr>
          <w:rFonts w:ascii="Arial" w:hAnsi="Arial" w:cs="Arial"/>
        </w:rPr>
        <w:t xml:space="preserve"> </w:t>
      </w:r>
      <w:r w:rsidRPr="003E012E">
        <w:rPr>
          <w:rFonts w:ascii="Arial" w:hAnsi="Arial" w:cs="Arial"/>
        </w:rPr>
        <w:t>are provided in Table</w:t>
      </w:r>
      <w:r w:rsidR="00356531" w:rsidRPr="003E012E">
        <w:rPr>
          <w:rFonts w:ascii="Arial" w:hAnsi="Arial" w:cs="Arial"/>
        </w:rPr>
        <w:t> </w:t>
      </w:r>
      <w:r w:rsidRPr="003E012E">
        <w:rPr>
          <w:rFonts w:ascii="Arial" w:hAnsi="Arial" w:cs="Arial"/>
        </w:rPr>
        <w:t>5.</w:t>
      </w:r>
      <w:r w:rsidRPr="003E012E">
        <w:rPr>
          <w:rFonts w:ascii="Arial" w:hAnsi="Arial" w:cs="Arial"/>
          <w:bCs/>
        </w:rPr>
        <w:t xml:space="preserve">  The </w:t>
      </w:r>
      <w:r w:rsidRPr="003E012E">
        <w:rPr>
          <w:rFonts w:ascii="Arial" w:hAnsi="Arial" w:cs="Arial"/>
        </w:rPr>
        <w:t>factors estimate emissions of CO</w:t>
      </w:r>
      <w:r w:rsidRPr="003E012E">
        <w:rPr>
          <w:rFonts w:ascii="Arial" w:hAnsi="Arial" w:cs="Arial"/>
          <w:vertAlign w:val="subscript"/>
        </w:rPr>
        <w:t>2</w:t>
      </w:r>
      <w:r w:rsidRPr="003E012E">
        <w:rPr>
          <w:rFonts w:ascii="Arial" w:hAnsi="Arial" w:cs="Arial"/>
        </w:rPr>
        <w:t>, CH</w:t>
      </w:r>
      <w:r w:rsidRPr="003E012E">
        <w:rPr>
          <w:rFonts w:ascii="Arial" w:hAnsi="Arial" w:cs="Arial"/>
          <w:vertAlign w:val="subscript"/>
        </w:rPr>
        <w:t>4</w:t>
      </w:r>
      <w:r w:rsidRPr="003E012E">
        <w:rPr>
          <w:rFonts w:ascii="Arial" w:hAnsi="Arial" w:cs="Arial"/>
        </w:rPr>
        <w:t xml:space="preserve"> and N</w:t>
      </w:r>
      <w:r w:rsidRPr="003E012E">
        <w:rPr>
          <w:rFonts w:ascii="Arial" w:hAnsi="Arial" w:cs="Arial"/>
          <w:vertAlign w:val="subscript"/>
        </w:rPr>
        <w:t>2</w:t>
      </w:r>
      <w:r w:rsidRPr="003E012E">
        <w:rPr>
          <w:rFonts w:ascii="Arial" w:hAnsi="Arial" w:cs="Arial"/>
        </w:rPr>
        <w:t>O expressed together as carbon dioxide equivalent (CO</w:t>
      </w:r>
      <w:r w:rsidRPr="003E012E">
        <w:rPr>
          <w:rFonts w:ascii="Arial" w:hAnsi="Arial" w:cs="Arial"/>
          <w:vertAlign w:val="subscript"/>
        </w:rPr>
        <w:t>2</w:t>
      </w:r>
      <w:r w:rsidRPr="003E012E">
        <w:rPr>
          <w:rFonts w:ascii="Arial" w:hAnsi="Arial" w:cs="Arial"/>
        </w:rPr>
        <w:t xml:space="preserve">-e).  </w:t>
      </w:r>
      <w:r w:rsidRPr="003E012E">
        <w:rPr>
          <w:rFonts w:ascii="Arial" w:hAnsi="Arial" w:cs="Arial"/>
          <w:bCs/>
        </w:rPr>
        <w:t>The</w:t>
      </w:r>
      <w:r w:rsidRPr="003E012E">
        <w:rPr>
          <w:rFonts w:ascii="Arial" w:hAnsi="Arial" w:cs="Arial"/>
        </w:rPr>
        <w:t xml:space="preserve"> greenhouse gas emissions in tonnes of CO</w:t>
      </w:r>
      <w:r w:rsidRPr="003E012E">
        <w:rPr>
          <w:rFonts w:ascii="Arial" w:hAnsi="Arial" w:cs="Arial"/>
          <w:vertAlign w:val="subscript"/>
        </w:rPr>
        <w:t>2</w:t>
      </w:r>
      <w:r w:rsidRPr="003E012E">
        <w:rPr>
          <w:rFonts w:ascii="Arial" w:hAnsi="Arial" w:cs="Arial"/>
        </w:rPr>
        <w:t>-e attributable to the quantity of electricity used may be calculated with the following equation.</w:t>
      </w:r>
    </w:p>
    <w:p w14:paraId="0B952794" w14:textId="77777777" w:rsidR="00010E2E" w:rsidRPr="003E012E" w:rsidRDefault="00CA4FB8">
      <w:pPr>
        <w:pStyle w:val="Formula"/>
      </w:pPr>
      <w:r>
        <w:rPr>
          <w:position w:val="-24"/>
        </w:rPr>
        <w:pict w14:anchorId="165DCA15">
          <v:shape id="_x0000_i1029" type="#_x0000_t75" style="width:72.75pt;height:30.75pt">
            <v:imagedata r:id="rId32" o:title=""/>
          </v:shape>
        </w:pict>
      </w:r>
    </w:p>
    <w:p w14:paraId="741C0D10" w14:textId="77777777" w:rsidR="00FA1BF9" w:rsidRPr="003E012E" w:rsidRDefault="00FA1BF9">
      <w:pPr>
        <w:pStyle w:val="Rc"/>
        <w:tabs>
          <w:tab w:val="left" w:pos="6240"/>
        </w:tabs>
        <w:rPr>
          <w:rStyle w:val="EquationNoteChar"/>
          <w:rFonts w:ascii="Times New Roman" w:hAnsi="Times New Roman" w:cs="Times New Roman"/>
          <w:sz w:val="22"/>
          <w:szCs w:val="22"/>
        </w:rPr>
      </w:pPr>
    </w:p>
    <w:p w14:paraId="732E16C5" w14:textId="77777777" w:rsidR="00010E2E" w:rsidRPr="003E012E" w:rsidRDefault="00010E2E">
      <w:pPr>
        <w:pStyle w:val="Rc"/>
        <w:tabs>
          <w:tab w:val="left" w:pos="6240"/>
        </w:tabs>
        <w:rPr>
          <w:rStyle w:val="EquationNoteChar"/>
          <w:rFonts w:ascii="Times New Roman" w:hAnsi="Times New Roman" w:cs="Times New Roman"/>
          <w:sz w:val="22"/>
          <w:szCs w:val="22"/>
        </w:rPr>
      </w:pPr>
      <w:r w:rsidRPr="003E012E">
        <w:rPr>
          <w:rStyle w:val="EquationNoteChar"/>
          <w:rFonts w:ascii="Times New Roman" w:hAnsi="Times New Roman" w:cs="Times New Roman"/>
          <w:sz w:val="22"/>
          <w:szCs w:val="22"/>
        </w:rPr>
        <w:t>where:</w:t>
      </w:r>
    </w:p>
    <w:p w14:paraId="4A2C7C6D" w14:textId="77777777" w:rsidR="00010E2E" w:rsidRPr="003E012E" w:rsidRDefault="00010E2E">
      <w:pPr>
        <w:pStyle w:val="definition"/>
        <w:tabs>
          <w:tab w:val="left" w:pos="6240"/>
        </w:tabs>
        <w:rPr>
          <w:sz w:val="22"/>
          <w:szCs w:val="22"/>
        </w:rPr>
      </w:pPr>
      <w:r w:rsidRPr="003E012E">
        <w:rPr>
          <w:b/>
          <w:i/>
          <w:sz w:val="22"/>
          <w:szCs w:val="22"/>
        </w:rPr>
        <w:t>Y</w:t>
      </w:r>
      <w:r w:rsidRPr="003E012E">
        <w:rPr>
          <w:sz w:val="22"/>
          <w:szCs w:val="22"/>
        </w:rPr>
        <w:t xml:space="preserve"> </w:t>
      </w:r>
      <w:r w:rsidRPr="003E012E">
        <w:rPr>
          <w:rStyle w:val="EquationNoteChar"/>
          <w:rFonts w:ascii="Times New Roman" w:hAnsi="Times New Roman" w:cs="Times New Roman"/>
          <w:sz w:val="22"/>
          <w:szCs w:val="22"/>
        </w:rPr>
        <w:t>is the scope 2 emissions measured in CO</w:t>
      </w:r>
      <w:r w:rsidRPr="003E012E">
        <w:rPr>
          <w:rStyle w:val="EquationNoteChar"/>
          <w:rFonts w:ascii="Times New Roman" w:hAnsi="Times New Roman" w:cs="Times New Roman"/>
          <w:sz w:val="22"/>
          <w:szCs w:val="22"/>
          <w:vertAlign w:val="subscript"/>
        </w:rPr>
        <w:t>2-</w:t>
      </w:r>
      <w:r w:rsidRPr="003E012E">
        <w:rPr>
          <w:rStyle w:val="EquationNoteChar"/>
          <w:rFonts w:ascii="Times New Roman" w:hAnsi="Times New Roman" w:cs="Times New Roman"/>
          <w:sz w:val="22"/>
          <w:szCs w:val="22"/>
        </w:rPr>
        <w:t>e tonnes.</w:t>
      </w:r>
    </w:p>
    <w:p w14:paraId="27AE3AFD" w14:textId="77777777" w:rsidR="00010E2E" w:rsidRPr="003E012E" w:rsidRDefault="00010E2E">
      <w:pPr>
        <w:pStyle w:val="definition"/>
        <w:tabs>
          <w:tab w:val="left" w:pos="6240"/>
        </w:tabs>
        <w:rPr>
          <w:sz w:val="22"/>
          <w:szCs w:val="22"/>
        </w:rPr>
      </w:pPr>
      <w:r w:rsidRPr="003E012E">
        <w:rPr>
          <w:b/>
          <w:i/>
          <w:sz w:val="22"/>
          <w:szCs w:val="22"/>
        </w:rPr>
        <w:t>Q</w:t>
      </w:r>
      <w:r w:rsidRPr="003E012E">
        <w:rPr>
          <w:sz w:val="22"/>
          <w:szCs w:val="22"/>
        </w:rPr>
        <w:t xml:space="preserve"> </w:t>
      </w:r>
      <w:r w:rsidRPr="003E012E">
        <w:rPr>
          <w:rStyle w:val="EquationNoteChar"/>
          <w:rFonts w:ascii="Times New Roman" w:hAnsi="Times New Roman" w:cs="Times New Roman"/>
          <w:sz w:val="22"/>
          <w:szCs w:val="22"/>
        </w:rPr>
        <w:t>is the quantity of electricity purchased (kilowatt hours).</w:t>
      </w:r>
    </w:p>
    <w:p w14:paraId="6219CA22" w14:textId="77777777" w:rsidR="00010E2E" w:rsidRPr="003E012E" w:rsidRDefault="00010E2E">
      <w:pPr>
        <w:pStyle w:val="EquationNote"/>
        <w:ind w:left="993" w:firstLine="0"/>
        <w:rPr>
          <w:rFonts w:ascii="Times New Roman" w:hAnsi="Times New Roman" w:cs="Times New Roman"/>
          <w:sz w:val="22"/>
          <w:szCs w:val="22"/>
        </w:rPr>
      </w:pPr>
      <w:r w:rsidRPr="003E012E">
        <w:rPr>
          <w:rFonts w:ascii="Times New Roman" w:hAnsi="Times New Roman" w:cs="Times New Roman"/>
          <w:sz w:val="22"/>
          <w:szCs w:val="22"/>
        </w:rPr>
        <w:t xml:space="preserve">For a company operating an electricity transmission network or distribution network, </w:t>
      </w:r>
      <w:r w:rsidRPr="00AE19F6">
        <w:rPr>
          <w:rFonts w:ascii="Times New Roman" w:hAnsi="Times New Roman" w:cs="Times New Roman"/>
          <w:b/>
          <w:i/>
          <w:sz w:val="22"/>
          <w:szCs w:val="22"/>
        </w:rPr>
        <w:t>Q</w:t>
      </w:r>
      <w:r w:rsidRPr="00AE19F6">
        <w:rPr>
          <w:rFonts w:ascii="Times New Roman" w:hAnsi="Times New Roman" w:cs="Times New Roman"/>
          <w:sz w:val="22"/>
          <w:szCs w:val="22"/>
        </w:rPr>
        <w:t xml:space="preserve"> is the quantity of electricity losses for that transmission network or distribution network during the year</w:t>
      </w:r>
      <w:r w:rsidRPr="003E012E">
        <w:rPr>
          <w:rFonts w:ascii="Times New Roman" w:hAnsi="Times New Roman" w:cs="Times New Roman"/>
          <w:sz w:val="22"/>
          <w:szCs w:val="22"/>
        </w:rPr>
        <w:t>.</w:t>
      </w:r>
    </w:p>
    <w:p w14:paraId="126C6C78" w14:textId="77777777" w:rsidR="00010E2E" w:rsidRPr="003E012E" w:rsidRDefault="00010E2E">
      <w:pPr>
        <w:pStyle w:val="EquationNote"/>
        <w:ind w:left="993" w:firstLine="0"/>
        <w:rPr>
          <w:rFonts w:ascii="Times New Roman" w:hAnsi="Times New Roman" w:cs="Times New Roman"/>
          <w:sz w:val="22"/>
          <w:szCs w:val="22"/>
        </w:rPr>
      </w:pPr>
      <w:r w:rsidRPr="003E012E">
        <w:rPr>
          <w:rFonts w:ascii="Times New Roman" w:hAnsi="Times New Roman" w:cs="Times New Roman"/>
          <w:sz w:val="22"/>
          <w:szCs w:val="22"/>
        </w:rPr>
        <w:t xml:space="preserve">For </w:t>
      </w:r>
      <w:r w:rsidRPr="003E012E">
        <w:rPr>
          <w:rFonts w:ascii="Times New Roman" w:hAnsi="Times New Roman" w:cs="Times New Roman"/>
          <w:b/>
          <w:i/>
          <w:sz w:val="22"/>
          <w:szCs w:val="22"/>
        </w:rPr>
        <w:t>Q</w:t>
      </w:r>
      <w:r w:rsidRPr="003E012E">
        <w:rPr>
          <w:rFonts w:ascii="Times New Roman" w:hAnsi="Times New Roman" w:cs="Times New Roman"/>
          <w:sz w:val="22"/>
          <w:szCs w:val="22"/>
        </w:rPr>
        <w:t>, if the electricity purchased is measured in gigajoules, the quantity of kilowatt hours must be calculated by dividing the amount of gigajoules by 0.0036.</w:t>
      </w:r>
    </w:p>
    <w:p w14:paraId="648A0392" w14:textId="77777777" w:rsidR="00010E2E" w:rsidRPr="00F122D0" w:rsidRDefault="00010E2E">
      <w:pPr>
        <w:pStyle w:val="definition"/>
        <w:tabs>
          <w:tab w:val="left" w:pos="6240"/>
        </w:tabs>
        <w:rPr>
          <w:rStyle w:val="EquationNoteChar"/>
          <w:rFonts w:ascii="Times New Roman" w:hAnsi="Times New Roman" w:cs="Times New Roman"/>
          <w:sz w:val="22"/>
          <w:szCs w:val="22"/>
        </w:rPr>
      </w:pPr>
      <w:r w:rsidRPr="00F122D0">
        <w:rPr>
          <w:b/>
          <w:i/>
          <w:sz w:val="22"/>
          <w:szCs w:val="22"/>
        </w:rPr>
        <w:t>EF</w:t>
      </w:r>
      <w:r w:rsidRPr="00F122D0">
        <w:rPr>
          <w:sz w:val="22"/>
          <w:szCs w:val="22"/>
        </w:rPr>
        <w:t xml:space="preserve"> </w:t>
      </w:r>
      <w:r w:rsidRPr="00F122D0">
        <w:rPr>
          <w:rStyle w:val="EquationNoteChar"/>
          <w:rFonts w:ascii="Times New Roman" w:hAnsi="Times New Roman" w:cs="Times New Roman"/>
          <w:sz w:val="22"/>
          <w:szCs w:val="22"/>
        </w:rPr>
        <w:t>is the scope 2 emission factor, for the State, Territory or electricity grid in which the consumption occurs (kg CO</w:t>
      </w:r>
      <w:r w:rsidRPr="00F122D0">
        <w:rPr>
          <w:rStyle w:val="EquationNoteChar"/>
          <w:rFonts w:ascii="Times New Roman" w:hAnsi="Times New Roman" w:cs="Times New Roman"/>
          <w:sz w:val="22"/>
          <w:szCs w:val="22"/>
          <w:vertAlign w:val="subscript"/>
        </w:rPr>
        <w:t>2</w:t>
      </w:r>
      <w:r w:rsidRPr="00F122D0">
        <w:rPr>
          <w:rStyle w:val="EquationNoteChar"/>
          <w:rFonts w:ascii="Times New Roman" w:hAnsi="Times New Roman" w:cs="Times New Roman"/>
          <w:sz w:val="22"/>
          <w:szCs w:val="22"/>
        </w:rPr>
        <w:noBreakHyphen/>
        <w:t xml:space="preserve">e per kilowatt hour). </w:t>
      </w:r>
      <w:r w:rsidR="005C0140" w:rsidRPr="00F122D0">
        <w:rPr>
          <w:rStyle w:val="EquationNoteChar"/>
          <w:rFonts w:ascii="Times New Roman" w:hAnsi="Times New Roman" w:cs="Times New Roman"/>
          <w:sz w:val="22"/>
          <w:szCs w:val="22"/>
        </w:rPr>
        <w:t xml:space="preserve">If the electricity is not sourced from </w:t>
      </w:r>
      <w:r w:rsidR="00793CBD" w:rsidRPr="00F122D0">
        <w:rPr>
          <w:rStyle w:val="EquationNoteChar"/>
          <w:rFonts w:ascii="Times New Roman" w:hAnsi="Times New Roman" w:cs="Times New Roman"/>
          <w:sz w:val="22"/>
          <w:szCs w:val="22"/>
        </w:rPr>
        <w:t>a listed</w:t>
      </w:r>
      <w:r w:rsidR="005C0140" w:rsidRPr="00F122D0">
        <w:rPr>
          <w:rStyle w:val="EquationNoteChar"/>
          <w:rFonts w:ascii="Times New Roman" w:hAnsi="Times New Roman" w:cs="Times New Roman"/>
          <w:sz w:val="22"/>
          <w:szCs w:val="22"/>
        </w:rPr>
        <w:t xml:space="preserve"> electricity grid the emission factor can be either provided by the supplier of the electricity or, if that factor is not available, the emission factor for the Northern Territory may be used.</w:t>
      </w:r>
    </w:p>
    <w:p w14:paraId="1DB7D8EC" w14:textId="77777777" w:rsidR="00010E2E" w:rsidRPr="00F122D0" w:rsidRDefault="00010E2E"/>
    <w:p w14:paraId="3109AA41" w14:textId="565D8E88" w:rsidR="00010E2E" w:rsidRPr="00F122D0" w:rsidRDefault="00010E2E" w:rsidP="00C23E3B">
      <w:pPr>
        <w:pStyle w:val="Caption"/>
      </w:pPr>
      <w:bookmarkStart w:id="49" w:name="_Toc391646691"/>
      <w:bookmarkStart w:id="50" w:name="_Toc485728113"/>
      <w:r w:rsidRPr="00F122D0">
        <w:t xml:space="preserve">Table </w:t>
      </w:r>
      <w:r w:rsidR="00DC52E0" w:rsidRPr="00F122D0">
        <w:fldChar w:fldCharType="begin"/>
      </w:r>
      <w:r w:rsidR="00B80F09" w:rsidRPr="00F122D0">
        <w:instrText xml:space="preserve"> SEQ Table \* ARABIC </w:instrText>
      </w:r>
      <w:r w:rsidR="00DC52E0" w:rsidRPr="00F122D0">
        <w:fldChar w:fldCharType="separate"/>
      </w:r>
      <w:r w:rsidR="004A1330">
        <w:rPr>
          <w:noProof/>
        </w:rPr>
        <w:t>5</w:t>
      </w:r>
      <w:r w:rsidR="00DC52E0" w:rsidRPr="00F122D0">
        <w:fldChar w:fldCharType="end"/>
      </w:r>
      <w:r w:rsidR="00A855E9">
        <w:t xml:space="preserve"> </w:t>
      </w:r>
      <w:r w:rsidR="00A7737B" w:rsidRPr="00F122D0">
        <w:t>:</w:t>
      </w:r>
      <w:r w:rsidR="00B80F09" w:rsidRPr="00F122D0">
        <w:t xml:space="preserve"> Indirect (scope 2) emission factors</w:t>
      </w:r>
      <w:r w:rsidRPr="00F122D0">
        <w:t xml:space="preserve"> for consumption of purchased electricity </w:t>
      </w:r>
      <w:r w:rsidR="0020202E" w:rsidRPr="00AE19F6">
        <w:t>or loss of electricity</w:t>
      </w:r>
      <w:r w:rsidR="0020202E">
        <w:t xml:space="preserve"> </w:t>
      </w:r>
      <w:r w:rsidRPr="00F122D0">
        <w:t>from the grid</w:t>
      </w:r>
      <w:bookmarkEnd w:id="49"/>
      <w:bookmarkEnd w:id="50"/>
      <w:r w:rsidR="008940EC" w:rsidRPr="00F122D0">
        <w:t xml:space="preserve"> </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5"/>
        <w:gridCol w:w="2741"/>
      </w:tblGrid>
      <w:tr w:rsidR="00010E2E" w:rsidRPr="00F122D0" w14:paraId="3C250F83" w14:textId="77777777" w:rsidTr="003E012E">
        <w:trPr>
          <w:cantSplit/>
          <w:tblHeader/>
        </w:trPr>
        <w:tc>
          <w:tcPr>
            <w:tcW w:w="5765" w:type="dxa"/>
            <w:shd w:val="clear" w:color="auto" w:fill="D9D9D9"/>
            <w:vAlign w:val="center"/>
          </w:tcPr>
          <w:p w14:paraId="5AD55541" w14:textId="77777777" w:rsidR="00010E2E" w:rsidRPr="00F122D0" w:rsidRDefault="00010E2E" w:rsidP="00382DF3">
            <w:pPr>
              <w:pStyle w:val="TableCentre"/>
              <w:rPr>
                <w:rStyle w:val="Strong"/>
                <w:rFonts w:cs="Arial"/>
                <w:szCs w:val="16"/>
              </w:rPr>
            </w:pPr>
            <w:r w:rsidRPr="00F122D0">
              <w:rPr>
                <w:rStyle w:val="Strong"/>
                <w:rFonts w:cs="Arial"/>
                <w:szCs w:val="16"/>
              </w:rPr>
              <w:t>State</w:t>
            </w:r>
            <w:r w:rsidR="00211919" w:rsidRPr="00F122D0">
              <w:rPr>
                <w:rStyle w:val="Strong"/>
                <w:rFonts w:cs="Arial"/>
                <w:szCs w:val="16"/>
              </w:rPr>
              <w:t xml:space="preserve"> or</w:t>
            </w:r>
            <w:r w:rsidRPr="00F122D0">
              <w:rPr>
                <w:rStyle w:val="Strong"/>
                <w:rFonts w:cs="Arial"/>
                <w:szCs w:val="16"/>
              </w:rPr>
              <w:t xml:space="preserve"> Territory </w:t>
            </w:r>
          </w:p>
        </w:tc>
        <w:tc>
          <w:tcPr>
            <w:tcW w:w="2741" w:type="dxa"/>
            <w:shd w:val="clear" w:color="auto" w:fill="D9D9D9"/>
            <w:vAlign w:val="center"/>
          </w:tcPr>
          <w:p w14:paraId="4534900E" w14:textId="77777777" w:rsidR="00010E2E" w:rsidRPr="00F122D0" w:rsidRDefault="00010E2E" w:rsidP="00382DF3">
            <w:pPr>
              <w:pStyle w:val="Heading1Like"/>
              <w:spacing w:before="60" w:after="0"/>
              <w:jc w:val="center"/>
              <w:rPr>
                <w:rFonts w:ascii="Arial" w:hAnsi="Arial"/>
                <w:sz w:val="16"/>
                <w:szCs w:val="16"/>
              </w:rPr>
            </w:pPr>
            <w:r w:rsidRPr="00F122D0">
              <w:rPr>
                <w:rFonts w:ascii="Arial" w:hAnsi="Arial"/>
                <w:caps w:val="0"/>
                <w:sz w:val="16"/>
                <w:szCs w:val="16"/>
              </w:rPr>
              <w:t>Emission factor</w:t>
            </w:r>
          </w:p>
          <w:p w14:paraId="0C874314" w14:textId="77777777" w:rsidR="00010E2E" w:rsidRPr="00F122D0" w:rsidRDefault="00010E2E" w:rsidP="00382DF3">
            <w:pPr>
              <w:pStyle w:val="Heading1Like"/>
              <w:spacing w:before="60" w:after="60"/>
              <w:jc w:val="center"/>
              <w:rPr>
                <w:rFonts w:ascii="Arial" w:hAnsi="Arial"/>
                <w:caps w:val="0"/>
                <w:sz w:val="16"/>
                <w:szCs w:val="16"/>
              </w:rPr>
            </w:pPr>
            <w:r w:rsidRPr="00F122D0">
              <w:rPr>
                <w:rFonts w:ascii="Arial" w:hAnsi="Arial"/>
                <w:caps w:val="0"/>
                <w:sz w:val="16"/>
                <w:szCs w:val="16"/>
              </w:rPr>
              <w:t>kg CO</w:t>
            </w:r>
            <w:r w:rsidRPr="00F122D0">
              <w:rPr>
                <w:rFonts w:ascii="Arial" w:hAnsi="Arial"/>
                <w:caps w:val="0"/>
                <w:sz w:val="16"/>
                <w:szCs w:val="16"/>
                <w:vertAlign w:val="subscript"/>
              </w:rPr>
              <w:t>2</w:t>
            </w:r>
            <w:r w:rsidRPr="00F122D0">
              <w:rPr>
                <w:rFonts w:ascii="Arial" w:hAnsi="Arial"/>
                <w:caps w:val="0"/>
                <w:sz w:val="16"/>
                <w:szCs w:val="16"/>
              </w:rPr>
              <w:noBreakHyphen/>
              <w:t>e/kWh</w:t>
            </w:r>
          </w:p>
        </w:tc>
      </w:tr>
      <w:tr w:rsidR="00010E2E" w:rsidRPr="00F122D0" w14:paraId="6010FC13" w14:textId="77777777" w:rsidTr="003E012E">
        <w:trPr>
          <w:cantSplit/>
        </w:trPr>
        <w:tc>
          <w:tcPr>
            <w:tcW w:w="5765" w:type="dxa"/>
          </w:tcPr>
          <w:p w14:paraId="74D0E5BC" w14:textId="77777777" w:rsidR="00010E2E" w:rsidRPr="00F122D0" w:rsidRDefault="00010E2E">
            <w:pPr>
              <w:pStyle w:val="TableCentre"/>
              <w:jc w:val="left"/>
              <w:rPr>
                <w:snapToGrid w:val="0"/>
              </w:rPr>
            </w:pPr>
            <w:r w:rsidRPr="00F122D0">
              <w:rPr>
                <w:snapToGrid w:val="0"/>
              </w:rPr>
              <w:t>New South Wales and Australian Capital Territory</w:t>
            </w:r>
          </w:p>
        </w:tc>
        <w:tc>
          <w:tcPr>
            <w:tcW w:w="2741" w:type="dxa"/>
          </w:tcPr>
          <w:p w14:paraId="0D0A52A3" w14:textId="65BE835C" w:rsidR="00010E2E" w:rsidRPr="00F122D0" w:rsidRDefault="00D87633" w:rsidP="00545FE2">
            <w:pPr>
              <w:pStyle w:val="TableCentre"/>
              <w:rPr>
                <w:snapToGrid w:val="0"/>
                <w:szCs w:val="16"/>
              </w:rPr>
            </w:pPr>
            <w:r w:rsidRPr="00F122D0">
              <w:rPr>
                <w:snapToGrid w:val="0"/>
                <w:szCs w:val="16"/>
              </w:rPr>
              <w:t>0.</w:t>
            </w:r>
            <w:r w:rsidR="00E16369">
              <w:rPr>
                <w:snapToGrid w:val="0"/>
                <w:szCs w:val="16"/>
              </w:rPr>
              <w:t>8</w:t>
            </w:r>
            <w:r w:rsidR="00264FBD">
              <w:rPr>
                <w:snapToGrid w:val="0"/>
                <w:szCs w:val="16"/>
              </w:rPr>
              <w:t>3</w:t>
            </w:r>
          </w:p>
        </w:tc>
      </w:tr>
      <w:tr w:rsidR="00010E2E" w:rsidRPr="00F122D0" w14:paraId="26E7C81A" w14:textId="77777777" w:rsidTr="003E012E">
        <w:trPr>
          <w:cantSplit/>
        </w:trPr>
        <w:tc>
          <w:tcPr>
            <w:tcW w:w="5765" w:type="dxa"/>
          </w:tcPr>
          <w:p w14:paraId="06A33BF9" w14:textId="77777777" w:rsidR="00010E2E" w:rsidRPr="00F122D0" w:rsidRDefault="00010E2E">
            <w:pPr>
              <w:pStyle w:val="TableCentre"/>
              <w:jc w:val="left"/>
              <w:rPr>
                <w:snapToGrid w:val="0"/>
              </w:rPr>
            </w:pPr>
            <w:r w:rsidRPr="00F122D0">
              <w:rPr>
                <w:snapToGrid w:val="0"/>
              </w:rPr>
              <w:t>Victoria</w:t>
            </w:r>
          </w:p>
        </w:tc>
        <w:tc>
          <w:tcPr>
            <w:tcW w:w="2741" w:type="dxa"/>
          </w:tcPr>
          <w:p w14:paraId="3F40757B" w14:textId="2FB1DD76" w:rsidR="00010E2E" w:rsidRPr="00F122D0" w:rsidRDefault="003F7415" w:rsidP="00545FE2">
            <w:pPr>
              <w:pStyle w:val="TableCentre"/>
              <w:rPr>
                <w:snapToGrid w:val="0"/>
                <w:szCs w:val="16"/>
              </w:rPr>
            </w:pPr>
            <w:r>
              <w:rPr>
                <w:snapToGrid w:val="0"/>
                <w:szCs w:val="16"/>
              </w:rPr>
              <w:t>1</w:t>
            </w:r>
            <w:r w:rsidR="00E16369">
              <w:rPr>
                <w:snapToGrid w:val="0"/>
                <w:szCs w:val="16"/>
              </w:rPr>
              <w:t>.08</w:t>
            </w:r>
          </w:p>
        </w:tc>
      </w:tr>
      <w:tr w:rsidR="00010E2E" w:rsidRPr="00F122D0" w14:paraId="50ECE75D" w14:textId="77777777" w:rsidTr="003E012E">
        <w:trPr>
          <w:cantSplit/>
        </w:trPr>
        <w:tc>
          <w:tcPr>
            <w:tcW w:w="5765" w:type="dxa"/>
          </w:tcPr>
          <w:p w14:paraId="24F44DD0" w14:textId="77777777" w:rsidR="00010E2E" w:rsidRPr="00F122D0" w:rsidRDefault="00010E2E">
            <w:pPr>
              <w:pStyle w:val="TableCentre"/>
              <w:jc w:val="left"/>
              <w:rPr>
                <w:snapToGrid w:val="0"/>
              </w:rPr>
            </w:pPr>
            <w:r w:rsidRPr="00F122D0">
              <w:rPr>
                <w:snapToGrid w:val="0"/>
              </w:rPr>
              <w:t>Queensland</w:t>
            </w:r>
          </w:p>
        </w:tc>
        <w:tc>
          <w:tcPr>
            <w:tcW w:w="2741" w:type="dxa"/>
          </w:tcPr>
          <w:p w14:paraId="4B59D929" w14:textId="1EDDD0DD" w:rsidR="00010E2E" w:rsidRPr="00F122D0" w:rsidRDefault="00D87633" w:rsidP="00545FE2">
            <w:pPr>
              <w:pStyle w:val="TableCentre"/>
              <w:rPr>
                <w:snapToGrid w:val="0"/>
                <w:szCs w:val="16"/>
              </w:rPr>
            </w:pPr>
            <w:r w:rsidRPr="00F122D0">
              <w:rPr>
                <w:snapToGrid w:val="0"/>
                <w:szCs w:val="16"/>
              </w:rPr>
              <w:t>0.</w:t>
            </w:r>
            <w:r w:rsidR="00E16369">
              <w:rPr>
                <w:snapToGrid w:val="0"/>
                <w:szCs w:val="16"/>
              </w:rPr>
              <w:t>79</w:t>
            </w:r>
          </w:p>
        </w:tc>
      </w:tr>
      <w:tr w:rsidR="00010E2E" w:rsidRPr="00F122D0" w14:paraId="24465366" w14:textId="77777777" w:rsidTr="003E012E">
        <w:trPr>
          <w:cantSplit/>
        </w:trPr>
        <w:tc>
          <w:tcPr>
            <w:tcW w:w="5765" w:type="dxa"/>
          </w:tcPr>
          <w:p w14:paraId="2B74C316" w14:textId="77777777" w:rsidR="00010E2E" w:rsidRPr="00F122D0" w:rsidRDefault="00010E2E">
            <w:pPr>
              <w:pStyle w:val="TableCentre"/>
              <w:jc w:val="left"/>
              <w:rPr>
                <w:snapToGrid w:val="0"/>
              </w:rPr>
            </w:pPr>
            <w:r w:rsidRPr="00F122D0">
              <w:rPr>
                <w:snapToGrid w:val="0"/>
              </w:rPr>
              <w:t>South Australia</w:t>
            </w:r>
          </w:p>
        </w:tc>
        <w:tc>
          <w:tcPr>
            <w:tcW w:w="2741" w:type="dxa"/>
          </w:tcPr>
          <w:p w14:paraId="396CF6D6" w14:textId="7BA08D0E" w:rsidR="00010E2E" w:rsidRPr="00F122D0" w:rsidRDefault="00C8110B" w:rsidP="00545FE2">
            <w:pPr>
              <w:pStyle w:val="TableCentre"/>
              <w:rPr>
                <w:snapToGrid w:val="0"/>
                <w:szCs w:val="16"/>
              </w:rPr>
            </w:pPr>
            <w:r w:rsidRPr="00F122D0">
              <w:rPr>
                <w:snapToGrid w:val="0"/>
                <w:szCs w:val="16"/>
              </w:rPr>
              <w:t>0.</w:t>
            </w:r>
            <w:r w:rsidR="00E16369">
              <w:rPr>
                <w:snapToGrid w:val="0"/>
                <w:szCs w:val="16"/>
              </w:rPr>
              <w:t>49</w:t>
            </w:r>
          </w:p>
        </w:tc>
      </w:tr>
      <w:tr w:rsidR="00010E2E" w:rsidRPr="00F122D0" w14:paraId="46E51E13" w14:textId="77777777" w:rsidTr="003E012E">
        <w:trPr>
          <w:cantSplit/>
        </w:trPr>
        <w:tc>
          <w:tcPr>
            <w:tcW w:w="5765" w:type="dxa"/>
          </w:tcPr>
          <w:p w14:paraId="38FA39DC" w14:textId="77777777" w:rsidR="00010E2E" w:rsidRPr="00F122D0" w:rsidRDefault="00010E2E">
            <w:pPr>
              <w:pStyle w:val="TableCentre"/>
              <w:jc w:val="left"/>
              <w:rPr>
                <w:snapToGrid w:val="0"/>
              </w:rPr>
            </w:pPr>
            <w:r w:rsidRPr="00F122D0">
              <w:rPr>
                <w:snapToGrid w:val="0"/>
              </w:rPr>
              <w:t xml:space="preserve">South West Interconnected System </w:t>
            </w:r>
            <w:r w:rsidR="008269C8" w:rsidRPr="00F122D0">
              <w:rPr>
                <w:snapToGrid w:val="0"/>
              </w:rPr>
              <w:t xml:space="preserve">(SWIS) </w:t>
            </w:r>
            <w:r w:rsidRPr="00F122D0">
              <w:rPr>
                <w:snapToGrid w:val="0"/>
              </w:rPr>
              <w:t>in Western Australia</w:t>
            </w:r>
          </w:p>
        </w:tc>
        <w:tc>
          <w:tcPr>
            <w:tcW w:w="2741" w:type="dxa"/>
          </w:tcPr>
          <w:p w14:paraId="728A8389" w14:textId="76301822" w:rsidR="00010E2E" w:rsidRPr="00F122D0" w:rsidRDefault="00C8110B" w:rsidP="00545FE2">
            <w:pPr>
              <w:pStyle w:val="TableCentre"/>
              <w:rPr>
                <w:snapToGrid w:val="0"/>
                <w:szCs w:val="16"/>
              </w:rPr>
            </w:pPr>
            <w:r w:rsidRPr="00F122D0">
              <w:rPr>
                <w:snapToGrid w:val="0"/>
                <w:szCs w:val="16"/>
              </w:rPr>
              <w:t>0.</w:t>
            </w:r>
            <w:r w:rsidR="00E16369">
              <w:rPr>
                <w:snapToGrid w:val="0"/>
                <w:szCs w:val="16"/>
              </w:rPr>
              <w:t>70</w:t>
            </w:r>
          </w:p>
        </w:tc>
      </w:tr>
      <w:tr w:rsidR="0001203F" w:rsidRPr="00F122D0" w14:paraId="32C705EC" w14:textId="77777777" w:rsidTr="003E012E">
        <w:trPr>
          <w:cantSplit/>
        </w:trPr>
        <w:tc>
          <w:tcPr>
            <w:tcW w:w="5765" w:type="dxa"/>
          </w:tcPr>
          <w:p w14:paraId="5EBF89C1" w14:textId="77777777" w:rsidR="0001203F" w:rsidRPr="00F122D0" w:rsidRDefault="0001203F">
            <w:pPr>
              <w:pStyle w:val="TableCentre"/>
              <w:jc w:val="left"/>
              <w:rPr>
                <w:snapToGrid w:val="0"/>
              </w:rPr>
            </w:pPr>
            <w:r w:rsidRPr="00F122D0">
              <w:rPr>
                <w:snapToGrid w:val="0"/>
              </w:rPr>
              <w:t>North Western Interconnected System (NWIS) in Western Australia</w:t>
            </w:r>
          </w:p>
        </w:tc>
        <w:tc>
          <w:tcPr>
            <w:tcW w:w="2741" w:type="dxa"/>
          </w:tcPr>
          <w:p w14:paraId="75149C8F" w14:textId="51DA3622" w:rsidR="0001203F" w:rsidRPr="00F122D0" w:rsidRDefault="0001203F" w:rsidP="00545FE2">
            <w:pPr>
              <w:pStyle w:val="TableCentre"/>
              <w:rPr>
                <w:snapToGrid w:val="0"/>
                <w:szCs w:val="16"/>
              </w:rPr>
            </w:pPr>
            <w:r w:rsidRPr="00F122D0">
              <w:rPr>
                <w:snapToGrid w:val="0"/>
                <w:szCs w:val="16"/>
              </w:rPr>
              <w:t>0.</w:t>
            </w:r>
            <w:r w:rsidR="00011076">
              <w:rPr>
                <w:snapToGrid w:val="0"/>
                <w:szCs w:val="16"/>
              </w:rPr>
              <w:t>62</w:t>
            </w:r>
          </w:p>
        </w:tc>
      </w:tr>
      <w:tr w:rsidR="0001203F" w:rsidRPr="00F122D0" w14:paraId="366E0982" w14:textId="77777777" w:rsidTr="003E012E">
        <w:trPr>
          <w:cantSplit/>
        </w:trPr>
        <w:tc>
          <w:tcPr>
            <w:tcW w:w="5765" w:type="dxa"/>
          </w:tcPr>
          <w:p w14:paraId="183AFED6" w14:textId="77777777" w:rsidR="0001203F" w:rsidRPr="00F122D0" w:rsidRDefault="0001203F">
            <w:pPr>
              <w:pStyle w:val="TableCentre"/>
              <w:jc w:val="left"/>
              <w:rPr>
                <w:snapToGrid w:val="0"/>
              </w:rPr>
            </w:pPr>
            <w:r w:rsidRPr="00F122D0">
              <w:rPr>
                <w:snapToGrid w:val="0"/>
              </w:rPr>
              <w:t>Darwin Katherine Interconnected System (DKIS) in the Northern Territory</w:t>
            </w:r>
          </w:p>
        </w:tc>
        <w:tc>
          <w:tcPr>
            <w:tcW w:w="2741" w:type="dxa"/>
          </w:tcPr>
          <w:p w14:paraId="2A4F11E3" w14:textId="3B5B9A4E" w:rsidR="0001203F" w:rsidRPr="00F122D0" w:rsidRDefault="0001203F" w:rsidP="00545FE2">
            <w:pPr>
              <w:pStyle w:val="TableCentre"/>
              <w:rPr>
                <w:snapToGrid w:val="0"/>
                <w:szCs w:val="16"/>
              </w:rPr>
            </w:pPr>
            <w:r w:rsidRPr="00F122D0">
              <w:rPr>
                <w:snapToGrid w:val="0"/>
                <w:szCs w:val="16"/>
              </w:rPr>
              <w:t>0.5</w:t>
            </w:r>
            <w:r w:rsidR="00011076">
              <w:rPr>
                <w:snapToGrid w:val="0"/>
                <w:szCs w:val="16"/>
              </w:rPr>
              <w:t>9</w:t>
            </w:r>
          </w:p>
        </w:tc>
      </w:tr>
      <w:tr w:rsidR="00010E2E" w:rsidRPr="00F122D0" w14:paraId="094ADF43" w14:textId="77777777" w:rsidTr="003E012E">
        <w:trPr>
          <w:cantSplit/>
        </w:trPr>
        <w:tc>
          <w:tcPr>
            <w:tcW w:w="5765" w:type="dxa"/>
          </w:tcPr>
          <w:p w14:paraId="366F841D" w14:textId="77777777" w:rsidR="00010E2E" w:rsidRPr="00F122D0" w:rsidRDefault="00010E2E">
            <w:pPr>
              <w:pStyle w:val="TableCentre"/>
              <w:jc w:val="left"/>
              <w:rPr>
                <w:snapToGrid w:val="0"/>
              </w:rPr>
            </w:pPr>
            <w:r w:rsidRPr="00F122D0">
              <w:rPr>
                <w:snapToGrid w:val="0"/>
              </w:rPr>
              <w:t>Tasmania</w:t>
            </w:r>
          </w:p>
        </w:tc>
        <w:tc>
          <w:tcPr>
            <w:tcW w:w="2741" w:type="dxa"/>
          </w:tcPr>
          <w:p w14:paraId="6F2C15BD" w14:textId="443B8804" w:rsidR="00010E2E" w:rsidRPr="00F122D0" w:rsidRDefault="007C0D02" w:rsidP="00545FE2">
            <w:pPr>
              <w:pStyle w:val="TableCentre"/>
              <w:rPr>
                <w:snapToGrid w:val="0"/>
                <w:szCs w:val="16"/>
              </w:rPr>
            </w:pPr>
            <w:r w:rsidRPr="00F122D0">
              <w:rPr>
                <w:snapToGrid w:val="0"/>
                <w:szCs w:val="16"/>
              </w:rPr>
              <w:t>0.</w:t>
            </w:r>
            <w:r w:rsidR="00E16369">
              <w:rPr>
                <w:snapToGrid w:val="0"/>
                <w:szCs w:val="16"/>
              </w:rPr>
              <w:t>14</w:t>
            </w:r>
          </w:p>
        </w:tc>
      </w:tr>
      <w:tr w:rsidR="00010E2E" w:rsidRPr="00F122D0" w14:paraId="63557F27" w14:textId="77777777" w:rsidTr="003E012E">
        <w:trPr>
          <w:cantSplit/>
        </w:trPr>
        <w:tc>
          <w:tcPr>
            <w:tcW w:w="5765" w:type="dxa"/>
          </w:tcPr>
          <w:p w14:paraId="1863BA86" w14:textId="77777777" w:rsidR="00010E2E" w:rsidRPr="00F122D0" w:rsidRDefault="00010E2E">
            <w:pPr>
              <w:pStyle w:val="TableCentre"/>
              <w:jc w:val="left"/>
              <w:rPr>
                <w:snapToGrid w:val="0"/>
              </w:rPr>
            </w:pPr>
            <w:r w:rsidRPr="00F122D0">
              <w:rPr>
                <w:snapToGrid w:val="0"/>
              </w:rPr>
              <w:t>Northern Territory</w:t>
            </w:r>
          </w:p>
        </w:tc>
        <w:tc>
          <w:tcPr>
            <w:tcW w:w="2741" w:type="dxa"/>
          </w:tcPr>
          <w:p w14:paraId="44F76E76" w14:textId="693E9FEE" w:rsidR="00010E2E" w:rsidRPr="00F122D0" w:rsidRDefault="00C8110B" w:rsidP="00545FE2">
            <w:pPr>
              <w:pStyle w:val="TableCentre"/>
              <w:rPr>
                <w:snapToGrid w:val="0"/>
                <w:szCs w:val="16"/>
              </w:rPr>
            </w:pPr>
            <w:r w:rsidRPr="00F122D0">
              <w:rPr>
                <w:snapToGrid w:val="0"/>
                <w:szCs w:val="16"/>
              </w:rPr>
              <w:t>0.</w:t>
            </w:r>
            <w:r w:rsidR="00E16369">
              <w:rPr>
                <w:snapToGrid w:val="0"/>
                <w:szCs w:val="16"/>
              </w:rPr>
              <w:t>64</w:t>
            </w:r>
          </w:p>
        </w:tc>
      </w:tr>
    </w:tbl>
    <w:p w14:paraId="61FBF6A6" w14:textId="06AA64C5" w:rsidR="0020202E" w:rsidRDefault="00010E2E" w:rsidP="00AB1F26">
      <w:pPr>
        <w:pStyle w:val="TableNote"/>
        <w:spacing w:before="60"/>
      </w:pPr>
      <w:r w:rsidRPr="00F122D0">
        <w:t>Source</w:t>
      </w:r>
      <w:r w:rsidR="00AB1F26" w:rsidRPr="00F122D0">
        <w:t>s</w:t>
      </w:r>
      <w:r w:rsidRPr="00F122D0">
        <w:t>: National Greenhouse and Energy Reporting (Measurement) Determination 2008 (Schedule 1)</w:t>
      </w:r>
      <w:r w:rsidR="00AB1F26" w:rsidRPr="00F122D0">
        <w:t xml:space="preserve"> </w:t>
      </w:r>
      <w:r w:rsidR="00AD4C9E" w:rsidRPr="00F122D0">
        <w:t>and Department of the Environment</w:t>
      </w:r>
      <w:r w:rsidR="000873D9">
        <w:t xml:space="preserve"> and Energy</w:t>
      </w:r>
      <w:r w:rsidR="00AD4C9E" w:rsidRPr="00F122D0">
        <w:t>.</w:t>
      </w:r>
    </w:p>
    <w:p w14:paraId="51E89E20" w14:textId="77777777" w:rsidR="0020202E" w:rsidRDefault="0020202E">
      <w:pPr>
        <w:ind w:left="0"/>
        <w:rPr>
          <w:rFonts w:ascii="Arial" w:hAnsi="Arial" w:cs="Arial"/>
          <w:sz w:val="16"/>
        </w:rPr>
      </w:pPr>
      <w:r>
        <w:br w:type="page"/>
      </w:r>
    </w:p>
    <w:p w14:paraId="3A37B869" w14:textId="77777777" w:rsidR="00AB1F26" w:rsidRPr="00F122D0" w:rsidRDefault="00AB1F26" w:rsidP="00AB1F26">
      <w:pPr>
        <w:pStyle w:val="TableNote"/>
        <w:spacing w:before="60"/>
      </w:pPr>
    </w:p>
    <w:p w14:paraId="1A322555" w14:textId="77777777" w:rsidR="00010E2E" w:rsidRPr="003E01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b/>
          <w:bCs/>
        </w:rPr>
      </w:pPr>
      <w:r w:rsidRPr="003E012E">
        <w:rPr>
          <w:rFonts w:ascii="Arial" w:hAnsi="Arial" w:cs="Arial"/>
          <w:b/>
          <w:bCs/>
        </w:rPr>
        <w:t xml:space="preserve">Example: </w:t>
      </w:r>
      <w:r w:rsidRPr="003E012E">
        <w:rPr>
          <w:rFonts w:ascii="Arial" w:hAnsi="Arial" w:cs="Arial"/>
          <w:b/>
        </w:rPr>
        <w:t>calculation of emissions from electricity consumption</w:t>
      </w:r>
    </w:p>
    <w:p w14:paraId="10CEFE5B" w14:textId="77777777" w:rsidR="00010E2E" w:rsidRPr="003E01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sidRPr="003E012E">
        <w:rPr>
          <w:rFonts w:ascii="Arial" w:hAnsi="Arial" w:cs="Arial"/>
        </w:rPr>
        <w:t>A company in New South Wales consumes 100,000 kWh of purchased electricity from the grid.</w:t>
      </w:r>
    </w:p>
    <w:p w14:paraId="70009FAE" w14:textId="77777777" w:rsidR="00010E2E" w:rsidRPr="003E01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sidRPr="003E012E">
        <w:rPr>
          <w:rFonts w:ascii="Arial" w:hAnsi="Arial" w:cs="Arial"/>
        </w:rPr>
        <w:t>Emissions of greenhouse gases (scope 2) in tonnes of CO</w:t>
      </w:r>
      <w:r w:rsidRPr="003E012E">
        <w:rPr>
          <w:rFonts w:ascii="Arial" w:hAnsi="Arial" w:cs="Arial"/>
          <w:vertAlign w:val="subscript"/>
        </w:rPr>
        <w:t>2</w:t>
      </w:r>
      <w:r w:rsidRPr="003E012E">
        <w:rPr>
          <w:rFonts w:ascii="Arial" w:hAnsi="Arial" w:cs="Arial"/>
        </w:rPr>
        <w:t xml:space="preserve">-e are estimated as follows: </w:t>
      </w:r>
    </w:p>
    <w:p w14:paraId="62FAC002" w14:textId="228A5085" w:rsidR="00010E2E" w:rsidRPr="003E01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sidRPr="003E012E">
        <w:rPr>
          <w:rFonts w:ascii="Arial" w:hAnsi="Arial" w:cs="Arial"/>
        </w:rPr>
        <w:tab/>
      </w:r>
      <w:r w:rsidRPr="003E012E">
        <w:rPr>
          <w:rFonts w:ascii="Arial" w:hAnsi="Arial" w:cs="Arial"/>
        </w:rPr>
        <w:tab/>
      </w:r>
      <w:r w:rsidRPr="003E012E">
        <w:rPr>
          <w:rFonts w:ascii="Arial" w:hAnsi="Arial" w:cs="Arial"/>
        </w:rPr>
        <w:tab/>
        <w:t>= 100,000 x (0</w:t>
      </w:r>
      <w:r w:rsidR="00B80F09" w:rsidRPr="003E012E">
        <w:rPr>
          <w:rFonts w:ascii="Arial" w:hAnsi="Arial" w:cs="Arial"/>
        </w:rPr>
        <w:t>.8</w:t>
      </w:r>
      <w:r w:rsidR="00611389">
        <w:rPr>
          <w:rFonts w:ascii="Arial" w:hAnsi="Arial" w:cs="Arial"/>
        </w:rPr>
        <w:t>3</w:t>
      </w:r>
      <w:r w:rsidR="00F80C4A" w:rsidRPr="003E012E">
        <w:rPr>
          <w:rFonts w:ascii="Arial" w:hAnsi="Arial" w:cs="Arial"/>
        </w:rPr>
        <w:t xml:space="preserve"> </w:t>
      </w:r>
      <w:r w:rsidRPr="003E012E">
        <w:rPr>
          <w:rFonts w:ascii="Arial" w:hAnsi="Arial" w:cs="Arial"/>
        </w:rPr>
        <w:t xml:space="preserve">/1000) </w:t>
      </w:r>
    </w:p>
    <w:p w14:paraId="48A4F8D9" w14:textId="2F3FB6BD" w:rsidR="00010E2E" w:rsidRPr="003E01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firstLine="360"/>
        <w:rPr>
          <w:rFonts w:ascii="Arial" w:hAnsi="Arial" w:cs="Arial"/>
        </w:rPr>
      </w:pPr>
      <w:r w:rsidRPr="003E012E">
        <w:rPr>
          <w:rFonts w:ascii="Arial" w:hAnsi="Arial" w:cs="Arial"/>
        </w:rPr>
        <w:t xml:space="preserve"> </w:t>
      </w:r>
      <w:r w:rsidRPr="003E012E">
        <w:rPr>
          <w:rFonts w:ascii="Arial" w:hAnsi="Arial" w:cs="Arial"/>
        </w:rPr>
        <w:tab/>
      </w:r>
      <w:r w:rsidRPr="003E012E">
        <w:rPr>
          <w:rFonts w:ascii="Arial" w:hAnsi="Arial" w:cs="Arial"/>
        </w:rPr>
        <w:tab/>
        <w:t xml:space="preserve">= </w:t>
      </w:r>
      <w:r w:rsidR="00B80F09" w:rsidRPr="003E012E">
        <w:rPr>
          <w:rFonts w:ascii="Arial" w:hAnsi="Arial" w:cs="Arial"/>
        </w:rPr>
        <w:t>8</w:t>
      </w:r>
      <w:r w:rsidR="00611389">
        <w:rPr>
          <w:rFonts w:ascii="Arial" w:hAnsi="Arial" w:cs="Arial"/>
        </w:rPr>
        <w:t>3</w:t>
      </w:r>
      <w:r w:rsidR="00F80C4A" w:rsidRPr="003E012E">
        <w:rPr>
          <w:rFonts w:ascii="Arial" w:hAnsi="Arial" w:cs="Arial"/>
        </w:rPr>
        <w:t xml:space="preserve"> </w:t>
      </w:r>
      <w:r w:rsidRPr="003E012E">
        <w:rPr>
          <w:rFonts w:ascii="Arial" w:hAnsi="Arial" w:cs="Arial"/>
        </w:rPr>
        <w:t>tonnes.</w:t>
      </w:r>
    </w:p>
    <w:p w14:paraId="7BEB7ACA" w14:textId="3A5241E2" w:rsidR="00010E2E" w:rsidRPr="003E01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sidRPr="003E012E">
        <w:rPr>
          <w:rFonts w:ascii="Arial" w:hAnsi="Arial" w:cs="Arial"/>
        </w:rPr>
        <w:t xml:space="preserve">Total scope 2 GHG emissions = </w:t>
      </w:r>
      <w:r w:rsidR="00B80F09" w:rsidRPr="003E012E">
        <w:rPr>
          <w:rFonts w:ascii="Arial" w:hAnsi="Arial" w:cs="Arial"/>
        </w:rPr>
        <w:t>8</w:t>
      </w:r>
      <w:r w:rsidR="00611389">
        <w:rPr>
          <w:rFonts w:ascii="Arial" w:hAnsi="Arial" w:cs="Arial"/>
        </w:rPr>
        <w:t>3</w:t>
      </w:r>
      <w:r w:rsidR="0059692E" w:rsidRPr="003E012E">
        <w:rPr>
          <w:rFonts w:ascii="Arial" w:hAnsi="Arial" w:cs="Arial"/>
        </w:rPr>
        <w:t xml:space="preserve"> </w:t>
      </w:r>
      <w:r w:rsidRPr="003E012E">
        <w:rPr>
          <w:rFonts w:ascii="Arial" w:hAnsi="Arial" w:cs="Arial"/>
        </w:rPr>
        <w:t>tonnes CO</w:t>
      </w:r>
      <w:r w:rsidRPr="003E012E">
        <w:rPr>
          <w:rFonts w:ascii="Arial" w:hAnsi="Arial" w:cs="Arial"/>
          <w:vertAlign w:val="subscript"/>
        </w:rPr>
        <w:t>2</w:t>
      </w:r>
      <w:r w:rsidRPr="003E012E">
        <w:rPr>
          <w:rFonts w:ascii="Arial" w:hAnsi="Arial" w:cs="Arial"/>
        </w:rPr>
        <w:t>-e</w:t>
      </w:r>
    </w:p>
    <w:p w14:paraId="13D28F0C" w14:textId="77777777" w:rsidR="00D157AC" w:rsidRDefault="00D157AC">
      <w:pPr>
        <w:pStyle w:val="TableNote"/>
        <w:spacing w:before="60"/>
        <w:rPr>
          <w:highlight w:val="cyan"/>
        </w:rPr>
      </w:pPr>
    </w:p>
    <w:p w14:paraId="0FC675FC" w14:textId="77777777" w:rsidR="00A76956" w:rsidRPr="00F122D0" w:rsidRDefault="00A76956" w:rsidP="00A76956">
      <w:pPr>
        <w:pStyle w:val="Heading3"/>
        <w:tabs>
          <w:tab w:val="left" w:pos="0"/>
          <w:tab w:val="left" w:pos="2250"/>
        </w:tabs>
        <w:spacing w:before="120" w:line="312" w:lineRule="auto"/>
        <w:ind w:left="0" w:firstLine="0"/>
        <w:rPr>
          <w:rFonts w:ascii="Arial" w:hAnsi="Arial" w:cs="Arial"/>
        </w:rPr>
      </w:pPr>
      <w:r w:rsidRPr="00F122D0">
        <w:rPr>
          <w:rFonts w:ascii="Arial" w:hAnsi="Arial" w:cs="Arial"/>
        </w:rPr>
        <w:t>Emission</w:t>
      </w:r>
      <w:r w:rsidR="00C370C6" w:rsidRPr="00F122D0">
        <w:rPr>
          <w:rFonts w:ascii="Arial" w:hAnsi="Arial" w:cs="Arial"/>
        </w:rPr>
        <w:t>s</w:t>
      </w:r>
      <w:r w:rsidRPr="00F122D0">
        <w:rPr>
          <w:rFonts w:ascii="Arial" w:hAnsi="Arial" w:cs="Arial"/>
        </w:rPr>
        <w:t xml:space="preserve"> factors for </w:t>
      </w:r>
      <w:r w:rsidR="00B775F5" w:rsidRPr="00F122D0">
        <w:rPr>
          <w:rFonts w:ascii="Arial" w:hAnsi="Arial" w:cs="Arial"/>
        </w:rPr>
        <w:t xml:space="preserve">the </w:t>
      </w:r>
      <w:r w:rsidR="005A2999" w:rsidRPr="00F122D0">
        <w:rPr>
          <w:rFonts w:ascii="Arial" w:hAnsi="Arial" w:cs="Arial"/>
          <w:i/>
        </w:rPr>
        <w:t>Carbon Credits (Carbon Farming Initiative) Act 2011</w:t>
      </w:r>
    </w:p>
    <w:p w14:paraId="4BA907FB" w14:textId="77777777" w:rsidR="00D76245" w:rsidRDefault="007F3FDE" w:rsidP="00C23E3B">
      <w:pPr>
        <w:pStyle w:val="Caption"/>
      </w:pPr>
      <w:r w:rsidRPr="00F122D0">
        <w:t>This section</w:t>
      </w:r>
      <w:r w:rsidR="007804B3" w:rsidRPr="00F122D0">
        <w:t xml:space="preserve"> contains emission</w:t>
      </w:r>
      <w:r w:rsidR="00C370C6" w:rsidRPr="00F122D0">
        <w:t>s</w:t>
      </w:r>
      <w:r w:rsidR="007804B3" w:rsidRPr="00F122D0">
        <w:t xml:space="preserve"> factors for electricity grids to be used</w:t>
      </w:r>
      <w:r w:rsidRPr="00F122D0">
        <w:t xml:space="preserve"> for calculating </w:t>
      </w:r>
      <w:r w:rsidR="00EC42F2" w:rsidRPr="00F122D0">
        <w:t xml:space="preserve">a carbon dioxide equivalent </w:t>
      </w:r>
      <w:r w:rsidRPr="00F122D0">
        <w:t xml:space="preserve">net abatement </w:t>
      </w:r>
      <w:r w:rsidR="00EC42F2" w:rsidRPr="00F122D0">
        <w:t xml:space="preserve">amount </w:t>
      </w:r>
      <w:r w:rsidRPr="00F122D0">
        <w:t xml:space="preserve">in accordance with </w:t>
      </w:r>
      <w:r w:rsidR="00EC42F2" w:rsidRPr="00F122D0">
        <w:t xml:space="preserve">a </w:t>
      </w:r>
      <w:r w:rsidRPr="00F122D0">
        <w:t xml:space="preserve">methodology determination under the </w:t>
      </w:r>
      <w:r w:rsidRPr="00F122D0">
        <w:rPr>
          <w:i/>
        </w:rPr>
        <w:t>Carbon Credits (Carbon Farming Initiative) Act 2011</w:t>
      </w:r>
      <w:r w:rsidRPr="00F122D0">
        <w:t>.</w:t>
      </w:r>
    </w:p>
    <w:p w14:paraId="2EA4144E" w14:textId="77777777" w:rsidR="00D76245" w:rsidRDefault="00E94666" w:rsidP="00C23E3B">
      <w:pPr>
        <w:pStyle w:val="Caption"/>
      </w:pPr>
      <w:bookmarkStart w:id="51" w:name="_Toc485728114"/>
      <w:r>
        <w:t xml:space="preserve">Table </w:t>
      </w:r>
      <w:r w:rsidR="00DC52E0">
        <w:fldChar w:fldCharType="begin"/>
      </w:r>
      <w:r>
        <w:instrText xml:space="preserve"> SEQ Table \* ARABIC </w:instrText>
      </w:r>
      <w:r w:rsidR="00DC52E0">
        <w:fldChar w:fldCharType="separate"/>
      </w:r>
      <w:r w:rsidR="004A1330">
        <w:rPr>
          <w:noProof/>
        </w:rPr>
        <w:t>6</w:t>
      </w:r>
      <w:r w:rsidR="00DC52E0">
        <w:fldChar w:fldCharType="end"/>
      </w:r>
      <w:r w:rsidR="00F430D2">
        <w:t xml:space="preserve"> </w:t>
      </w:r>
      <w:r w:rsidR="00AD4C9E" w:rsidRPr="00F122D0">
        <w:t xml:space="preserve">: </w:t>
      </w:r>
      <w:r w:rsidR="00C370C6" w:rsidRPr="00F122D0">
        <w:t>I</w:t>
      </w:r>
      <w:r w:rsidR="00AD4C9E" w:rsidRPr="00F122D0">
        <w:t>ndirect (scope 2) emission</w:t>
      </w:r>
      <w:r w:rsidR="00C370C6" w:rsidRPr="00F122D0">
        <w:t>s</w:t>
      </w:r>
      <w:r w:rsidR="00AD4C9E" w:rsidRPr="00F122D0">
        <w:t xml:space="preserve"> fa</w:t>
      </w:r>
      <w:r w:rsidR="00CC6BA0" w:rsidRPr="00F122D0">
        <w:t>ctors</w:t>
      </w:r>
      <w:r w:rsidR="00C370C6" w:rsidRPr="00F122D0">
        <w:t xml:space="preserve"> for electricity grids</w:t>
      </w:r>
      <w:bookmarkEnd w:id="51"/>
    </w:p>
    <w:tbl>
      <w:tblPr>
        <w:tblStyle w:val="TableGrid"/>
        <w:tblW w:w="0" w:type="auto"/>
        <w:tblLook w:val="04A0" w:firstRow="1" w:lastRow="0" w:firstColumn="1" w:lastColumn="0" w:noHBand="0" w:noVBand="1"/>
      </w:tblPr>
      <w:tblGrid>
        <w:gridCol w:w="6064"/>
        <w:gridCol w:w="2233"/>
      </w:tblGrid>
      <w:tr w:rsidR="00AD4C9E" w:rsidRPr="00F122D0" w14:paraId="5617A5A1" w14:textId="77777777" w:rsidTr="00AD4C9E">
        <w:tc>
          <w:tcPr>
            <w:tcW w:w="6204" w:type="dxa"/>
            <w:shd w:val="clear" w:color="auto" w:fill="D9D9D9" w:themeFill="background1" w:themeFillShade="D9"/>
            <w:vAlign w:val="center"/>
          </w:tcPr>
          <w:p w14:paraId="67ABD24B" w14:textId="77777777" w:rsidR="00AD4C9E" w:rsidRPr="00F122D0" w:rsidRDefault="00AD4C9E" w:rsidP="00AD4C9E">
            <w:pPr>
              <w:pStyle w:val="TableCentre"/>
              <w:rPr>
                <w:snapToGrid w:val="0"/>
              </w:rPr>
            </w:pPr>
            <w:r w:rsidRPr="00F122D0">
              <w:rPr>
                <w:rStyle w:val="Strong"/>
                <w:rFonts w:cs="Arial"/>
                <w:szCs w:val="16"/>
              </w:rPr>
              <w:t>Electricity grid</w:t>
            </w:r>
          </w:p>
        </w:tc>
        <w:tc>
          <w:tcPr>
            <w:tcW w:w="2268" w:type="dxa"/>
            <w:shd w:val="clear" w:color="auto" w:fill="D9D9D9" w:themeFill="background1" w:themeFillShade="D9"/>
            <w:vAlign w:val="center"/>
          </w:tcPr>
          <w:p w14:paraId="45AF7EE8" w14:textId="77777777" w:rsidR="00AD4C9E" w:rsidRPr="00F122D0" w:rsidRDefault="00AD4C9E" w:rsidP="00AD4C9E">
            <w:pPr>
              <w:pStyle w:val="Heading1Like"/>
              <w:spacing w:before="60" w:after="60"/>
              <w:jc w:val="center"/>
              <w:rPr>
                <w:szCs w:val="16"/>
              </w:rPr>
            </w:pPr>
            <w:r w:rsidRPr="00F122D0">
              <w:rPr>
                <w:rFonts w:ascii="Arial" w:hAnsi="Arial"/>
                <w:caps w:val="0"/>
                <w:sz w:val="16"/>
                <w:szCs w:val="16"/>
              </w:rPr>
              <w:t>Emission</w:t>
            </w:r>
            <w:r w:rsidR="00C370C6" w:rsidRPr="00F122D0">
              <w:rPr>
                <w:rFonts w:ascii="Arial" w:hAnsi="Arial"/>
                <w:caps w:val="0"/>
                <w:sz w:val="16"/>
                <w:szCs w:val="16"/>
              </w:rPr>
              <w:t>s</w:t>
            </w:r>
            <w:r w:rsidRPr="00F122D0">
              <w:rPr>
                <w:rFonts w:ascii="Arial" w:hAnsi="Arial"/>
                <w:caps w:val="0"/>
                <w:sz w:val="16"/>
                <w:szCs w:val="16"/>
              </w:rPr>
              <w:t xml:space="preserve"> factor </w:t>
            </w:r>
          </w:p>
          <w:p w14:paraId="78A46730" w14:textId="77777777" w:rsidR="00AD4C9E" w:rsidRPr="00F122D0" w:rsidRDefault="00AD4C9E" w:rsidP="00AD4C9E">
            <w:pPr>
              <w:pStyle w:val="Heading1Like"/>
              <w:spacing w:before="60" w:after="60"/>
              <w:jc w:val="center"/>
              <w:rPr>
                <w:szCs w:val="16"/>
              </w:rPr>
            </w:pPr>
            <w:r w:rsidRPr="00F122D0">
              <w:rPr>
                <w:rFonts w:ascii="Arial" w:hAnsi="Arial"/>
                <w:caps w:val="0"/>
                <w:sz w:val="16"/>
                <w:szCs w:val="16"/>
              </w:rPr>
              <w:t>kg CO</w:t>
            </w:r>
            <w:r w:rsidRPr="00F122D0">
              <w:rPr>
                <w:caps w:val="0"/>
                <w:sz w:val="16"/>
                <w:szCs w:val="16"/>
                <w:vertAlign w:val="subscript"/>
              </w:rPr>
              <w:t>2</w:t>
            </w:r>
            <w:r w:rsidRPr="00F122D0">
              <w:rPr>
                <w:rFonts w:ascii="Arial" w:hAnsi="Arial"/>
                <w:caps w:val="0"/>
                <w:sz w:val="16"/>
                <w:szCs w:val="16"/>
              </w:rPr>
              <w:t>-e/kWh</w:t>
            </w:r>
          </w:p>
        </w:tc>
      </w:tr>
      <w:tr w:rsidR="00AD4C9E" w:rsidRPr="00F122D0" w14:paraId="3C3B6D07" w14:textId="77777777" w:rsidTr="00AD4C9E">
        <w:tc>
          <w:tcPr>
            <w:tcW w:w="6204" w:type="dxa"/>
          </w:tcPr>
          <w:p w14:paraId="643A01CE" w14:textId="77777777" w:rsidR="00AD4C9E" w:rsidRPr="00F122D0" w:rsidRDefault="00AD4C9E" w:rsidP="0001203F">
            <w:pPr>
              <w:pStyle w:val="TableCentre"/>
              <w:jc w:val="left"/>
              <w:rPr>
                <w:snapToGrid w:val="0"/>
              </w:rPr>
            </w:pPr>
            <w:r w:rsidRPr="00F122D0">
              <w:rPr>
                <w:snapToGrid w:val="0"/>
              </w:rPr>
              <w:t xml:space="preserve">National Electricity Market (NEM) </w:t>
            </w:r>
          </w:p>
        </w:tc>
        <w:tc>
          <w:tcPr>
            <w:tcW w:w="2268" w:type="dxa"/>
          </w:tcPr>
          <w:p w14:paraId="20642064" w14:textId="77777777" w:rsidR="00AD4C9E" w:rsidRPr="00F122D0" w:rsidRDefault="00AD4C9E" w:rsidP="00AD4C9E">
            <w:pPr>
              <w:pStyle w:val="TableCentre"/>
              <w:rPr>
                <w:snapToGrid w:val="0"/>
                <w:szCs w:val="16"/>
              </w:rPr>
            </w:pPr>
            <w:r w:rsidRPr="00F122D0">
              <w:rPr>
                <w:snapToGrid w:val="0"/>
                <w:szCs w:val="16"/>
              </w:rPr>
              <w:t>0.8</w:t>
            </w:r>
            <w:r w:rsidR="00806CDF">
              <w:rPr>
                <w:snapToGrid w:val="0"/>
                <w:szCs w:val="16"/>
              </w:rPr>
              <w:t>2</w:t>
            </w:r>
          </w:p>
        </w:tc>
      </w:tr>
      <w:tr w:rsidR="00AD4C9E" w:rsidRPr="00F122D0" w14:paraId="4EBAE9B4" w14:textId="77777777" w:rsidTr="00AD4C9E">
        <w:tc>
          <w:tcPr>
            <w:tcW w:w="6204" w:type="dxa"/>
          </w:tcPr>
          <w:p w14:paraId="4ED27112" w14:textId="77777777" w:rsidR="00AD4C9E" w:rsidRPr="00F122D0" w:rsidRDefault="00AD4C9E" w:rsidP="00AD4C9E">
            <w:pPr>
              <w:pStyle w:val="TableCentre"/>
              <w:jc w:val="left"/>
              <w:rPr>
                <w:snapToGrid w:val="0"/>
              </w:rPr>
            </w:pPr>
            <w:r w:rsidRPr="00F122D0">
              <w:rPr>
                <w:snapToGrid w:val="0"/>
              </w:rPr>
              <w:t>South West Interconnected System (SWIS) in Western Australia</w:t>
            </w:r>
          </w:p>
        </w:tc>
        <w:tc>
          <w:tcPr>
            <w:tcW w:w="2268" w:type="dxa"/>
          </w:tcPr>
          <w:p w14:paraId="7A489CF9" w14:textId="00B6510C" w:rsidR="00AD4C9E" w:rsidRPr="00F122D0" w:rsidRDefault="00AD4C9E" w:rsidP="00AD4C9E">
            <w:pPr>
              <w:pStyle w:val="TableCentre"/>
              <w:rPr>
                <w:snapToGrid w:val="0"/>
                <w:szCs w:val="16"/>
              </w:rPr>
            </w:pPr>
            <w:r w:rsidRPr="00F122D0">
              <w:rPr>
                <w:snapToGrid w:val="0"/>
                <w:szCs w:val="16"/>
              </w:rPr>
              <w:t>0.7</w:t>
            </w:r>
            <w:r w:rsidR="00E16369">
              <w:rPr>
                <w:snapToGrid w:val="0"/>
                <w:szCs w:val="16"/>
              </w:rPr>
              <w:t>0</w:t>
            </w:r>
          </w:p>
        </w:tc>
      </w:tr>
      <w:tr w:rsidR="00AD4C9E" w:rsidRPr="00F122D0" w14:paraId="3AA4C388" w14:textId="77777777" w:rsidTr="00AD4C9E">
        <w:tc>
          <w:tcPr>
            <w:tcW w:w="6204" w:type="dxa"/>
          </w:tcPr>
          <w:p w14:paraId="73A471EF" w14:textId="77777777" w:rsidR="00AD4C9E" w:rsidRPr="00F122D0" w:rsidRDefault="00AD4C9E" w:rsidP="00AD4C9E">
            <w:pPr>
              <w:pStyle w:val="TableCentre"/>
              <w:jc w:val="left"/>
              <w:rPr>
                <w:snapToGrid w:val="0"/>
              </w:rPr>
            </w:pPr>
            <w:r w:rsidRPr="00F122D0">
              <w:rPr>
                <w:snapToGrid w:val="0"/>
              </w:rPr>
              <w:t>North Western Interconnected System (NWIS) in Western Australia</w:t>
            </w:r>
          </w:p>
        </w:tc>
        <w:tc>
          <w:tcPr>
            <w:tcW w:w="2268" w:type="dxa"/>
          </w:tcPr>
          <w:p w14:paraId="06B3CBF9" w14:textId="6D4FF9F2" w:rsidR="00AD4C9E" w:rsidRPr="00F122D0" w:rsidRDefault="00AD4C9E" w:rsidP="00AD4C9E">
            <w:pPr>
              <w:pStyle w:val="TableCentre"/>
              <w:rPr>
                <w:snapToGrid w:val="0"/>
                <w:szCs w:val="16"/>
              </w:rPr>
            </w:pPr>
            <w:r w:rsidRPr="00F122D0">
              <w:rPr>
                <w:snapToGrid w:val="0"/>
                <w:szCs w:val="16"/>
              </w:rPr>
              <w:t>0.6</w:t>
            </w:r>
            <w:r w:rsidR="00E16369">
              <w:rPr>
                <w:snapToGrid w:val="0"/>
                <w:szCs w:val="16"/>
              </w:rPr>
              <w:t>2</w:t>
            </w:r>
          </w:p>
        </w:tc>
      </w:tr>
      <w:tr w:rsidR="00AD4C9E" w:rsidRPr="00F122D0" w14:paraId="2D0F43E4" w14:textId="77777777" w:rsidTr="00AD4C9E">
        <w:tc>
          <w:tcPr>
            <w:tcW w:w="6204" w:type="dxa"/>
          </w:tcPr>
          <w:p w14:paraId="5DEE1B76" w14:textId="77777777" w:rsidR="00AD4C9E" w:rsidRPr="00F122D0" w:rsidRDefault="00AD4C9E" w:rsidP="00AD4C9E">
            <w:pPr>
              <w:pStyle w:val="TableCentre"/>
              <w:jc w:val="left"/>
              <w:rPr>
                <w:snapToGrid w:val="0"/>
              </w:rPr>
            </w:pPr>
            <w:r w:rsidRPr="00F122D0">
              <w:rPr>
                <w:snapToGrid w:val="0"/>
              </w:rPr>
              <w:t>Darwin Katherine Interconnected System (DKIS) in the Northern Territory</w:t>
            </w:r>
          </w:p>
        </w:tc>
        <w:tc>
          <w:tcPr>
            <w:tcW w:w="2268" w:type="dxa"/>
          </w:tcPr>
          <w:p w14:paraId="12A05CA8" w14:textId="3034A8C9" w:rsidR="00AD4C9E" w:rsidRPr="00F122D0" w:rsidRDefault="00AD4C9E" w:rsidP="00AD4C9E">
            <w:pPr>
              <w:pStyle w:val="TableCentre"/>
              <w:rPr>
                <w:snapToGrid w:val="0"/>
                <w:szCs w:val="16"/>
              </w:rPr>
            </w:pPr>
            <w:r w:rsidRPr="00F122D0">
              <w:rPr>
                <w:snapToGrid w:val="0"/>
                <w:szCs w:val="16"/>
              </w:rPr>
              <w:t>0.5</w:t>
            </w:r>
            <w:r w:rsidR="00E16369">
              <w:rPr>
                <w:snapToGrid w:val="0"/>
                <w:szCs w:val="16"/>
              </w:rPr>
              <w:t>9</w:t>
            </w:r>
          </w:p>
        </w:tc>
      </w:tr>
      <w:tr w:rsidR="00AD4C9E" w:rsidRPr="00F122D0" w14:paraId="571D42D2" w14:textId="77777777" w:rsidTr="00AD4C9E">
        <w:tc>
          <w:tcPr>
            <w:tcW w:w="6204" w:type="dxa"/>
          </w:tcPr>
          <w:p w14:paraId="3DAC57C5" w14:textId="77777777" w:rsidR="00AD4C9E" w:rsidRPr="00F122D0" w:rsidRDefault="00AD4C9E" w:rsidP="00AD4C9E">
            <w:pPr>
              <w:pStyle w:val="TableCentre"/>
              <w:jc w:val="left"/>
              <w:rPr>
                <w:snapToGrid w:val="0"/>
              </w:rPr>
            </w:pPr>
            <w:r w:rsidRPr="00F122D0">
              <w:rPr>
                <w:snapToGrid w:val="0"/>
              </w:rPr>
              <w:t>Off-grid</w:t>
            </w:r>
          </w:p>
        </w:tc>
        <w:tc>
          <w:tcPr>
            <w:tcW w:w="2268" w:type="dxa"/>
          </w:tcPr>
          <w:p w14:paraId="17B00785" w14:textId="6F3BED60" w:rsidR="00AD4C9E" w:rsidRPr="00F122D0" w:rsidRDefault="00AD4C9E" w:rsidP="00AD4C9E">
            <w:pPr>
              <w:pStyle w:val="TableCentre"/>
              <w:rPr>
                <w:snapToGrid w:val="0"/>
                <w:szCs w:val="16"/>
              </w:rPr>
            </w:pPr>
            <w:r w:rsidRPr="00F122D0">
              <w:rPr>
                <w:snapToGrid w:val="0"/>
                <w:szCs w:val="16"/>
              </w:rPr>
              <w:t>0.6</w:t>
            </w:r>
            <w:r w:rsidR="00E16369">
              <w:rPr>
                <w:snapToGrid w:val="0"/>
                <w:szCs w:val="16"/>
              </w:rPr>
              <w:t>4</w:t>
            </w:r>
          </w:p>
        </w:tc>
      </w:tr>
    </w:tbl>
    <w:p w14:paraId="18995366" w14:textId="5F5B9E26" w:rsidR="007A7940" w:rsidRPr="00F122D0" w:rsidRDefault="00AD4C9E">
      <w:pPr>
        <w:pStyle w:val="TableNote"/>
        <w:tabs>
          <w:tab w:val="clear" w:pos="180"/>
          <w:tab w:val="left" w:pos="0"/>
        </w:tabs>
        <w:spacing w:before="60"/>
      </w:pPr>
      <w:r w:rsidRPr="00F122D0">
        <w:t>Note:</w:t>
      </w:r>
      <w:r w:rsidR="00CC6BA0" w:rsidRPr="00F122D0">
        <w:t xml:space="preserve"> </w:t>
      </w:r>
      <w:r w:rsidR="0001203F" w:rsidRPr="00F122D0">
        <w:t xml:space="preserve">The method for calculating Scope 2 emission factors </w:t>
      </w:r>
      <w:r w:rsidR="00404FFB" w:rsidRPr="00F122D0">
        <w:t xml:space="preserve">is described in detail in Chapter 7 of the </w:t>
      </w:r>
      <w:r w:rsidR="00DF73CD" w:rsidRPr="00F122D0">
        <w:rPr>
          <w:i/>
        </w:rPr>
        <w:t>N</w:t>
      </w:r>
      <w:r w:rsidR="00C32891" w:rsidRPr="00F122D0">
        <w:rPr>
          <w:i/>
        </w:rPr>
        <w:t xml:space="preserve">ational </w:t>
      </w:r>
      <w:r w:rsidR="00DF73CD" w:rsidRPr="00F122D0">
        <w:rPr>
          <w:i/>
        </w:rPr>
        <w:t>G</w:t>
      </w:r>
      <w:r w:rsidR="00C32891" w:rsidRPr="00F122D0">
        <w:rPr>
          <w:i/>
        </w:rPr>
        <w:t xml:space="preserve">reenhouse and </w:t>
      </w:r>
      <w:r w:rsidR="00DF73CD" w:rsidRPr="00F122D0">
        <w:rPr>
          <w:i/>
        </w:rPr>
        <w:t>E</w:t>
      </w:r>
      <w:r w:rsidR="00C32891" w:rsidRPr="00F122D0">
        <w:rPr>
          <w:i/>
        </w:rPr>
        <w:t xml:space="preserve">nergy </w:t>
      </w:r>
      <w:r w:rsidR="00DF73CD" w:rsidRPr="00F122D0">
        <w:rPr>
          <w:i/>
        </w:rPr>
        <w:t>R</w:t>
      </w:r>
      <w:r w:rsidR="00C32891" w:rsidRPr="00F122D0">
        <w:rPr>
          <w:i/>
        </w:rPr>
        <w:t>eporting</w:t>
      </w:r>
      <w:r w:rsidR="00DF73CD" w:rsidRPr="00F122D0">
        <w:rPr>
          <w:i/>
        </w:rPr>
        <w:t xml:space="preserve"> System Management Technical Guidelines for the estimation of greenhouse gas emissions by facilities in </w:t>
      </w:r>
      <w:r w:rsidR="00611389" w:rsidRPr="00F122D0">
        <w:rPr>
          <w:i/>
        </w:rPr>
        <w:t xml:space="preserve">Australia. </w:t>
      </w:r>
    </w:p>
    <w:p w14:paraId="4D21331D" w14:textId="77777777" w:rsidR="00AD4C9E" w:rsidRDefault="00AD4C9E" w:rsidP="00AD4C9E">
      <w:pPr>
        <w:pStyle w:val="TableNote"/>
        <w:spacing w:before="60"/>
      </w:pPr>
      <w:r w:rsidRPr="00F122D0">
        <w:t>Sources: National Greenhouse and Energy Reporting (Measurement) Determination 2008 (Schedule 1) and Department of the Environment</w:t>
      </w:r>
      <w:r w:rsidR="000873D9">
        <w:t xml:space="preserve"> and Energy.</w:t>
      </w:r>
    </w:p>
    <w:p w14:paraId="0DB2CF2F" w14:textId="77777777" w:rsidR="00C370C6" w:rsidRDefault="00C370C6">
      <w:pPr>
        <w:ind w:left="0"/>
        <w:rPr>
          <w:rFonts w:ascii="Arial" w:hAnsi="Arial"/>
          <w:b/>
          <w:bCs/>
          <w:spacing w:val="-4"/>
          <w:kern w:val="28"/>
          <w:sz w:val="22"/>
        </w:rPr>
      </w:pPr>
    </w:p>
    <w:p w14:paraId="1FC2E3EA" w14:textId="77777777" w:rsidR="00010E2E" w:rsidRDefault="00010E2E">
      <w:pPr>
        <w:pStyle w:val="Heading2"/>
        <w:spacing w:before="120" w:after="0" w:line="312" w:lineRule="auto"/>
        <w:rPr>
          <w:rFonts w:ascii="Arial" w:hAnsi="Arial"/>
          <w:bCs/>
        </w:rPr>
      </w:pPr>
      <w:r>
        <w:rPr>
          <w:rFonts w:ascii="Arial" w:hAnsi="Arial"/>
          <w:bCs/>
        </w:rPr>
        <w:t>Fugitive emissions from fuels</w:t>
      </w:r>
    </w:p>
    <w:p w14:paraId="12AE576F" w14:textId="77777777" w:rsidR="00010E2E" w:rsidRDefault="00010E2E">
      <w:pPr>
        <w:pStyle w:val="Heading3"/>
        <w:tabs>
          <w:tab w:val="left" w:pos="0"/>
          <w:tab w:val="left" w:pos="2250"/>
        </w:tabs>
        <w:spacing w:before="120" w:line="312" w:lineRule="auto"/>
        <w:ind w:left="0" w:firstLine="0"/>
        <w:rPr>
          <w:rFonts w:ascii="Arial" w:hAnsi="Arial" w:cs="Arial"/>
        </w:rPr>
      </w:pPr>
      <w:r>
        <w:rPr>
          <w:rFonts w:ascii="Arial" w:hAnsi="Arial" w:cs="Arial"/>
        </w:rPr>
        <w:t>Coal Mining</w:t>
      </w:r>
    </w:p>
    <w:p w14:paraId="455D057B" w14:textId="77777777" w:rsidR="00010E2E" w:rsidRDefault="00010E2E">
      <w:pPr>
        <w:pStyle w:val="Heading4"/>
        <w:ind w:left="0" w:firstLine="0"/>
        <w:rPr>
          <w:rFonts w:ascii="Arial" w:hAnsi="Arial" w:cs="Arial"/>
          <w:bCs/>
          <w:i/>
          <w:u w:val="single"/>
        </w:rPr>
      </w:pPr>
      <w:bookmarkStart w:id="52" w:name="_Toc201657532"/>
      <w:r>
        <w:rPr>
          <w:rFonts w:ascii="Arial" w:hAnsi="Arial"/>
          <w:bCs/>
          <w:i/>
          <w:u w:val="single"/>
        </w:rPr>
        <w:t>Underground mines</w:t>
      </w:r>
    </w:p>
    <w:p w14:paraId="1CA81674" w14:textId="77777777" w:rsidR="00010E2E" w:rsidRDefault="00010E2E">
      <w:pPr>
        <w:spacing w:before="120" w:line="312" w:lineRule="auto"/>
        <w:ind w:left="0"/>
        <w:rPr>
          <w:rFonts w:ascii="Arial" w:hAnsi="Arial"/>
        </w:rPr>
      </w:pPr>
      <w:r>
        <w:rPr>
          <w:rFonts w:ascii="Arial" w:hAnsi="Arial"/>
        </w:rPr>
        <w:t xml:space="preserve">Fugitive emissions from underground mines involve the release of methane and carbon dioxide during the mining process due to the fracturing of coal seams, overburden and underburden strata. Emissions also arise from post mining activities such as transportation and stockpiling of coal from the release of residual gases not released during the mining process. Emissions will also occur when coal mine waste gas is flared. </w:t>
      </w:r>
    </w:p>
    <w:bookmarkEnd w:id="52"/>
    <w:p w14:paraId="777220A7" w14:textId="75979AA2" w:rsidR="004D3CCB" w:rsidRPr="00DE2B05" w:rsidRDefault="004D3CCB" w:rsidP="00DE2B05">
      <w:pPr>
        <w:spacing w:before="120" w:line="312" w:lineRule="auto"/>
        <w:ind w:left="0"/>
        <w:rPr>
          <w:rFonts w:ascii="Arial" w:hAnsi="Arial"/>
        </w:rPr>
      </w:pPr>
      <w:r w:rsidRPr="00DE2B05">
        <w:rPr>
          <w:rFonts w:ascii="Arial" w:hAnsi="Arial"/>
        </w:rPr>
        <w:t xml:space="preserve">Where the estimation of fugitive emissions from underground mining activities is for the purposes of NGER reporting, then direct measurement (method 4) under section </w:t>
      </w:r>
      <w:r w:rsidR="000C70FC" w:rsidRPr="00DE2B05">
        <w:rPr>
          <w:rFonts w:ascii="Arial" w:hAnsi="Arial"/>
        </w:rPr>
        <w:t xml:space="preserve">3.6 of Chapter 3 in the </w:t>
      </w:r>
      <w:r w:rsidR="000C70FC" w:rsidRPr="00DE2B05">
        <w:rPr>
          <w:rFonts w:ascii="Arial" w:hAnsi="Arial"/>
          <w:i/>
        </w:rPr>
        <w:t>National Greenhouse and Energy Reporting (Measurement) Determination 2008</w:t>
      </w:r>
      <w:r w:rsidR="000C70FC" w:rsidRPr="00DE2B05">
        <w:rPr>
          <w:rFonts w:ascii="Arial" w:hAnsi="Arial"/>
        </w:rPr>
        <w:t xml:space="preserve"> must be used</w:t>
      </w:r>
      <w:r w:rsidRPr="00DE2B05">
        <w:rPr>
          <w:rFonts w:ascii="Arial" w:hAnsi="Arial"/>
        </w:rPr>
        <w:t>.</w:t>
      </w:r>
      <w:r w:rsidR="000C70FC" w:rsidRPr="00DE2B05">
        <w:rPr>
          <w:rFonts w:ascii="Arial" w:hAnsi="Arial"/>
        </w:rPr>
        <w:t xml:space="preserve"> As method 1 is no longer available for NGER reporting, it is also not reflected here in the NGA Factors publication.  However a summary of the </w:t>
      </w:r>
      <w:r w:rsidR="00DE2B05">
        <w:rPr>
          <w:rFonts w:ascii="Arial" w:hAnsi="Arial"/>
        </w:rPr>
        <w:t xml:space="preserve">fugitive </w:t>
      </w:r>
      <w:r w:rsidR="000C70FC" w:rsidRPr="00DE2B05">
        <w:rPr>
          <w:rFonts w:ascii="Arial" w:hAnsi="Arial"/>
        </w:rPr>
        <w:t xml:space="preserve">gas </w:t>
      </w:r>
      <w:r w:rsidR="00DE2B05">
        <w:rPr>
          <w:rFonts w:ascii="Arial" w:hAnsi="Arial"/>
        </w:rPr>
        <w:t xml:space="preserve">emission </w:t>
      </w:r>
      <w:r w:rsidR="000C70FC" w:rsidRPr="00DE2B05">
        <w:rPr>
          <w:rFonts w:ascii="Arial" w:hAnsi="Arial"/>
        </w:rPr>
        <w:t xml:space="preserve">profile of Australian </w:t>
      </w:r>
      <w:r w:rsidR="000C70FC" w:rsidRPr="00615AF0">
        <w:rPr>
          <w:rFonts w:ascii="Arial" w:hAnsi="Arial"/>
        </w:rPr>
        <w:t xml:space="preserve">underground coal </w:t>
      </w:r>
      <w:r w:rsidR="005435DC">
        <w:rPr>
          <w:rFonts w:ascii="Arial" w:hAnsi="Arial"/>
        </w:rPr>
        <w:t>201</w:t>
      </w:r>
      <w:r w:rsidR="00D46B27">
        <w:rPr>
          <w:rFonts w:ascii="Arial" w:hAnsi="Arial"/>
        </w:rPr>
        <w:t>5</w:t>
      </w:r>
      <w:r w:rsidR="00345E7B" w:rsidRPr="00615AF0">
        <w:rPr>
          <w:rFonts w:ascii="Arial" w:hAnsi="Arial"/>
        </w:rPr>
        <w:t xml:space="preserve"> production</w:t>
      </w:r>
      <w:r w:rsidR="000C70FC" w:rsidRPr="00615AF0">
        <w:rPr>
          <w:rFonts w:ascii="Arial" w:hAnsi="Arial"/>
        </w:rPr>
        <w:t xml:space="preserve"> by coalfield is provided</w:t>
      </w:r>
      <w:r w:rsidR="000C70FC" w:rsidRPr="00DE2B05">
        <w:rPr>
          <w:rFonts w:ascii="Arial" w:hAnsi="Arial"/>
        </w:rPr>
        <w:t xml:space="preserve"> </w:t>
      </w:r>
      <w:r w:rsidR="00DE2B05">
        <w:rPr>
          <w:rFonts w:ascii="Arial" w:hAnsi="Arial"/>
        </w:rPr>
        <w:t xml:space="preserve">for reference </w:t>
      </w:r>
      <w:r w:rsidR="00B80F09" w:rsidRPr="00B80F09">
        <w:rPr>
          <w:rFonts w:ascii="Arial" w:hAnsi="Arial"/>
        </w:rPr>
        <w:t>in section 3.8.2 of the National Inventory Report 201</w:t>
      </w:r>
      <w:r w:rsidR="00D46B27">
        <w:rPr>
          <w:rFonts w:ascii="Arial" w:hAnsi="Arial"/>
        </w:rPr>
        <w:t>5</w:t>
      </w:r>
      <w:r w:rsidR="00B80F09" w:rsidRPr="00B80F09">
        <w:rPr>
          <w:rFonts w:ascii="Arial" w:hAnsi="Arial"/>
        </w:rPr>
        <w:t xml:space="preserve"> Volume 1.</w:t>
      </w:r>
    </w:p>
    <w:p w14:paraId="705B8F91" w14:textId="77777777" w:rsidR="00010E2E" w:rsidRDefault="00010E2E">
      <w:pPr>
        <w:pStyle w:val="HR"/>
        <w:rPr>
          <w:b w:val="0"/>
          <w:i/>
          <w:sz w:val="20"/>
          <w:szCs w:val="20"/>
        </w:rPr>
      </w:pPr>
      <w:r>
        <w:rPr>
          <w:b w:val="0"/>
          <w:i/>
          <w:sz w:val="20"/>
          <w:szCs w:val="20"/>
        </w:rPr>
        <w:t>Fugitive emissions from post-mining activities (gassy underground mines only)</w:t>
      </w:r>
    </w:p>
    <w:p w14:paraId="039F92E8" w14:textId="77777777" w:rsidR="00010E2E" w:rsidRPr="00C373BB" w:rsidRDefault="000B79B3">
      <w:pPr>
        <w:pStyle w:val="BodyText"/>
        <w:tabs>
          <w:tab w:val="left" w:pos="0"/>
        </w:tabs>
        <w:spacing w:before="120" w:after="0" w:line="312" w:lineRule="auto"/>
        <w:ind w:left="0"/>
        <w:rPr>
          <w:rFonts w:ascii="Arial" w:hAnsi="Arial"/>
        </w:rPr>
      </w:pPr>
      <w:r w:rsidRPr="000B79B3">
        <w:rPr>
          <w:rFonts w:ascii="Arial" w:hAnsi="Arial"/>
        </w:rPr>
        <w:t>Emissions from post-mining activities (associated with gassy underground mines only) can be estimated using the method described below</w:t>
      </w:r>
    </w:p>
    <w:p w14:paraId="1BD3910B" w14:textId="77777777" w:rsidR="00010E2E" w:rsidRDefault="00010E2E">
      <w:pPr>
        <w:pStyle w:val="R1"/>
      </w:pPr>
      <w:r>
        <w:tab/>
      </w:r>
      <w:r>
        <w:tab/>
      </w:r>
      <w:r>
        <w:tab/>
      </w:r>
      <w:r>
        <w:tab/>
      </w:r>
      <w:r>
        <w:tab/>
      </w:r>
      <w:r>
        <w:tab/>
      </w:r>
      <w:r>
        <w:tab/>
      </w:r>
      <w:r w:rsidR="00CA4FB8">
        <w:rPr>
          <w:position w:val="-14"/>
        </w:rPr>
        <w:pict w14:anchorId="271E3483">
          <v:shape id="_x0000_i1030" type="#_x0000_t75" style="width:72.75pt;height:19.5pt">
            <v:imagedata r:id="rId33" o:title=""/>
          </v:shape>
        </w:pict>
      </w:r>
    </w:p>
    <w:p w14:paraId="1E7026C5" w14:textId="77777777" w:rsidR="00010E2E" w:rsidRPr="008870C0" w:rsidRDefault="00010E2E">
      <w:pPr>
        <w:pStyle w:val="definition"/>
        <w:rPr>
          <w:sz w:val="22"/>
          <w:szCs w:val="22"/>
        </w:rPr>
      </w:pPr>
      <w:r w:rsidRPr="008870C0">
        <w:rPr>
          <w:b/>
          <w:i/>
          <w:sz w:val="22"/>
          <w:szCs w:val="22"/>
        </w:rPr>
        <w:t>Q</w:t>
      </w:r>
      <w:r w:rsidRPr="008870C0">
        <w:rPr>
          <w:sz w:val="22"/>
          <w:szCs w:val="22"/>
        </w:rPr>
        <w:t xml:space="preserve"> </w:t>
      </w:r>
      <w:r w:rsidRPr="008870C0">
        <w:rPr>
          <w:rStyle w:val="EquationNoteChar"/>
          <w:rFonts w:ascii="Times New Roman" w:hAnsi="Times New Roman" w:cs="Times New Roman"/>
          <w:sz w:val="22"/>
          <w:szCs w:val="22"/>
        </w:rPr>
        <w:t>is the quantity of run</w:t>
      </w:r>
      <w:r w:rsidRPr="008870C0">
        <w:rPr>
          <w:rStyle w:val="EquationNoteChar"/>
          <w:rFonts w:ascii="Times New Roman" w:hAnsi="Times New Roman" w:cs="Times New Roman"/>
          <w:sz w:val="22"/>
          <w:szCs w:val="22"/>
        </w:rPr>
        <w:noBreakHyphen/>
        <w:t>of</w:t>
      </w:r>
      <w:r w:rsidRPr="008870C0">
        <w:rPr>
          <w:rStyle w:val="EquationNoteChar"/>
          <w:rFonts w:ascii="Times New Roman" w:hAnsi="Times New Roman" w:cs="Times New Roman"/>
          <w:sz w:val="22"/>
          <w:szCs w:val="22"/>
        </w:rPr>
        <w:noBreakHyphen/>
        <w:t>mine coal extracted (tonnes).</w:t>
      </w:r>
    </w:p>
    <w:p w14:paraId="4F8C09E4" w14:textId="77777777" w:rsidR="00010E2E" w:rsidRPr="008870C0" w:rsidRDefault="00010E2E">
      <w:pPr>
        <w:pStyle w:val="R2"/>
        <w:rPr>
          <w:sz w:val="22"/>
          <w:szCs w:val="22"/>
        </w:rPr>
      </w:pPr>
      <w:r w:rsidRPr="008870C0">
        <w:rPr>
          <w:b/>
          <w:i/>
          <w:sz w:val="22"/>
          <w:szCs w:val="22"/>
        </w:rPr>
        <w:tab/>
      </w:r>
      <w:r w:rsidRPr="008870C0">
        <w:rPr>
          <w:b/>
          <w:i/>
          <w:sz w:val="22"/>
          <w:szCs w:val="22"/>
        </w:rPr>
        <w:tab/>
        <w:t>EF</w:t>
      </w:r>
      <w:r w:rsidRPr="008870C0">
        <w:rPr>
          <w:b/>
          <w:i/>
          <w:sz w:val="22"/>
          <w:szCs w:val="22"/>
          <w:vertAlign w:val="subscript"/>
        </w:rPr>
        <w:t>j</w:t>
      </w:r>
      <w:r w:rsidRPr="008870C0">
        <w:rPr>
          <w:sz w:val="22"/>
          <w:szCs w:val="22"/>
        </w:rPr>
        <w:t xml:space="preserve"> </w:t>
      </w:r>
      <w:r w:rsidRPr="008870C0">
        <w:rPr>
          <w:rStyle w:val="EquationNoteChar"/>
          <w:rFonts w:ascii="Times New Roman" w:hAnsi="Times New Roman" w:cs="Times New Roman"/>
          <w:sz w:val="22"/>
          <w:szCs w:val="22"/>
        </w:rPr>
        <w:t>is taken to be 0.01</w:t>
      </w:r>
      <w:r w:rsidR="007C16B0">
        <w:rPr>
          <w:rStyle w:val="EquationNoteChar"/>
          <w:rFonts w:ascii="Times New Roman" w:hAnsi="Times New Roman" w:cs="Times New Roman"/>
          <w:sz w:val="22"/>
          <w:szCs w:val="22"/>
        </w:rPr>
        <w:t>7</w:t>
      </w:r>
      <w:r w:rsidRPr="008870C0">
        <w:rPr>
          <w:rStyle w:val="EquationNoteChar"/>
          <w:rFonts w:ascii="Times New Roman" w:hAnsi="Times New Roman" w:cs="Times New Roman"/>
          <w:sz w:val="22"/>
          <w:szCs w:val="22"/>
        </w:rPr>
        <w:t>, which is the emission factor for methane (j), measured in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 per tonne of run</w:t>
      </w:r>
      <w:r w:rsidRPr="008870C0">
        <w:rPr>
          <w:rStyle w:val="EquationNoteChar"/>
          <w:rFonts w:ascii="Times New Roman" w:hAnsi="Times New Roman" w:cs="Times New Roman"/>
          <w:sz w:val="22"/>
          <w:szCs w:val="22"/>
        </w:rPr>
        <w:noBreakHyphen/>
        <w:t>of</w:t>
      </w:r>
      <w:r w:rsidRPr="008870C0">
        <w:rPr>
          <w:rStyle w:val="EquationNoteChar"/>
          <w:rFonts w:ascii="Times New Roman" w:hAnsi="Times New Roman" w:cs="Times New Roman"/>
          <w:sz w:val="22"/>
          <w:szCs w:val="22"/>
        </w:rPr>
        <w:noBreakHyphen/>
        <w:t>mine coal extracted from the mine.</w:t>
      </w:r>
    </w:p>
    <w:p w14:paraId="4A643DC1" w14:textId="77777777" w:rsidR="00010E2E" w:rsidRDefault="00010E2E">
      <w:pPr>
        <w:pStyle w:val="BodyText"/>
        <w:tabs>
          <w:tab w:val="left" w:pos="0"/>
        </w:tabs>
        <w:spacing w:before="120" w:after="0" w:line="312" w:lineRule="auto"/>
        <w:ind w:left="0"/>
        <w:rPr>
          <w:rFonts w:ascii="Arial" w:hAnsi="Arial" w:cs="Arial"/>
          <w:b/>
          <w:bCs/>
        </w:rPr>
      </w:pPr>
    </w:p>
    <w:p w14:paraId="75DDD9FC" w14:textId="58CEFD68" w:rsidR="00E221E0" w:rsidRDefault="00E221E0">
      <w:pPr>
        <w:ind w:left="0"/>
        <w:rPr>
          <w:rFonts w:ascii="Arial" w:hAnsi="Arial"/>
        </w:rPr>
      </w:pPr>
      <w:bookmarkStart w:id="53" w:name="_Toc391646692"/>
    </w:p>
    <w:p w14:paraId="02A1EB5C" w14:textId="40F79A0E" w:rsidR="00D76245" w:rsidRDefault="00E94666" w:rsidP="00C23E3B">
      <w:pPr>
        <w:pStyle w:val="Caption"/>
      </w:pPr>
      <w:bookmarkStart w:id="54" w:name="_Toc485728115"/>
      <w:r>
        <w:t xml:space="preserve">Table </w:t>
      </w:r>
      <w:r w:rsidR="00DC52E0">
        <w:fldChar w:fldCharType="begin"/>
      </w:r>
      <w:r>
        <w:instrText xml:space="preserve"> SEQ Table \* ARABIC </w:instrText>
      </w:r>
      <w:r w:rsidR="00DC52E0">
        <w:fldChar w:fldCharType="separate"/>
      </w:r>
      <w:r w:rsidR="004A1330">
        <w:rPr>
          <w:noProof/>
        </w:rPr>
        <w:t>7</w:t>
      </w:r>
      <w:r w:rsidR="00DC52E0">
        <w:fldChar w:fldCharType="end"/>
      </w:r>
      <w:r w:rsidR="00010E2E">
        <w:t>: Post-mining activities—emission factors</w:t>
      </w:r>
      <w:bookmarkEnd w:id="53"/>
      <w:bookmarkEnd w:id="5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6"/>
        <w:gridCol w:w="4033"/>
      </w:tblGrid>
      <w:tr w:rsidR="00010E2E" w14:paraId="2AD293A3" w14:textId="77777777" w:rsidTr="00382DF3">
        <w:trPr>
          <w:cantSplit/>
        </w:trPr>
        <w:tc>
          <w:tcPr>
            <w:tcW w:w="4242" w:type="dxa"/>
            <w:vMerge w:val="restart"/>
            <w:shd w:val="pct15" w:color="auto" w:fill="auto"/>
            <w:vAlign w:val="center"/>
          </w:tcPr>
          <w:p w14:paraId="18CEDE86" w14:textId="77777777" w:rsidR="00010E2E" w:rsidRDefault="00010E2E" w:rsidP="00382DF3">
            <w:pPr>
              <w:pStyle w:val="Table"/>
              <w:jc w:val="center"/>
              <w:rPr>
                <w:b/>
                <w:bCs/>
              </w:rPr>
            </w:pPr>
            <w:r>
              <w:rPr>
                <w:b/>
                <w:bCs/>
              </w:rPr>
              <w:t>Post-mining activities</w:t>
            </w:r>
          </w:p>
        </w:tc>
        <w:tc>
          <w:tcPr>
            <w:tcW w:w="4122" w:type="dxa"/>
            <w:shd w:val="pct15" w:color="auto" w:fill="auto"/>
            <w:vAlign w:val="center"/>
          </w:tcPr>
          <w:p w14:paraId="533B73B4" w14:textId="77777777" w:rsidR="00010E2E" w:rsidRDefault="00010E2E" w:rsidP="00382DF3">
            <w:pPr>
              <w:pStyle w:val="TableCentre"/>
              <w:rPr>
                <w:b/>
                <w:bCs/>
              </w:rPr>
            </w:pPr>
            <w:r>
              <w:rPr>
                <w:b/>
                <w:bCs/>
              </w:rPr>
              <w:t>Emission factor (tonnes CO</w:t>
            </w:r>
            <w:r>
              <w:rPr>
                <w:rStyle w:val="Subscript"/>
                <w:b/>
                <w:bCs/>
              </w:rPr>
              <w:t>2</w:t>
            </w:r>
            <w:r>
              <w:rPr>
                <w:b/>
                <w:bCs/>
              </w:rPr>
              <w:t>-e/ tonne raw coal)</w:t>
            </w:r>
          </w:p>
        </w:tc>
      </w:tr>
      <w:tr w:rsidR="00010E2E" w14:paraId="752DC4FB" w14:textId="77777777" w:rsidTr="00382DF3">
        <w:trPr>
          <w:cantSplit/>
          <w:trHeight w:val="399"/>
        </w:trPr>
        <w:tc>
          <w:tcPr>
            <w:tcW w:w="4242" w:type="dxa"/>
            <w:vMerge/>
            <w:shd w:val="pct15" w:color="auto" w:fill="auto"/>
            <w:vAlign w:val="center"/>
          </w:tcPr>
          <w:p w14:paraId="6B76A67C" w14:textId="77777777" w:rsidR="00010E2E" w:rsidRDefault="00010E2E" w:rsidP="00382DF3">
            <w:pPr>
              <w:pStyle w:val="Table"/>
              <w:jc w:val="center"/>
              <w:rPr>
                <w:b/>
                <w:bCs/>
              </w:rPr>
            </w:pPr>
          </w:p>
        </w:tc>
        <w:tc>
          <w:tcPr>
            <w:tcW w:w="4122" w:type="dxa"/>
            <w:shd w:val="clear" w:color="auto" w:fill="D9D9D9"/>
            <w:vAlign w:val="center"/>
          </w:tcPr>
          <w:p w14:paraId="41DDCDD2" w14:textId="77777777" w:rsidR="00010E2E" w:rsidRDefault="00010E2E" w:rsidP="00382DF3">
            <w:pPr>
              <w:pStyle w:val="TableCentre"/>
              <w:rPr>
                <w:b/>
                <w:bCs/>
              </w:rPr>
            </w:pPr>
            <w:r>
              <w:rPr>
                <w:b/>
                <w:bCs/>
              </w:rPr>
              <w:t>CH</w:t>
            </w:r>
            <w:r>
              <w:rPr>
                <w:rStyle w:val="Subscript"/>
                <w:b/>
                <w:bCs/>
              </w:rPr>
              <w:t>4</w:t>
            </w:r>
          </w:p>
        </w:tc>
      </w:tr>
      <w:tr w:rsidR="00010E2E" w14:paraId="50854AB1" w14:textId="77777777" w:rsidTr="00382DF3">
        <w:tc>
          <w:tcPr>
            <w:tcW w:w="4242" w:type="dxa"/>
          </w:tcPr>
          <w:p w14:paraId="77EACD43" w14:textId="77777777" w:rsidR="00010E2E" w:rsidRDefault="00010E2E">
            <w:pPr>
              <w:pStyle w:val="Table"/>
            </w:pPr>
            <w:r>
              <w:t>Post mining activities associated with gassy underground mines</w:t>
            </w:r>
          </w:p>
        </w:tc>
        <w:tc>
          <w:tcPr>
            <w:tcW w:w="4122" w:type="dxa"/>
          </w:tcPr>
          <w:p w14:paraId="05D17BC1" w14:textId="77777777" w:rsidR="00010E2E" w:rsidRDefault="00010E2E">
            <w:pPr>
              <w:pStyle w:val="TableCentre"/>
            </w:pPr>
            <w:r>
              <w:t>0.01</w:t>
            </w:r>
            <w:r w:rsidR="00D90C4C">
              <w:t>7</w:t>
            </w:r>
          </w:p>
        </w:tc>
      </w:tr>
    </w:tbl>
    <w:p w14:paraId="28E03A1F" w14:textId="590ABAF8" w:rsidR="00010E2E" w:rsidRDefault="00010E2E" w:rsidP="00656706">
      <w:pPr>
        <w:pStyle w:val="TableNote"/>
      </w:pPr>
      <w:r>
        <w:t>Source: National Greenhouse and Energy Reporting (Measurement) Determination 2008 (Section 3.17)</w:t>
      </w:r>
      <w:r w:rsidR="00554938">
        <w:t>.</w:t>
      </w:r>
    </w:p>
    <w:p w14:paraId="3D227202" w14:textId="77777777" w:rsidR="00010E2E" w:rsidRDefault="00010E2E">
      <w:pPr>
        <w:pStyle w:val="Heading4"/>
        <w:ind w:left="0" w:firstLine="0"/>
        <w:rPr>
          <w:rFonts w:ascii="Arial" w:hAnsi="Arial"/>
          <w:bCs/>
          <w:i/>
          <w:u w:val="single"/>
        </w:rPr>
      </w:pPr>
      <w:r>
        <w:rPr>
          <w:rFonts w:ascii="Arial" w:hAnsi="Arial"/>
          <w:bCs/>
          <w:i/>
          <w:u w:val="single"/>
        </w:rPr>
        <w:t>Open cut mines</w:t>
      </w:r>
    </w:p>
    <w:p w14:paraId="6D7C79C9" w14:textId="77777777" w:rsidR="00010E2E" w:rsidRDefault="00010E2E">
      <w:pPr>
        <w:pStyle w:val="BodyText"/>
        <w:tabs>
          <w:tab w:val="left" w:pos="0"/>
        </w:tabs>
        <w:spacing w:before="120" w:after="0" w:line="312" w:lineRule="auto"/>
        <w:ind w:left="0"/>
        <w:rPr>
          <w:rFonts w:ascii="Arial" w:hAnsi="Arial" w:cs="Arial"/>
          <w:bCs/>
        </w:rPr>
      </w:pPr>
      <w:r>
        <w:rPr>
          <w:rFonts w:ascii="Arial" w:hAnsi="Arial" w:cs="Arial"/>
          <w:bCs/>
        </w:rPr>
        <w:t xml:space="preserve">The method for estimating emissions from open cut mining operations is described below. </w:t>
      </w:r>
    </w:p>
    <w:p w14:paraId="5B5903A9" w14:textId="77777777" w:rsidR="00010E2E" w:rsidRPr="008870C0" w:rsidRDefault="00CA4FB8">
      <w:pPr>
        <w:pStyle w:val="Formula"/>
        <w:rPr>
          <w:sz w:val="22"/>
          <w:szCs w:val="22"/>
        </w:rPr>
      </w:pPr>
      <w:r>
        <w:rPr>
          <w:position w:val="-14"/>
          <w:sz w:val="22"/>
          <w:szCs w:val="22"/>
        </w:rPr>
        <w:pict w14:anchorId="4CD157DC">
          <v:shape id="_x0000_i1031" type="#_x0000_t75" style="width:72.75pt;height:19.5pt">
            <v:imagedata r:id="rId33" o:title=""/>
          </v:shape>
        </w:pict>
      </w:r>
    </w:p>
    <w:p w14:paraId="00EE5D1D" w14:textId="77777777" w:rsidR="00010E2E" w:rsidRPr="008870C0" w:rsidRDefault="00010E2E" w:rsidP="00656706">
      <w:pPr>
        <w:pStyle w:val="ZRcN"/>
        <w:ind w:left="714"/>
        <w:rPr>
          <w:sz w:val="22"/>
          <w:szCs w:val="22"/>
        </w:rPr>
      </w:pPr>
      <w:r w:rsidRPr="008870C0">
        <w:rPr>
          <w:sz w:val="22"/>
          <w:szCs w:val="22"/>
        </w:rPr>
        <w:t>where:</w:t>
      </w:r>
    </w:p>
    <w:p w14:paraId="5376D888" w14:textId="77777777" w:rsidR="00010E2E" w:rsidRPr="008870C0" w:rsidRDefault="00010E2E" w:rsidP="00656706">
      <w:pPr>
        <w:pStyle w:val="definition"/>
        <w:ind w:left="714"/>
        <w:rPr>
          <w:sz w:val="22"/>
          <w:szCs w:val="22"/>
        </w:rPr>
      </w:pPr>
      <w:r w:rsidRPr="008870C0">
        <w:rPr>
          <w:b/>
          <w:i/>
          <w:sz w:val="22"/>
          <w:szCs w:val="22"/>
        </w:rPr>
        <w:t>E</w:t>
      </w:r>
      <w:r w:rsidRPr="008870C0">
        <w:rPr>
          <w:b/>
          <w:i/>
          <w:sz w:val="22"/>
          <w:szCs w:val="22"/>
          <w:vertAlign w:val="subscript"/>
        </w:rPr>
        <w:t>j</w:t>
      </w:r>
      <w:r w:rsidRPr="008870C0">
        <w:rPr>
          <w:sz w:val="22"/>
          <w:szCs w:val="22"/>
        </w:rPr>
        <w:t xml:space="preserve"> </w:t>
      </w:r>
      <w:r w:rsidRPr="008870C0">
        <w:rPr>
          <w:rStyle w:val="EquationNoteChar"/>
          <w:rFonts w:ascii="Times New Roman" w:hAnsi="Times New Roman" w:cs="Times New Roman"/>
          <w:sz w:val="22"/>
          <w:szCs w:val="22"/>
        </w:rPr>
        <w:t>is the fugitive emissions of methane (j) that result from the extraction of coal from the mine during the year measured in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115DBFB0" w14:textId="77777777" w:rsidR="00DD2190" w:rsidRPr="008870C0" w:rsidRDefault="00010E2E" w:rsidP="00656706">
      <w:pPr>
        <w:pStyle w:val="definition"/>
        <w:ind w:left="714"/>
        <w:rPr>
          <w:rStyle w:val="EquationNoteChar"/>
          <w:rFonts w:ascii="Times New Roman" w:hAnsi="Times New Roman" w:cs="Times New Roman"/>
          <w:sz w:val="22"/>
          <w:szCs w:val="22"/>
        </w:rPr>
      </w:pPr>
      <w:r w:rsidRPr="008870C0">
        <w:rPr>
          <w:b/>
          <w:i/>
          <w:sz w:val="22"/>
          <w:szCs w:val="22"/>
        </w:rPr>
        <w:t>Q</w:t>
      </w:r>
      <w:r w:rsidRPr="008870C0">
        <w:rPr>
          <w:sz w:val="22"/>
          <w:szCs w:val="22"/>
        </w:rPr>
        <w:t xml:space="preserve"> </w:t>
      </w:r>
      <w:r w:rsidRPr="008870C0">
        <w:rPr>
          <w:rStyle w:val="EquationNoteChar"/>
          <w:rFonts w:ascii="Times New Roman" w:hAnsi="Times New Roman" w:cs="Times New Roman"/>
          <w:sz w:val="22"/>
          <w:szCs w:val="22"/>
        </w:rPr>
        <w:t>is the quantity of run</w:t>
      </w:r>
      <w:r w:rsidRPr="008870C0">
        <w:rPr>
          <w:rStyle w:val="EquationNoteChar"/>
          <w:rFonts w:ascii="Times New Roman" w:hAnsi="Times New Roman" w:cs="Times New Roman"/>
          <w:sz w:val="22"/>
          <w:szCs w:val="22"/>
        </w:rPr>
        <w:noBreakHyphen/>
        <w:t>of</w:t>
      </w:r>
      <w:r w:rsidRPr="008870C0">
        <w:rPr>
          <w:rStyle w:val="EquationNoteChar"/>
          <w:rFonts w:ascii="Times New Roman" w:hAnsi="Times New Roman" w:cs="Times New Roman"/>
          <w:sz w:val="22"/>
          <w:szCs w:val="22"/>
        </w:rPr>
        <w:noBreakHyphen/>
        <w:t>mine coal extracted from the mine during the year measured in tonnes.</w:t>
      </w:r>
    </w:p>
    <w:p w14:paraId="201D4267" w14:textId="4A7D1B56" w:rsidR="00D76245" w:rsidRDefault="00010E2E" w:rsidP="00656706">
      <w:pPr>
        <w:pStyle w:val="definition"/>
        <w:spacing w:after="240"/>
        <w:ind w:left="714"/>
      </w:pPr>
      <w:r w:rsidRPr="008870C0">
        <w:rPr>
          <w:b/>
          <w:i/>
          <w:sz w:val="22"/>
          <w:szCs w:val="22"/>
        </w:rPr>
        <w:t>EF</w:t>
      </w:r>
      <w:r w:rsidRPr="008870C0">
        <w:rPr>
          <w:b/>
          <w:i/>
          <w:sz w:val="22"/>
          <w:szCs w:val="22"/>
          <w:vertAlign w:val="subscript"/>
        </w:rPr>
        <w:t>j</w:t>
      </w:r>
      <w:r w:rsidRPr="008870C0">
        <w:rPr>
          <w:sz w:val="22"/>
          <w:szCs w:val="22"/>
        </w:rPr>
        <w:t xml:space="preserve"> </w:t>
      </w:r>
      <w:r w:rsidRPr="008870C0">
        <w:rPr>
          <w:rStyle w:val="EquationNoteChar"/>
          <w:rFonts w:ascii="Times New Roman" w:hAnsi="Times New Roman" w:cs="Times New Roman"/>
          <w:sz w:val="22"/>
          <w:szCs w:val="22"/>
        </w:rPr>
        <w:t>is the emission factor for methane (j), measured in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 per tonne of run</w:t>
      </w:r>
      <w:r w:rsidRPr="008870C0">
        <w:rPr>
          <w:rStyle w:val="EquationNoteChar"/>
          <w:rFonts w:ascii="Times New Roman" w:hAnsi="Times New Roman" w:cs="Times New Roman"/>
          <w:sz w:val="22"/>
          <w:szCs w:val="22"/>
        </w:rPr>
        <w:noBreakHyphen/>
        <w:t>of</w:t>
      </w:r>
      <w:r w:rsidRPr="008870C0">
        <w:rPr>
          <w:rStyle w:val="EquationNoteChar"/>
          <w:rFonts w:ascii="Times New Roman" w:hAnsi="Times New Roman" w:cs="Times New Roman"/>
          <w:sz w:val="22"/>
          <w:szCs w:val="22"/>
        </w:rPr>
        <w:noBreakHyphen/>
        <w:t>mine coal extracted from the mine, taken to be the following:</w:t>
      </w:r>
    </w:p>
    <w:p w14:paraId="1D893EC4" w14:textId="77777777" w:rsidR="00D76245" w:rsidRDefault="00E94666" w:rsidP="00C23E3B">
      <w:pPr>
        <w:pStyle w:val="Caption"/>
      </w:pPr>
      <w:bookmarkStart w:id="55" w:name="_Toc391646693"/>
      <w:bookmarkStart w:id="56" w:name="_Toc485728116"/>
      <w:r>
        <w:t xml:space="preserve">Table </w:t>
      </w:r>
      <w:r w:rsidR="00DC52E0">
        <w:fldChar w:fldCharType="begin"/>
      </w:r>
      <w:r>
        <w:instrText xml:space="preserve"> SEQ Table \* ARABIC </w:instrText>
      </w:r>
      <w:r w:rsidR="00DC52E0">
        <w:fldChar w:fldCharType="separate"/>
      </w:r>
      <w:r w:rsidR="004A1330">
        <w:rPr>
          <w:noProof/>
        </w:rPr>
        <w:t>8</w:t>
      </w:r>
      <w:r w:rsidR="00DC52E0">
        <w:fldChar w:fldCharType="end"/>
      </w:r>
      <w:r w:rsidR="00010E2E">
        <w:t>:  Emission factors for the production of coal (fugitive</w:t>
      </w:r>
      <w:r w:rsidR="00644639">
        <w:t>) -</w:t>
      </w:r>
      <w:r w:rsidR="00010E2E">
        <w:t xml:space="preserve"> Open cut</w:t>
      </w:r>
      <w:bookmarkEnd w:id="55"/>
      <w:bookmarkEnd w:id="56"/>
    </w:p>
    <w:tbl>
      <w:tblPr>
        <w:tblW w:w="836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4054"/>
        <w:gridCol w:w="4307"/>
      </w:tblGrid>
      <w:tr w:rsidR="00010E2E" w:rsidRPr="008870C0" w14:paraId="67EA4FB9" w14:textId="77777777" w:rsidTr="00382DF3">
        <w:trPr>
          <w:cantSplit/>
          <w:trHeight w:val="288"/>
          <w:jc w:val="center"/>
        </w:trPr>
        <w:tc>
          <w:tcPr>
            <w:tcW w:w="4054" w:type="dxa"/>
            <w:tcBorders>
              <w:top w:val="single" w:sz="4" w:space="0" w:color="auto"/>
            </w:tcBorders>
            <w:shd w:val="pct15" w:color="auto" w:fill="auto"/>
            <w:vAlign w:val="center"/>
          </w:tcPr>
          <w:p w14:paraId="35399469" w14:textId="77777777" w:rsidR="00010E2E" w:rsidRPr="008870C0" w:rsidRDefault="00010E2E" w:rsidP="00382DF3">
            <w:pPr>
              <w:pStyle w:val="Table"/>
              <w:jc w:val="center"/>
              <w:rPr>
                <w:rStyle w:val="Strong"/>
                <w:rFonts w:cs="Arial"/>
                <w:sz w:val="18"/>
                <w:szCs w:val="18"/>
              </w:rPr>
            </w:pPr>
            <w:r w:rsidRPr="008870C0">
              <w:rPr>
                <w:rStyle w:val="Strong"/>
                <w:rFonts w:cs="Arial"/>
                <w:sz w:val="18"/>
                <w:szCs w:val="18"/>
              </w:rPr>
              <w:t>Activities related to extraction of coal (fugitive)</w:t>
            </w:r>
          </w:p>
        </w:tc>
        <w:tc>
          <w:tcPr>
            <w:tcW w:w="4307" w:type="dxa"/>
            <w:tcBorders>
              <w:top w:val="single" w:sz="4" w:space="0" w:color="auto"/>
            </w:tcBorders>
            <w:shd w:val="pct15" w:color="auto" w:fill="auto"/>
            <w:vAlign w:val="center"/>
          </w:tcPr>
          <w:p w14:paraId="7CFF4440" w14:textId="77777777" w:rsidR="00010E2E" w:rsidRPr="008870C0" w:rsidRDefault="00010E2E" w:rsidP="00382DF3">
            <w:pPr>
              <w:pStyle w:val="TableCentre"/>
              <w:rPr>
                <w:rStyle w:val="Strong"/>
                <w:rFonts w:cs="Arial"/>
                <w:sz w:val="18"/>
                <w:szCs w:val="18"/>
              </w:rPr>
            </w:pPr>
            <w:r w:rsidRPr="008870C0">
              <w:rPr>
                <w:rStyle w:val="Strong"/>
                <w:rFonts w:cs="Arial"/>
                <w:sz w:val="18"/>
                <w:szCs w:val="18"/>
              </w:rPr>
              <w:t>Emission factor (tonnes CO</w:t>
            </w:r>
            <w:r w:rsidRPr="008870C0">
              <w:rPr>
                <w:rStyle w:val="Subscript"/>
                <w:b/>
                <w:bCs/>
                <w:sz w:val="18"/>
                <w:szCs w:val="18"/>
              </w:rPr>
              <w:t>2</w:t>
            </w:r>
            <w:r w:rsidRPr="008870C0">
              <w:rPr>
                <w:rStyle w:val="Strong"/>
                <w:rFonts w:cs="Arial"/>
                <w:sz w:val="18"/>
                <w:szCs w:val="18"/>
              </w:rPr>
              <w:t>-e/</w:t>
            </w:r>
            <w:r w:rsidRPr="008870C0">
              <w:rPr>
                <w:sz w:val="18"/>
                <w:szCs w:val="18"/>
              </w:rPr>
              <w:t xml:space="preserve"> </w:t>
            </w:r>
            <w:r w:rsidRPr="008870C0">
              <w:rPr>
                <w:b/>
                <w:bCs/>
                <w:sz w:val="18"/>
                <w:szCs w:val="18"/>
              </w:rPr>
              <w:t>tonne raw coal</w:t>
            </w:r>
            <w:r w:rsidRPr="008870C0">
              <w:rPr>
                <w:rStyle w:val="Strong"/>
                <w:rFonts w:cs="Arial"/>
                <w:sz w:val="18"/>
                <w:szCs w:val="18"/>
              </w:rPr>
              <w:t>)</w:t>
            </w:r>
          </w:p>
        </w:tc>
      </w:tr>
      <w:tr w:rsidR="00010E2E" w:rsidRPr="008870C0" w14:paraId="454D306C" w14:textId="77777777" w:rsidTr="00382DF3">
        <w:trPr>
          <w:cantSplit/>
          <w:trHeight w:val="487"/>
          <w:jc w:val="center"/>
        </w:trPr>
        <w:tc>
          <w:tcPr>
            <w:tcW w:w="4054" w:type="dxa"/>
            <w:shd w:val="pct15" w:color="auto" w:fill="auto"/>
            <w:vAlign w:val="center"/>
          </w:tcPr>
          <w:p w14:paraId="23014B71" w14:textId="77777777" w:rsidR="00010E2E" w:rsidRPr="008870C0" w:rsidRDefault="00010E2E" w:rsidP="00382DF3">
            <w:pPr>
              <w:pStyle w:val="Table"/>
              <w:jc w:val="center"/>
              <w:rPr>
                <w:rStyle w:val="Strong"/>
                <w:rFonts w:cs="Arial"/>
                <w:sz w:val="18"/>
                <w:szCs w:val="18"/>
              </w:rPr>
            </w:pPr>
          </w:p>
        </w:tc>
        <w:tc>
          <w:tcPr>
            <w:tcW w:w="4307" w:type="dxa"/>
            <w:shd w:val="pct15" w:color="auto" w:fill="auto"/>
            <w:vAlign w:val="center"/>
          </w:tcPr>
          <w:p w14:paraId="03B802B9" w14:textId="77777777" w:rsidR="00010E2E" w:rsidRPr="008870C0" w:rsidRDefault="00010E2E" w:rsidP="00382DF3">
            <w:pPr>
              <w:pStyle w:val="TableCentre"/>
              <w:rPr>
                <w:rStyle w:val="Strong"/>
                <w:rFonts w:cs="Arial"/>
                <w:sz w:val="18"/>
                <w:szCs w:val="18"/>
              </w:rPr>
            </w:pPr>
            <w:r w:rsidRPr="008870C0">
              <w:rPr>
                <w:rStyle w:val="Strong"/>
                <w:rFonts w:cs="Arial"/>
                <w:sz w:val="18"/>
                <w:szCs w:val="18"/>
              </w:rPr>
              <w:t>CH</w:t>
            </w:r>
            <w:r w:rsidRPr="008870C0">
              <w:rPr>
                <w:rStyle w:val="Subscript"/>
                <w:b/>
                <w:bCs/>
                <w:sz w:val="18"/>
                <w:szCs w:val="18"/>
              </w:rPr>
              <w:t>4</w:t>
            </w:r>
          </w:p>
        </w:tc>
      </w:tr>
      <w:tr w:rsidR="00010E2E" w:rsidRPr="008870C0" w14:paraId="39E56F61" w14:textId="77777777" w:rsidTr="009209C4">
        <w:trPr>
          <w:trHeight w:val="259"/>
          <w:jc w:val="center"/>
        </w:trPr>
        <w:tc>
          <w:tcPr>
            <w:tcW w:w="4054" w:type="dxa"/>
          </w:tcPr>
          <w:p w14:paraId="3D47886F" w14:textId="77777777" w:rsidR="00010E2E" w:rsidRPr="008870C0" w:rsidRDefault="00010E2E">
            <w:pPr>
              <w:pStyle w:val="Table"/>
              <w:rPr>
                <w:sz w:val="18"/>
                <w:szCs w:val="18"/>
              </w:rPr>
            </w:pPr>
            <w:r w:rsidRPr="008870C0">
              <w:rPr>
                <w:sz w:val="18"/>
                <w:szCs w:val="18"/>
              </w:rPr>
              <w:t>Open cut  mines—NSW</w:t>
            </w:r>
          </w:p>
        </w:tc>
        <w:tc>
          <w:tcPr>
            <w:tcW w:w="4307" w:type="dxa"/>
          </w:tcPr>
          <w:p w14:paraId="7C49E50F" w14:textId="77777777" w:rsidR="00010E2E" w:rsidRPr="008870C0" w:rsidRDefault="00010E2E">
            <w:pPr>
              <w:pStyle w:val="TableCentre"/>
              <w:rPr>
                <w:sz w:val="18"/>
                <w:szCs w:val="18"/>
              </w:rPr>
            </w:pPr>
            <w:r w:rsidRPr="008870C0">
              <w:rPr>
                <w:sz w:val="18"/>
                <w:szCs w:val="18"/>
              </w:rPr>
              <w:t>0.0</w:t>
            </w:r>
            <w:r w:rsidR="00D90C4C">
              <w:rPr>
                <w:sz w:val="18"/>
                <w:szCs w:val="18"/>
              </w:rPr>
              <w:t>54</w:t>
            </w:r>
          </w:p>
        </w:tc>
      </w:tr>
      <w:tr w:rsidR="00010E2E" w:rsidRPr="008870C0" w14:paraId="09CB6733" w14:textId="77777777" w:rsidTr="009209C4">
        <w:trPr>
          <w:trHeight w:val="259"/>
          <w:jc w:val="center"/>
        </w:trPr>
        <w:tc>
          <w:tcPr>
            <w:tcW w:w="4054" w:type="dxa"/>
          </w:tcPr>
          <w:p w14:paraId="31EEAAB0" w14:textId="77777777" w:rsidR="00010E2E" w:rsidRPr="008870C0" w:rsidRDefault="00010E2E">
            <w:pPr>
              <w:pStyle w:val="Table"/>
              <w:rPr>
                <w:sz w:val="18"/>
                <w:szCs w:val="18"/>
              </w:rPr>
            </w:pPr>
            <w:r w:rsidRPr="008870C0">
              <w:rPr>
                <w:sz w:val="18"/>
                <w:szCs w:val="18"/>
              </w:rPr>
              <w:t>Open cut  mines—Queensland</w:t>
            </w:r>
          </w:p>
        </w:tc>
        <w:tc>
          <w:tcPr>
            <w:tcW w:w="4307" w:type="dxa"/>
          </w:tcPr>
          <w:p w14:paraId="2C170299" w14:textId="77777777" w:rsidR="00010E2E" w:rsidRPr="008870C0" w:rsidRDefault="00010E2E">
            <w:pPr>
              <w:pStyle w:val="TableCentre"/>
              <w:rPr>
                <w:sz w:val="18"/>
                <w:szCs w:val="18"/>
              </w:rPr>
            </w:pPr>
            <w:r w:rsidRPr="008870C0">
              <w:rPr>
                <w:sz w:val="18"/>
                <w:szCs w:val="18"/>
              </w:rPr>
              <w:t>0.0</w:t>
            </w:r>
            <w:r w:rsidR="00D90C4C">
              <w:rPr>
                <w:sz w:val="18"/>
                <w:szCs w:val="18"/>
              </w:rPr>
              <w:t>20</w:t>
            </w:r>
          </w:p>
        </w:tc>
      </w:tr>
      <w:tr w:rsidR="00010E2E" w:rsidRPr="008870C0" w14:paraId="3DF17BBE" w14:textId="77777777" w:rsidTr="009209C4">
        <w:trPr>
          <w:trHeight w:val="259"/>
          <w:jc w:val="center"/>
        </w:trPr>
        <w:tc>
          <w:tcPr>
            <w:tcW w:w="4054" w:type="dxa"/>
          </w:tcPr>
          <w:p w14:paraId="5B42CB2B" w14:textId="77777777" w:rsidR="00010E2E" w:rsidRPr="008870C0" w:rsidRDefault="00010E2E">
            <w:pPr>
              <w:pStyle w:val="Table"/>
              <w:rPr>
                <w:sz w:val="18"/>
                <w:szCs w:val="18"/>
              </w:rPr>
            </w:pPr>
            <w:r w:rsidRPr="008870C0">
              <w:rPr>
                <w:sz w:val="18"/>
                <w:szCs w:val="18"/>
              </w:rPr>
              <w:t xml:space="preserve">Open cut  mines—Tasmania </w:t>
            </w:r>
          </w:p>
        </w:tc>
        <w:tc>
          <w:tcPr>
            <w:tcW w:w="4307" w:type="dxa"/>
          </w:tcPr>
          <w:p w14:paraId="2C7920F1" w14:textId="77777777" w:rsidR="00010E2E" w:rsidRPr="008870C0" w:rsidRDefault="00010E2E">
            <w:pPr>
              <w:pStyle w:val="TableCentre"/>
              <w:rPr>
                <w:sz w:val="18"/>
                <w:szCs w:val="18"/>
              </w:rPr>
            </w:pPr>
            <w:r w:rsidRPr="008870C0">
              <w:rPr>
                <w:sz w:val="18"/>
                <w:szCs w:val="18"/>
              </w:rPr>
              <w:t>0.01</w:t>
            </w:r>
            <w:r w:rsidR="00D90C4C">
              <w:rPr>
                <w:sz w:val="18"/>
                <w:szCs w:val="18"/>
              </w:rPr>
              <w:t>7</w:t>
            </w:r>
          </w:p>
        </w:tc>
      </w:tr>
      <w:tr w:rsidR="00010E2E" w:rsidRPr="008870C0" w14:paraId="0097B5BD" w14:textId="77777777" w:rsidTr="009209C4">
        <w:trPr>
          <w:trHeight w:val="259"/>
          <w:jc w:val="center"/>
        </w:trPr>
        <w:tc>
          <w:tcPr>
            <w:tcW w:w="4054" w:type="dxa"/>
          </w:tcPr>
          <w:p w14:paraId="7424F8B8" w14:textId="77777777" w:rsidR="00010E2E" w:rsidRPr="008870C0" w:rsidRDefault="00010E2E">
            <w:pPr>
              <w:pStyle w:val="Table"/>
              <w:rPr>
                <w:sz w:val="18"/>
                <w:szCs w:val="18"/>
              </w:rPr>
            </w:pPr>
            <w:r w:rsidRPr="008870C0">
              <w:rPr>
                <w:sz w:val="18"/>
                <w:szCs w:val="18"/>
              </w:rPr>
              <w:t>Open cut  mines—Victoria</w:t>
            </w:r>
          </w:p>
        </w:tc>
        <w:tc>
          <w:tcPr>
            <w:tcW w:w="4307" w:type="dxa"/>
          </w:tcPr>
          <w:p w14:paraId="49669CBC" w14:textId="77777777" w:rsidR="00010E2E" w:rsidRPr="008870C0" w:rsidRDefault="00D20160">
            <w:pPr>
              <w:pStyle w:val="TableCentre"/>
              <w:rPr>
                <w:sz w:val="18"/>
                <w:szCs w:val="18"/>
              </w:rPr>
            </w:pPr>
            <w:r w:rsidRPr="00D20160">
              <w:rPr>
                <w:sz w:val="18"/>
                <w:szCs w:val="18"/>
              </w:rPr>
              <w:t>0.0002</w:t>
            </w:r>
            <w:r w:rsidR="00D90C4C">
              <w:rPr>
                <w:sz w:val="18"/>
                <w:szCs w:val="18"/>
              </w:rPr>
              <w:t>7</w:t>
            </w:r>
          </w:p>
        </w:tc>
      </w:tr>
      <w:tr w:rsidR="00010E2E" w:rsidRPr="008870C0" w14:paraId="7177237A" w14:textId="77777777" w:rsidTr="009209C4">
        <w:trPr>
          <w:trHeight w:val="259"/>
          <w:jc w:val="center"/>
        </w:trPr>
        <w:tc>
          <w:tcPr>
            <w:tcW w:w="4054" w:type="dxa"/>
          </w:tcPr>
          <w:p w14:paraId="5723B42E" w14:textId="77777777" w:rsidR="00010E2E" w:rsidRPr="008870C0" w:rsidRDefault="00010E2E">
            <w:pPr>
              <w:pStyle w:val="Table"/>
              <w:rPr>
                <w:sz w:val="18"/>
                <w:szCs w:val="18"/>
              </w:rPr>
            </w:pPr>
            <w:r w:rsidRPr="008870C0">
              <w:rPr>
                <w:sz w:val="18"/>
                <w:szCs w:val="18"/>
              </w:rPr>
              <w:t>Open cut  mines—South Australia</w:t>
            </w:r>
          </w:p>
        </w:tc>
        <w:tc>
          <w:tcPr>
            <w:tcW w:w="4307" w:type="dxa"/>
          </w:tcPr>
          <w:p w14:paraId="0FC41C1C" w14:textId="77777777" w:rsidR="00010E2E" w:rsidRPr="008870C0" w:rsidRDefault="00010E2E">
            <w:pPr>
              <w:pStyle w:val="TableCentre"/>
              <w:rPr>
                <w:sz w:val="18"/>
                <w:szCs w:val="18"/>
              </w:rPr>
            </w:pPr>
            <w:r w:rsidRPr="008870C0">
              <w:rPr>
                <w:sz w:val="18"/>
                <w:szCs w:val="18"/>
              </w:rPr>
              <w:t>0.000</w:t>
            </w:r>
            <w:r w:rsidR="00D90C4C">
              <w:rPr>
                <w:sz w:val="18"/>
                <w:szCs w:val="18"/>
              </w:rPr>
              <w:t>27</w:t>
            </w:r>
          </w:p>
        </w:tc>
      </w:tr>
      <w:tr w:rsidR="00010E2E" w:rsidRPr="008870C0" w14:paraId="780ED41A" w14:textId="77777777" w:rsidTr="009209C4">
        <w:trPr>
          <w:trHeight w:val="259"/>
          <w:jc w:val="center"/>
        </w:trPr>
        <w:tc>
          <w:tcPr>
            <w:tcW w:w="4054" w:type="dxa"/>
            <w:tcBorders>
              <w:bottom w:val="single" w:sz="4" w:space="0" w:color="auto"/>
            </w:tcBorders>
          </w:tcPr>
          <w:p w14:paraId="02990033" w14:textId="77777777" w:rsidR="00010E2E" w:rsidRPr="008870C0" w:rsidRDefault="00010E2E">
            <w:pPr>
              <w:pStyle w:val="Table"/>
              <w:rPr>
                <w:sz w:val="18"/>
                <w:szCs w:val="18"/>
              </w:rPr>
            </w:pPr>
            <w:r w:rsidRPr="008870C0">
              <w:rPr>
                <w:sz w:val="18"/>
                <w:szCs w:val="18"/>
              </w:rPr>
              <w:t>Open cut  mines—Western Australia</w:t>
            </w:r>
          </w:p>
        </w:tc>
        <w:tc>
          <w:tcPr>
            <w:tcW w:w="4307" w:type="dxa"/>
            <w:tcBorders>
              <w:bottom w:val="single" w:sz="4" w:space="0" w:color="auto"/>
            </w:tcBorders>
          </w:tcPr>
          <w:p w14:paraId="42A96830" w14:textId="77777777" w:rsidR="00010E2E" w:rsidRPr="008870C0" w:rsidRDefault="00010E2E">
            <w:pPr>
              <w:pStyle w:val="TableCentre"/>
              <w:rPr>
                <w:sz w:val="18"/>
                <w:szCs w:val="18"/>
              </w:rPr>
            </w:pPr>
            <w:r w:rsidRPr="008870C0">
              <w:rPr>
                <w:sz w:val="18"/>
                <w:szCs w:val="18"/>
              </w:rPr>
              <w:t>0.0</w:t>
            </w:r>
            <w:r w:rsidR="00D90C4C">
              <w:rPr>
                <w:sz w:val="18"/>
                <w:szCs w:val="18"/>
              </w:rPr>
              <w:t>20</w:t>
            </w:r>
          </w:p>
        </w:tc>
      </w:tr>
    </w:tbl>
    <w:p w14:paraId="6BEBD20B" w14:textId="77777777" w:rsidR="00010E2E" w:rsidRDefault="00010E2E">
      <w:pPr>
        <w:pStyle w:val="TableNote"/>
        <w:spacing w:before="60"/>
      </w:pPr>
      <w:r>
        <w:t>Source: National Greenhouse and Energy Reporting (Measurement) Determination 2008 (Section 3.20)</w:t>
      </w:r>
      <w:r w:rsidR="00554938">
        <w:t>.</w:t>
      </w:r>
    </w:p>
    <w:p w14:paraId="50E5DFB7" w14:textId="4753E189" w:rsidR="0020202E" w:rsidRDefault="0020202E">
      <w:pPr>
        <w:ind w:left="0"/>
      </w:pPr>
      <w:r>
        <w:br w:type="page"/>
      </w:r>
    </w:p>
    <w:p w14:paraId="780026C6" w14:textId="77777777" w:rsidR="00F31DAA" w:rsidRDefault="00F31DAA"/>
    <w:p w14:paraId="1DC442BA"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b/>
        </w:rPr>
      </w:pPr>
      <w:r>
        <w:rPr>
          <w:rFonts w:ascii="Arial" w:hAnsi="Arial" w:cs="Arial"/>
          <w:b/>
        </w:rPr>
        <w:t>Example: calculation of emissions from open cut mining</w:t>
      </w:r>
    </w:p>
    <w:p w14:paraId="0D40ABD8"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pPr>
    </w:p>
    <w:p w14:paraId="050D41E2"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jc w:val="both"/>
        <w:rPr>
          <w:rFonts w:ascii="Arial" w:hAnsi="Arial" w:cs="Arial"/>
        </w:rPr>
      </w:pPr>
      <w:r>
        <w:rPr>
          <w:rFonts w:ascii="Arial" w:hAnsi="Arial" w:cs="Arial"/>
        </w:rPr>
        <w:t>An open cut coal mine in NSW extracts 2,554,000 tonnes of run-of-mine coal during the year.  Emissions of greenhouse gas (methane) in tonnes of CO</w:t>
      </w:r>
      <w:r>
        <w:rPr>
          <w:rFonts w:ascii="Arial" w:hAnsi="Arial" w:cs="Arial"/>
          <w:vertAlign w:val="subscript"/>
        </w:rPr>
        <w:t>2</w:t>
      </w:r>
      <w:r>
        <w:rPr>
          <w:rFonts w:ascii="Arial" w:hAnsi="Arial" w:cs="Arial"/>
        </w:rPr>
        <w:t>-e are estimated as follows:</w:t>
      </w:r>
    </w:p>
    <w:p w14:paraId="68A5285B"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jc w:val="both"/>
        <w:rPr>
          <w:rFonts w:ascii="Arial" w:hAnsi="Arial" w:cs="Arial"/>
        </w:rPr>
      </w:pPr>
    </w:p>
    <w:p w14:paraId="230A202C"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00CA4FB8">
        <w:rPr>
          <w:rFonts w:ascii="Arial" w:hAnsi="Arial" w:cs="Arial"/>
          <w:position w:val="-14"/>
        </w:rPr>
        <w:pict w14:anchorId="16247DB3">
          <v:shape id="_x0000_i1032" type="#_x0000_t75" style="width:72.75pt;height:19.5pt">
            <v:imagedata r:id="rId33" o:title=""/>
          </v:shape>
        </w:pict>
      </w:r>
    </w:p>
    <w:p w14:paraId="56810E27"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r>
        <w:rPr>
          <w:rFonts w:ascii="Arial" w:hAnsi="Arial" w:cs="Arial"/>
        </w:rPr>
        <w:t>where:</w:t>
      </w:r>
    </w:p>
    <w:p w14:paraId="3008C3AA"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p>
    <w:p w14:paraId="4FED12C9" w14:textId="61F4834F" w:rsidR="00010E2E" w:rsidRDefault="00010E2E" w:rsidP="00656706">
      <w:pPr>
        <w:pBdr>
          <w:top w:val="single" w:sz="4" w:space="1" w:color="auto"/>
          <w:left w:val="single" w:sz="4" w:space="4" w:color="auto"/>
          <w:bottom w:val="single" w:sz="4" w:space="1" w:color="auto"/>
          <w:right w:val="single" w:sz="4" w:space="4" w:color="auto"/>
        </w:pBdr>
        <w:shd w:val="clear" w:color="auto" w:fill="F3F3F3"/>
        <w:spacing w:line="276" w:lineRule="auto"/>
        <w:ind w:left="0"/>
        <w:rPr>
          <w:rFonts w:ascii="Arial" w:hAnsi="Arial" w:cs="Arial"/>
        </w:rPr>
      </w:pPr>
      <w:r w:rsidRPr="00656706">
        <w:rPr>
          <w:b/>
          <w:sz w:val="24"/>
          <w:szCs w:val="24"/>
        </w:rPr>
        <w:t>E</w:t>
      </w:r>
      <w:r>
        <w:rPr>
          <w:sz w:val="24"/>
          <w:szCs w:val="24"/>
          <w:vertAlign w:val="subscript"/>
        </w:rPr>
        <w:t>j</w:t>
      </w:r>
      <w:r>
        <w:rPr>
          <w:rFonts w:ascii="Arial" w:hAnsi="Arial" w:cs="Arial"/>
        </w:rPr>
        <w:t xml:space="preserve"> is the emissions of methane in CO</w:t>
      </w:r>
      <w:r>
        <w:rPr>
          <w:rFonts w:ascii="Arial" w:hAnsi="Arial" w:cs="Arial"/>
          <w:vertAlign w:val="subscript"/>
        </w:rPr>
        <w:t>2</w:t>
      </w:r>
      <w:r>
        <w:rPr>
          <w:rFonts w:ascii="Arial" w:hAnsi="Arial" w:cs="Arial"/>
        </w:rPr>
        <w:t>-e tonnes.</w:t>
      </w:r>
    </w:p>
    <w:p w14:paraId="10C79AEF" w14:textId="78EB49F2" w:rsidR="00010E2E" w:rsidRDefault="00010E2E" w:rsidP="00656706">
      <w:pPr>
        <w:pBdr>
          <w:top w:val="single" w:sz="4" w:space="1" w:color="auto"/>
          <w:left w:val="single" w:sz="4" w:space="4" w:color="auto"/>
          <w:bottom w:val="single" w:sz="4" w:space="1" w:color="auto"/>
          <w:right w:val="single" w:sz="4" w:space="4" w:color="auto"/>
        </w:pBdr>
        <w:shd w:val="clear" w:color="auto" w:fill="F3F3F3"/>
        <w:spacing w:line="276" w:lineRule="auto"/>
        <w:ind w:left="0"/>
        <w:rPr>
          <w:rFonts w:ascii="Arial" w:hAnsi="Arial" w:cs="Arial"/>
        </w:rPr>
      </w:pPr>
      <w:r w:rsidRPr="00656706">
        <w:rPr>
          <w:rFonts w:ascii="Arial" w:hAnsi="Arial" w:cs="Arial"/>
          <w:b/>
        </w:rPr>
        <w:t xml:space="preserve">Q </w:t>
      </w:r>
      <w:r>
        <w:rPr>
          <w:rFonts w:ascii="Arial" w:hAnsi="Arial" w:cs="Arial"/>
        </w:rPr>
        <w:t>is the quantity of run-of-mine coal extracted = 2,554,000 tonnes of raw coal.</w:t>
      </w:r>
    </w:p>
    <w:p w14:paraId="1D86A77C" w14:textId="1290943D" w:rsidR="00010E2E" w:rsidRDefault="00010E2E" w:rsidP="00656706">
      <w:pPr>
        <w:pBdr>
          <w:top w:val="single" w:sz="4" w:space="1" w:color="auto"/>
          <w:left w:val="single" w:sz="4" w:space="4" w:color="auto"/>
          <w:bottom w:val="single" w:sz="4" w:space="1" w:color="auto"/>
          <w:right w:val="single" w:sz="4" w:space="4" w:color="auto"/>
        </w:pBdr>
        <w:shd w:val="clear" w:color="auto" w:fill="F3F3F3"/>
        <w:spacing w:line="276" w:lineRule="auto"/>
        <w:ind w:left="0"/>
        <w:rPr>
          <w:rFonts w:ascii="Arial" w:hAnsi="Arial" w:cs="Arial"/>
        </w:rPr>
      </w:pPr>
      <w:r w:rsidRPr="00656706">
        <w:rPr>
          <w:rFonts w:ascii="Arial" w:hAnsi="Arial" w:cs="Arial"/>
          <w:b/>
        </w:rPr>
        <w:t>EF</w:t>
      </w:r>
      <w:r w:rsidRPr="00656706">
        <w:rPr>
          <w:rFonts w:ascii="Arial" w:hAnsi="Arial" w:cs="Arial"/>
          <w:b/>
          <w:vertAlign w:val="subscript"/>
        </w:rPr>
        <w:t>j</w:t>
      </w:r>
      <w:r>
        <w:rPr>
          <w:rFonts w:ascii="Arial" w:hAnsi="Arial" w:cs="Arial"/>
        </w:rPr>
        <w:t xml:space="preserve"> is the emission factor for methane in CO</w:t>
      </w:r>
      <w:r>
        <w:rPr>
          <w:rFonts w:ascii="Arial" w:hAnsi="Arial" w:cs="Arial"/>
          <w:vertAlign w:val="subscript"/>
        </w:rPr>
        <w:t>2</w:t>
      </w:r>
      <w:r>
        <w:rPr>
          <w:rFonts w:ascii="Arial" w:hAnsi="Arial" w:cs="Arial"/>
        </w:rPr>
        <w:t xml:space="preserve"> e tonnes per tonne of raw coal extracted from the mine. In this case, for an open cut mine in NSW the emission factor is 0.0</w:t>
      </w:r>
      <w:r w:rsidR="00D90C4C">
        <w:rPr>
          <w:rFonts w:ascii="Arial" w:hAnsi="Arial" w:cs="Arial"/>
        </w:rPr>
        <w:t>54</w:t>
      </w:r>
      <w:r>
        <w:rPr>
          <w:rFonts w:ascii="Arial" w:hAnsi="Arial" w:cs="Arial"/>
        </w:rPr>
        <w:t xml:space="preserve"> tonnes CO</w:t>
      </w:r>
      <w:r>
        <w:rPr>
          <w:rFonts w:ascii="Arial" w:hAnsi="Arial" w:cs="Arial"/>
          <w:vertAlign w:val="subscript"/>
        </w:rPr>
        <w:t>2</w:t>
      </w:r>
      <w:r>
        <w:rPr>
          <w:rFonts w:ascii="Arial" w:hAnsi="Arial" w:cs="Arial"/>
        </w:rPr>
        <w:t>-e per tonne of raw coal extracted.</w:t>
      </w:r>
    </w:p>
    <w:p w14:paraId="51D40607"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r>
        <w:rPr>
          <w:rFonts w:ascii="Arial" w:hAnsi="Arial" w:cs="Arial"/>
        </w:rPr>
        <w:t>Therefore, the estimate of methane emissions in CO</w:t>
      </w:r>
      <w:r>
        <w:rPr>
          <w:rFonts w:ascii="Arial" w:hAnsi="Arial" w:cs="Arial"/>
          <w:vertAlign w:val="subscript"/>
        </w:rPr>
        <w:t>2</w:t>
      </w:r>
      <w:r>
        <w:rPr>
          <w:rFonts w:ascii="Arial" w:hAnsi="Arial" w:cs="Arial"/>
        </w:rPr>
        <w:t>-e tonnes:</w:t>
      </w:r>
    </w:p>
    <w:p w14:paraId="4DF82D68"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r>
        <w:rPr>
          <w:rFonts w:ascii="Arial" w:hAnsi="Arial" w:cs="Arial"/>
        </w:rPr>
        <w:t xml:space="preserve"> </w:t>
      </w:r>
    </w:p>
    <w:p w14:paraId="44F2DA14"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firstLine="660"/>
        <w:rPr>
          <w:rFonts w:ascii="Arial" w:hAnsi="Arial" w:cs="Arial"/>
        </w:rPr>
      </w:pPr>
      <w:r>
        <w:rPr>
          <w:rFonts w:ascii="Arial" w:hAnsi="Arial" w:cs="Arial"/>
        </w:rPr>
        <w:t xml:space="preserve"> = (2,554,000 x 0.0</w:t>
      </w:r>
      <w:r w:rsidR="00D90C4C">
        <w:rPr>
          <w:rFonts w:ascii="Arial" w:hAnsi="Arial" w:cs="Arial"/>
        </w:rPr>
        <w:t>54</w:t>
      </w:r>
      <w:r>
        <w:rPr>
          <w:rFonts w:ascii="Arial" w:hAnsi="Arial" w:cs="Arial"/>
        </w:rPr>
        <w:t>)</w:t>
      </w:r>
    </w:p>
    <w:p w14:paraId="33A50F4D"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p>
    <w:p w14:paraId="5E48D53D" w14:textId="77777777" w:rsidR="00010E2E" w:rsidRDefault="00010E2E">
      <w:pPr>
        <w:pBdr>
          <w:top w:val="single" w:sz="4" w:space="1" w:color="auto"/>
          <w:left w:val="single" w:sz="4" w:space="4" w:color="auto"/>
          <w:bottom w:val="single" w:sz="4" w:space="1" w:color="auto"/>
          <w:right w:val="single" w:sz="4" w:space="4" w:color="auto"/>
        </w:pBdr>
        <w:shd w:val="clear" w:color="auto" w:fill="F3F3F3"/>
        <w:ind w:left="0"/>
        <w:rPr>
          <w:rFonts w:ascii="Arial" w:hAnsi="Arial" w:cs="Arial"/>
        </w:rPr>
      </w:pPr>
      <w:r>
        <w:rPr>
          <w:rFonts w:ascii="Arial" w:hAnsi="Arial" w:cs="Arial"/>
        </w:rPr>
        <w:t>Total scope 1 GHG emissions   = 1</w:t>
      </w:r>
      <w:r w:rsidR="00D90C4C">
        <w:rPr>
          <w:rFonts w:ascii="Arial" w:hAnsi="Arial" w:cs="Arial"/>
        </w:rPr>
        <w:t>37,917</w:t>
      </w:r>
      <w:r>
        <w:rPr>
          <w:rFonts w:ascii="Arial" w:hAnsi="Arial" w:cs="Arial"/>
        </w:rPr>
        <w:t>t CO</w:t>
      </w:r>
      <w:r>
        <w:rPr>
          <w:rFonts w:ascii="Arial" w:hAnsi="Arial" w:cs="Arial"/>
          <w:vertAlign w:val="subscript"/>
        </w:rPr>
        <w:t>2</w:t>
      </w:r>
      <w:r>
        <w:rPr>
          <w:rFonts w:ascii="Arial" w:hAnsi="Arial" w:cs="Arial"/>
        </w:rPr>
        <w:t>-e</w:t>
      </w:r>
    </w:p>
    <w:p w14:paraId="2B295DF4" w14:textId="77777777" w:rsidR="00010E2E" w:rsidRDefault="00010E2E">
      <w:pPr>
        <w:pStyle w:val="BodyText"/>
        <w:tabs>
          <w:tab w:val="left" w:pos="0"/>
        </w:tabs>
        <w:spacing w:before="120" w:after="0" w:line="312" w:lineRule="auto"/>
        <w:ind w:left="0"/>
        <w:rPr>
          <w:rFonts w:ascii="Arial" w:hAnsi="Arial" w:cs="Arial"/>
          <w:bCs/>
        </w:rPr>
      </w:pPr>
    </w:p>
    <w:p w14:paraId="6D06167B" w14:textId="77777777" w:rsidR="00010E2E" w:rsidRDefault="00010E2E">
      <w:pPr>
        <w:pStyle w:val="Heading4"/>
        <w:ind w:left="0" w:firstLine="0"/>
        <w:rPr>
          <w:rFonts w:ascii="Arial" w:hAnsi="Arial"/>
          <w:bCs/>
          <w:i/>
          <w:u w:val="single"/>
        </w:rPr>
      </w:pPr>
      <w:r>
        <w:rPr>
          <w:rFonts w:ascii="Arial" w:hAnsi="Arial"/>
          <w:bCs/>
          <w:i/>
          <w:u w:val="single"/>
        </w:rPr>
        <w:t>Fugitive emissions from coal mine waste flared</w:t>
      </w:r>
    </w:p>
    <w:p w14:paraId="1D995968" w14:textId="77777777" w:rsidR="00010E2E" w:rsidRDefault="00010E2E">
      <w:pPr>
        <w:spacing w:before="120" w:line="312" w:lineRule="auto"/>
        <w:ind w:left="0"/>
        <w:rPr>
          <w:rFonts w:ascii="Arial" w:hAnsi="Arial" w:cs="Arial"/>
          <w:bCs/>
        </w:rPr>
      </w:pPr>
      <w:r>
        <w:rPr>
          <w:rFonts w:ascii="Arial" w:hAnsi="Arial" w:cs="Arial"/>
          <w:bCs/>
        </w:rPr>
        <w:t xml:space="preserve">Greenhouse gas emissions from flaring coal mine waste gas can be estimated by multiplying the quantity of gas flared by the energy content and emission factor for each gas type. </w:t>
      </w:r>
    </w:p>
    <w:p w14:paraId="1F07B3D7" w14:textId="77777777" w:rsidR="00010E2E" w:rsidRDefault="00CA4FB8">
      <w:pPr>
        <w:pStyle w:val="Formula"/>
      </w:pPr>
      <w:r>
        <w:rPr>
          <w:position w:val="-24"/>
        </w:rPr>
        <w:pict w14:anchorId="10F6E94A">
          <v:shape id="_x0000_i1033" type="#_x0000_t75" style="width:182.25pt;height:33.75pt">
            <v:imagedata r:id="rId34" o:title=""/>
          </v:shape>
        </w:pict>
      </w:r>
    </w:p>
    <w:p w14:paraId="058AF668" w14:textId="77777777" w:rsidR="00010E2E" w:rsidRPr="008870C0" w:rsidRDefault="00010E2E">
      <w:pPr>
        <w:pStyle w:val="ZRcN"/>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3F1BA935" w14:textId="77777777" w:rsidR="00010E2E" w:rsidRPr="008870C0" w:rsidRDefault="00010E2E">
      <w:pPr>
        <w:pStyle w:val="definition"/>
        <w:rPr>
          <w:sz w:val="22"/>
          <w:szCs w:val="22"/>
        </w:rPr>
      </w:pPr>
      <w:r w:rsidRPr="008870C0">
        <w:rPr>
          <w:b/>
          <w:i/>
          <w:sz w:val="22"/>
          <w:szCs w:val="22"/>
        </w:rPr>
        <w:t>E</w:t>
      </w:r>
      <w:r w:rsidRPr="008870C0">
        <w:rPr>
          <w:b/>
          <w:i/>
          <w:sz w:val="22"/>
          <w:szCs w:val="22"/>
          <w:vertAlign w:val="subscript"/>
        </w:rPr>
        <w:t xml:space="preserve">(fl)ij </w:t>
      </w:r>
      <w:r w:rsidRPr="008870C0">
        <w:rPr>
          <w:rStyle w:val="EquationNoteChar"/>
          <w:rFonts w:ascii="Times New Roman" w:hAnsi="Times New Roman" w:cs="Times New Roman"/>
          <w:sz w:val="22"/>
          <w:szCs w:val="22"/>
        </w:rPr>
        <w:t>is the emissions of gas type (j) released from coal mine waste gas (i) flared from the mine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23371D4A" w14:textId="77777777" w:rsidR="00010E2E" w:rsidRPr="008870C0" w:rsidRDefault="00010E2E">
      <w:pPr>
        <w:pStyle w:val="definition"/>
        <w:rPr>
          <w:sz w:val="22"/>
          <w:szCs w:val="22"/>
        </w:rPr>
      </w:pPr>
      <w:r w:rsidRPr="008870C0">
        <w:rPr>
          <w:b/>
          <w:i/>
          <w:sz w:val="22"/>
          <w:szCs w:val="22"/>
        </w:rPr>
        <w:t>Q</w:t>
      </w:r>
      <w:r w:rsidRPr="008870C0">
        <w:rPr>
          <w:b/>
          <w:i/>
          <w:sz w:val="22"/>
          <w:szCs w:val="22"/>
          <w:vertAlign w:val="subscript"/>
        </w:rPr>
        <w:t xml:space="preserve">i,flared </w:t>
      </w:r>
      <w:r w:rsidRPr="008870C0">
        <w:rPr>
          <w:rStyle w:val="EquationNoteChar"/>
          <w:rFonts w:ascii="Times New Roman" w:hAnsi="Times New Roman" w:cs="Times New Roman"/>
          <w:sz w:val="22"/>
          <w:szCs w:val="22"/>
        </w:rPr>
        <w:t>is the quantity of coal mine waste gas (i) (cubic metres).</w:t>
      </w:r>
    </w:p>
    <w:p w14:paraId="146B5ADB" w14:textId="77777777" w:rsidR="00010E2E" w:rsidRPr="008870C0" w:rsidRDefault="00010E2E">
      <w:pPr>
        <w:pStyle w:val="definition"/>
        <w:rPr>
          <w:sz w:val="22"/>
          <w:szCs w:val="22"/>
          <w:vertAlign w:val="subscript"/>
        </w:rPr>
      </w:pPr>
      <w:r w:rsidRPr="008870C0">
        <w:rPr>
          <w:b/>
          <w:i/>
          <w:sz w:val="22"/>
          <w:szCs w:val="22"/>
        </w:rPr>
        <w:t>EC</w:t>
      </w:r>
      <w:r w:rsidRPr="008870C0">
        <w:rPr>
          <w:b/>
          <w:i/>
          <w:sz w:val="22"/>
          <w:szCs w:val="22"/>
          <w:vertAlign w:val="subscript"/>
        </w:rPr>
        <w:t xml:space="preserve">i </w:t>
      </w:r>
      <w:r w:rsidRPr="008870C0">
        <w:rPr>
          <w:rStyle w:val="EquationNoteChar"/>
          <w:rFonts w:ascii="Times New Roman" w:hAnsi="Times New Roman" w:cs="Times New Roman"/>
          <w:sz w:val="22"/>
          <w:szCs w:val="22"/>
        </w:rPr>
        <w:t>is the energy content factor of coal mine waste gas (i), in Table 2 (gigajoules per cubic metre).</w:t>
      </w:r>
    </w:p>
    <w:p w14:paraId="75893528" w14:textId="77777777" w:rsidR="00010E2E" w:rsidRPr="008870C0" w:rsidRDefault="00010E2E">
      <w:pPr>
        <w:pStyle w:val="definition"/>
        <w:rPr>
          <w:sz w:val="22"/>
          <w:szCs w:val="22"/>
        </w:rPr>
      </w:pPr>
      <w:r w:rsidRPr="008870C0">
        <w:rPr>
          <w:b/>
          <w:i/>
          <w:sz w:val="22"/>
          <w:szCs w:val="22"/>
        </w:rPr>
        <w:t>EF</w:t>
      </w:r>
      <w:r w:rsidRPr="008870C0">
        <w:rPr>
          <w:b/>
          <w:i/>
          <w:sz w:val="22"/>
          <w:szCs w:val="22"/>
          <w:vertAlign w:val="subscript"/>
        </w:rPr>
        <w:t>ij</w:t>
      </w:r>
      <w:r w:rsidRPr="008870C0">
        <w:rPr>
          <w:sz w:val="22"/>
          <w:szCs w:val="22"/>
          <w:vertAlign w:val="subscript"/>
        </w:rPr>
        <w:t xml:space="preserve"> </w:t>
      </w:r>
      <w:r w:rsidRPr="008870C0">
        <w:rPr>
          <w:rStyle w:val="EquationNoteChar"/>
          <w:rFonts w:ascii="Times New Roman" w:hAnsi="Times New Roman" w:cs="Times New Roman"/>
          <w:sz w:val="22"/>
          <w:szCs w:val="22"/>
        </w:rPr>
        <w:t>is the emission factor for gas type (j) and coal mine waste gas (i) in Table 2 (kilograms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gigajoule).</w:t>
      </w:r>
    </w:p>
    <w:p w14:paraId="2BC9492D" w14:textId="77777777" w:rsidR="00010E2E" w:rsidRPr="008870C0" w:rsidRDefault="00010E2E">
      <w:pPr>
        <w:pStyle w:val="definition"/>
        <w:rPr>
          <w:sz w:val="22"/>
          <w:szCs w:val="22"/>
        </w:rPr>
      </w:pPr>
      <w:r w:rsidRPr="008870C0">
        <w:rPr>
          <w:b/>
          <w:i/>
          <w:sz w:val="22"/>
          <w:szCs w:val="22"/>
        </w:rPr>
        <w:t>OF</w:t>
      </w:r>
      <w:r w:rsidRPr="008870C0">
        <w:rPr>
          <w:b/>
          <w:i/>
          <w:sz w:val="22"/>
          <w:szCs w:val="22"/>
          <w:vertAlign w:val="subscript"/>
        </w:rPr>
        <w:t>if</w:t>
      </w:r>
      <w:r w:rsidRPr="008870C0">
        <w:rPr>
          <w:sz w:val="22"/>
          <w:szCs w:val="22"/>
          <w:vertAlign w:val="subscript"/>
        </w:rPr>
        <w:t xml:space="preserve">  </w:t>
      </w:r>
      <w:r w:rsidRPr="008870C0">
        <w:rPr>
          <w:rStyle w:val="EquationNoteChar"/>
          <w:rFonts w:ascii="Times New Roman" w:hAnsi="Times New Roman" w:cs="Times New Roman"/>
          <w:sz w:val="22"/>
          <w:szCs w:val="22"/>
        </w:rPr>
        <w:t xml:space="preserve">is 0.98 which is the </w:t>
      </w:r>
      <w:r w:rsidR="003312C3">
        <w:rPr>
          <w:rStyle w:val="EquationNoteChar"/>
          <w:rFonts w:ascii="Times New Roman" w:hAnsi="Times New Roman" w:cs="Times New Roman"/>
          <w:sz w:val="22"/>
          <w:szCs w:val="22"/>
        </w:rPr>
        <w:t>destruction efficiency</w:t>
      </w:r>
      <w:r w:rsidRPr="008870C0">
        <w:rPr>
          <w:rStyle w:val="EquationNoteChar"/>
          <w:rFonts w:ascii="Times New Roman" w:hAnsi="Times New Roman" w:cs="Times New Roman"/>
          <w:sz w:val="22"/>
          <w:szCs w:val="22"/>
        </w:rPr>
        <w:t xml:space="preserve"> of coal mine waste gas (i) flared.</w:t>
      </w:r>
    </w:p>
    <w:p w14:paraId="640910BF" w14:textId="77777777" w:rsidR="00010E2E" w:rsidRDefault="00010E2E">
      <w:pPr>
        <w:pStyle w:val="BodyText"/>
        <w:tabs>
          <w:tab w:val="left" w:pos="0"/>
        </w:tabs>
        <w:spacing w:before="120" w:after="0" w:line="312" w:lineRule="auto"/>
        <w:ind w:left="0"/>
        <w:rPr>
          <w:rFonts w:ascii="Arial" w:hAnsi="Arial" w:cs="Arial"/>
          <w:bCs/>
        </w:rPr>
      </w:pPr>
    </w:p>
    <w:p w14:paraId="4AD46194" w14:textId="77777777" w:rsidR="00010E2E" w:rsidRDefault="00010E2E">
      <w:pPr>
        <w:pStyle w:val="Heading4"/>
        <w:ind w:left="0" w:firstLine="0"/>
        <w:rPr>
          <w:rFonts w:ascii="Arial" w:hAnsi="Arial"/>
          <w:bCs/>
          <w:i/>
          <w:u w:val="single"/>
        </w:rPr>
      </w:pPr>
      <w:r>
        <w:rPr>
          <w:rFonts w:ascii="Arial" w:hAnsi="Arial"/>
          <w:bCs/>
          <w:i/>
          <w:u w:val="single"/>
        </w:rPr>
        <w:t>Decommissioned underground mines</w:t>
      </w:r>
    </w:p>
    <w:p w14:paraId="50B03DB6" w14:textId="77777777" w:rsidR="00010E2E" w:rsidRDefault="00010E2E">
      <w:pPr>
        <w:spacing w:before="120" w:line="312" w:lineRule="auto"/>
        <w:ind w:left="0"/>
        <w:rPr>
          <w:rFonts w:ascii="Arial" w:hAnsi="Arial"/>
          <w:i/>
        </w:rPr>
      </w:pPr>
      <w:r>
        <w:rPr>
          <w:rFonts w:ascii="Arial" w:hAnsi="Arial"/>
        </w:rPr>
        <w:t xml:space="preserve">Fugitive emissions can be estimated from decommissioned underground mines that have been closed for a continuous period of at least 1 year but less than 20 years. A detailed description of the methodology is found in Division 3.2.4 of Chapter 3 in the </w:t>
      </w:r>
      <w:r>
        <w:rPr>
          <w:rFonts w:ascii="Arial" w:hAnsi="Arial"/>
          <w:i/>
        </w:rPr>
        <w:t>National Greenhouse and Energy Reporting (Measurement) Determination 2008.</w:t>
      </w:r>
    </w:p>
    <w:p w14:paraId="143C4BE2" w14:textId="77777777" w:rsidR="00E70155" w:rsidRDefault="0028504D">
      <w:pPr>
        <w:tabs>
          <w:tab w:val="left" w:pos="0"/>
          <w:tab w:val="left" w:pos="3381"/>
        </w:tabs>
        <w:spacing w:before="120" w:line="312" w:lineRule="auto"/>
        <w:rPr>
          <w:rFonts w:ascii="Arial" w:hAnsi="Arial" w:cs="Arial"/>
          <w:b/>
          <w:bCs/>
        </w:rPr>
      </w:pPr>
      <w:r>
        <w:rPr>
          <w:rFonts w:ascii="Arial" w:hAnsi="Arial" w:cs="Arial"/>
          <w:b/>
          <w:bCs/>
        </w:rPr>
        <w:tab/>
      </w:r>
    </w:p>
    <w:p w14:paraId="6837CBA1" w14:textId="77777777" w:rsidR="00010E2E" w:rsidRDefault="00010E2E">
      <w:pPr>
        <w:pStyle w:val="Heading3"/>
        <w:tabs>
          <w:tab w:val="left" w:pos="0"/>
          <w:tab w:val="left" w:pos="2250"/>
        </w:tabs>
        <w:spacing w:before="120" w:line="312" w:lineRule="auto"/>
        <w:ind w:left="0" w:firstLine="0"/>
        <w:rPr>
          <w:rFonts w:ascii="Arial" w:hAnsi="Arial" w:cs="Arial"/>
        </w:rPr>
      </w:pPr>
      <w:r>
        <w:rPr>
          <w:rFonts w:ascii="Arial" w:hAnsi="Arial" w:cs="Arial"/>
        </w:rPr>
        <w:t>Oil and natural gas fugitive emissions</w:t>
      </w:r>
    </w:p>
    <w:p w14:paraId="3F8BD7F9"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rPr>
        <w:t>This section includes fugitive emissions from exploration, production, transport, storage, processing and refining of oil and natural gas. Other sources of emissions arising from the production processes, such as from the combustion of fuels for energy, are not described in this chapter and must be estimated using the Methods described in other chapters.</w:t>
      </w:r>
    </w:p>
    <w:p w14:paraId="72E9484A" w14:textId="77777777" w:rsidR="00550AF1" w:rsidRDefault="00550AF1">
      <w:pPr>
        <w:pStyle w:val="BodyText"/>
        <w:tabs>
          <w:tab w:val="left" w:pos="0"/>
          <w:tab w:val="left" w:pos="2250"/>
        </w:tabs>
        <w:spacing w:before="120" w:after="0" w:line="312" w:lineRule="auto"/>
        <w:ind w:left="0"/>
        <w:rPr>
          <w:rFonts w:ascii="Arial" w:hAnsi="Arial" w:cs="Arial"/>
        </w:rPr>
      </w:pPr>
      <w:r>
        <w:rPr>
          <w:rFonts w:ascii="Arial" w:hAnsi="Arial" w:cs="Arial"/>
        </w:rPr>
        <w:t xml:space="preserve">In this section, </w:t>
      </w:r>
      <w:r w:rsidRPr="00550AF1">
        <w:rPr>
          <w:rFonts w:ascii="Arial" w:hAnsi="Arial" w:cs="Arial"/>
        </w:rPr>
        <w:t>natural gas includes coal seam methane that is captured for combustion where the</w:t>
      </w:r>
      <w:r>
        <w:rPr>
          <w:rFonts w:ascii="Arial" w:hAnsi="Arial" w:cs="Arial"/>
        </w:rPr>
        <w:t xml:space="preserve"> </w:t>
      </w:r>
      <w:r w:rsidRPr="00550AF1">
        <w:rPr>
          <w:rFonts w:ascii="Arial" w:hAnsi="Arial" w:cs="Arial"/>
        </w:rPr>
        <w:t>production of coal is not intended to occur.</w:t>
      </w:r>
    </w:p>
    <w:p w14:paraId="7A87411B" w14:textId="77777777" w:rsidR="00B80F09" w:rsidRDefault="00B80F09" w:rsidP="00B80F09">
      <w:pPr>
        <w:pStyle w:val="BodyText"/>
        <w:tabs>
          <w:tab w:val="left" w:pos="0"/>
          <w:tab w:val="left" w:pos="2250"/>
        </w:tabs>
        <w:spacing w:after="0" w:line="312" w:lineRule="auto"/>
        <w:ind w:left="0"/>
        <w:rPr>
          <w:rFonts w:ascii="Arial" w:hAnsi="Arial" w:cs="Arial"/>
        </w:rPr>
      </w:pPr>
    </w:p>
    <w:p w14:paraId="31D99D53" w14:textId="77777777" w:rsidR="00010E2E" w:rsidRDefault="00010E2E">
      <w:pPr>
        <w:pStyle w:val="Heading4"/>
        <w:ind w:left="0" w:firstLine="0"/>
        <w:rPr>
          <w:rFonts w:ascii="Arial" w:hAnsi="Arial"/>
          <w:bCs/>
          <w:i/>
          <w:u w:val="single"/>
        </w:rPr>
      </w:pPr>
      <w:r>
        <w:rPr>
          <w:rFonts w:ascii="Arial" w:hAnsi="Arial"/>
          <w:bCs/>
          <w:i/>
          <w:u w:val="single"/>
        </w:rPr>
        <w:t>Oil and gas exploration</w:t>
      </w:r>
      <w:r w:rsidR="005D4709">
        <w:rPr>
          <w:rFonts w:ascii="Arial" w:hAnsi="Arial"/>
          <w:bCs/>
          <w:i/>
          <w:u w:val="single"/>
        </w:rPr>
        <w:t>-flared emissions</w:t>
      </w:r>
    </w:p>
    <w:p w14:paraId="04753E04" w14:textId="77777777" w:rsidR="00B80F09" w:rsidRPr="00B80F09" w:rsidRDefault="00B80F09" w:rsidP="00B80F09">
      <w:pPr>
        <w:pStyle w:val="BodyText"/>
        <w:tabs>
          <w:tab w:val="left" w:pos="0"/>
          <w:tab w:val="left" w:pos="2250"/>
        </w:tabs>
        <w:spacing w:after="0" w:line="312" w:lineRule="auto"/>
        <w:ind w:left="0"/>
        <w:jc w:val="center"/>
        <w:rPr>
          <w:bCs/>
          <w:sz w:val="16"/>
          <w:szCs w:val="24"/>
        </w:rPr>
      </w:pPr>
    </w:p>
    <w:p w14:paraId="20D8D029" w14:textId="77777777" w:rsidR="00010E2E" w:rsidRDefault="00010E2E">
      <w:pPr>
        <w:pStyle w:val="BodyText"/>
        <w:tabs>
          <w:tab w:val="left" w:pos="0"/>
          <w:tab w:val="left" w:pos="2250"/>
        </w:tabs>
        <w:spacing w:before="120" w:after="0" w:line="312" w:lineRule="auto"/>
        <w:ind w:left="0"/>
        <w:jc w:val="center"/>
        <w:rPr>
          <w:rFonts w:ascii="Arial" w:hAnsi="Arial" w:cs="Arial"/>
          <w:bCs/>
        </w:rPr>
      </w:pPr>
      <w:r>
        <w:rPr>
          <w:bCs/>
          <w:sz w:val="24"/>
          <w:szCs w:val="24"/>
        </w:rPr>
        <w:t>E</w:t>
      </w:r>
      <w:r>
        <w:rPr>
          <w:rFonts w:ascii="Times New Roman Bold" w:hAnsi="Times New Roman Bold"/>
          <w:bCs/>
          <w:sz w:val="24"/>
          <w:szCs w:val="24"/>
          <w:vertAlign w:val="subscript"/>
        </w:rPr>
        <w:t>ij</w:t>
      </w:r>
      <w:r>
        <w:rPr>
          <w:bCs/>
          <w:sz w:val="24"/>
          <w:szCs w:val="24"/>
        </w:rPr>
        <w:t xml:space="preserve"> = Q</w:t>
      </w:r>
      <w:r>
        <w:rPr>
          <w:rFonts w:ascii="Times New Roman Bold" w:hAnsi="Times New Roman Bold"/>
          <w:bCs/>
          <w:sz w:val="24"/>
          <w:szCs w:val="24"/>
          <w:vertAlign w:val="subscript"/>
        </w:rPr>
        <w:t>i</w:t>
      </w:r>
      <w:r>
        <w:rPr>
          <w:bCs/>
          <w:sz w:val="24"/>
          <w:szCs w:val="24"/>
        </w:rPr>
        <w:t xml:space="preserve"> x EF</w:t>
      </w:r>
      <w:r>
        <w:rPr>
          <w:rFonts w:ascii="Times New Roman Bold" w:hAnsi="Times New Roman Bold"/>
          <w:bCs/>
          <w:sz w:val="24"/>
          <w:szCs w:val="24"/>
          <w:vertAlign w:val="subscript"/>
        </w:rPr>
        <w:t>ij</w:t>
      </w:r>
    </w:p>
    <w:p w14:paraId="38B66AEB" w14:textId="77777777" w:rsidR="00010E2E" w:rsidRPr="008870C0" w:rsidRDefault="00010E2E">
      <w:pPr>
        <w:pStyle w:val="Rc"/>
        <w:ind w:left="0" w:firstLine="360"/>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493091C9" w14:textId="77777777" w:rsidR="00010E2E" w:rsidRPr="008870C0" w:rsidRDefault="00010E2E">
      <w:pPr>
        <w:pStyle w:val="definition"/>
        <w:ind w:left="720"/>
        <w:rPr>
          <w:rStyle w:val="EquationNoteChar"/>
          <w:rFonts w:ascii="Times New Roman" w:hAnsi="Times New Roman" w:cs="Times New Roman"/>
          <w:sz w:val="22"/>
          <w:szCs w:val="22"/>
        </w:rPr>
      </w:pPr>
      <w:r w:rsidRPr="008870C0">
        <w:rPr>
          <w:b/>
          <w:i/>
          <w:sz w:val="22"/>
          <w:szCs w:val="22"/>
        </w:rPr>
        <w:t>E</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fugitive emissions of gas type (j) from a fuel type (i) flared in oil and gas exploration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6755B2BF"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 xml:space="preserve">i </w:t>
      </w:r>
      <w:r w:rsidRPr="008870C0">
        <w:rPr>
          <w:rStyle w:val="EquationNoteChar"/>
          <w:rFonts w:ascii="Times New Roman" w:hAnsi="Times New Roman" w:cs="Times New Roman"/>
          <w:sz w:val="22"/>
          <w:szCs w:val="22"/>
        </w:rPr>
        <w:t>is the quantity of fuel type (i) flared (tonnes).</w:t>
      </w:r>
    </w:p>
    <w:p w14:paraId="5DB72459" w14:textId="77777777" w:rsidR="00010E2E" w:rsidRPr="008870C0" w:rsidRDefault="00010E2E">
      <w:pPr>
        <w:pStyle w:val="definition"/>
        <w:ind w:left="720"/>
        <w:rPr>
          <w:sz w:val="22"/>
          <w:szCs w:val="22"/>
        </w:rPr>
      </w:pPr>
      <w:r w:rsidRPr="008870C0">
        <w:rPr>
          <w:b/>
          <w:i/>
          <w:sz w:val="22"/>
          <w:szCs w:val="22"/>
        </w:rPr>
        <w:t>EF</w:t>
      </w:r>
      <w:r w:rsidRPr="008870C0">
        <w:rPr>
          <w:b/>
          <w:i/>
          <w:sz w:val="22"/>
          <w:szCs w:val="22"/>
          <w:vertAlign w:val="subscript"/>
        </w:rPr>
        <w:t xml:space="preserve">ij </w:t>
      </w:r>
      <w:r w:rsidRPr="008870C0">
        <w:rPr>
          <w:rStyle w:val="EquationNoteChar"/>
          <w:rFonts w:ascii="Times New Roman" w:hAnsi="Times New Roman" w:cs="Times New Roman"/>
          <w:sz w:val="22"/>
          <w:szCs w:val="22"/>
        </w:rPr>
        <w:t>is the emission factor for gas type (j) of fuel type (i) flared (tonnes of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tonne flared)</w:t>
      </w:r>
      <w:r w:rsidR="008870C0">
        <w:rPr>
          <w:sz w:val="22"/>
          <w:szCs w:val="22"/>
        </w:rPr>
        <w:t xml:space="preserve"> </w:t>
      </w:r>
    </w:p>
    <w:p w14:paraId="55FA57CD" w14:textId="77777777" w:rsidR="008B7F00" w:rsidRDefault="008B7F00">
      <w:pPr>
        <w:pStyle w:val="BodyText"/>
      </w:pPr>
    </w:p>
    <w:p w14:paraId="00073BC7" w14:textId="77777777" w:rsidR="00D76245" w:rsidRDefault="00E94666" w:rsidP="00C23E3B">
      <w:pPr>
        <w:pStyle w:val="Caption"/>
      </w:pPr>
      <w:bookmarkStart w:id="57" w:name="_Toc391646694"/>
      <w:bookmarkStart w:id="58" w:name="_Toc485728117"/>
      <w:r>
        <w:t xml:space="preserve">Table </w:t>
      </w:r>
      <w:r w:rsidR="00DC52E0">
        <w:fldChar w:fldCharType="begin"/>
      </w:r>
      <w:r>
        <w:instrText xml:space="preserve"> SEQ Table \* ARABIC </w:instrText>
      </w:r>
      <w:r w:rsidR="00DC52E0">
        <w:fldChar w:fldCharType="separate"/>
      </w:r>
      <w:r w:rsidR="004A1330">
        <w:rPr>
          <w:noProof/>
        </w:rPr>
        <w:t>9</w:t>
      </w:r>
      <w:r w:rsidR="00DC52E0">
        <w:fldChar w:fldCharType="end"/>
      </w:r>
      <w:r w:rsidR="000D3FD4">
        <w:t>:</w:t>
      </w:r>
      <w:r w:rsidR="00BA3000">
        <w:t xml:space="preserve"> </w:t>
      </w:r>
      <w:bookmarkEnd w:id="57"/>
      <w:r w:rsidR="000C3793">
        <w:t>Oil and gas exploration-flared emission factors</w:t>
      </w:r>
      <w:bookmarkEnd w:id="5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6"/>
        <w:gridCol w:w="1666"/>
        <w:gridCol w:w="1559"/>
        <w:gridCol w:w="1559"/>
      </w:tblGrid>
      <w:tr w:rsidR="00010E2E" w14:paraId="5CB903B0" w14:textId="77777777" w:rsidTr="00382DF3">
        <w:trPr>
          <w:cantSplit/>
        </w:trPr>
        <w:tc>
          <w:tcPr>
            <w:tcW w:w="3296" w:type="dxa"/>
            <w:vMerge w:val="restart"/>
            <w:shd w:val="pct15" w:color="auto" w:fill="auto"/>
            <w:vAlign w:val="center"/>
          </w:tcPr>
          <w:p w14:paraId="308CEEC7" w14:textId="77777777" w:rsidR="00010E2E" w:rsidRDefault="00010E2E" w:rsidP="00382DF3">
            <w:pPr>
              <w:pStyle w:val="Table"/>
              <w:jc w:val="center"/>
              <w:rPr>
                <w:b/>
                <w:bCs/>
              </w:rPr>
            </w:pPr>
            <w:r>
              <w:rPr>
                <w:b/>
                <w:szCs w:val="16"/>
              </w:rPr>
              <w:t>Fuel type (</w:t>
            </w:r>
            <w:r>
              <w:rPr>
                <w:b/>
                <w:i/>
                <w:szCs w:val="16"/>
              </w:rPr>
              <w:t>i</w:t>
            </w:r>
            <w:r>
              <w:rPr>
                <w:b/>
                <w:szCs w:val="16"/>
              </w:rPr>
              <w:t>)</w:t>
            </w:r>
          </w:p>
        </w:tc>
        <w:tc>
          <w:tcPr>
            <w:tcW w:w="4784" w:type="dxa"/>
            <w:gridSpan w:val="3"/>
            <w:shd w:val="pct15" w:color="auto" w:fill="auto"/>
            <w:vAlign w:val="center"/>
          </w:tcPr>
          <w:p w14:paraId="29B10596" w14:textId="77777777" w:rsidR="00010E2E" w:rsidRDefault="00010E2E" w:rsidP="00382DF3">
            <w:pPr>
              <w:pStyle w:val="TableCentre"/>
              <w:rPr>
                <w:rFonts w:ascii="Times New Roman" w:hAnsi="Times New Roman" w:cs="Times New Roman"/>
                <w:b/>
                <w:i/>
                <w:vertAlign w:val="subscript"/>
              </w:rPr>
            </w:pPr>
            <w:r>
              <w:rPr>
                <w:b/>
                <w:bCs/>
              </w:rPr>
              <w:t>Emission factor (</w:t>
            </w:r>
            <w:r>
              <w:rPr>
                <w:rFonts w:ascii="Times New Roman" w:hAnsi="Times New Roman" w:cs="Times New Roman"/>
                <w:b/>
                <w:i/>
                <w:sz w:val="20"/>
              </w:rPr>
              <w:t>EF</w:t>
            </w:r>
            <w:r>
              <w:rPr>
                <w:rFonts w:ascii="Times New Roman" w:hAnsi="Times New Roman" w:cs="Times New Roman"/>
                <w:b/>
                <w:i/>
                <w:sz w:val="20"/>
                <w:vertAlign w:val="subscript"/>
              </w:rPr>
              <w:t>ij</w:t>
            </w:r>
            <w:r>
              <w:rPr>
                <w:b/>
                <w:bCs/>
              </w:rPr>
              <w:t>)</w:t>
            </w:r>
          </w:p>
          <w:p w14:paraId="073022F0" w14:textId="77777777" w:rsidR="00010E2E" w:rsidRDefault="00010E2E" w:rsidP="00382DF3">
            <w:pPr>
              <w:pStyle w:val="TableCentre"/>
              <w:rPr>
                <w:b/>
                <w:bCs/>
              </w:rPr>
            </w:pPr>
            <w:r>
              <w:rPr>
                <w:b/>
                <w:bCs/>
              </w:rPr>
              <w:t>(tonnes CO</w:t>
            </w:r>
            <w:r>
              <w:rPr>
                <w:rStyle w:val="Subscript"/>
                <w:b/>
                <w:bCs/>
              </w:rPr>
              <w:t>2</w:t>
            </w:r>
            <w:r>
              <w:rPr>
                <w:b/>
                <w:bCs/>
              </w:rPr>
              <w:t>-e/tonnes flared)</w:t>
            </w:r>
          </w:p>
        </w:tc>
      </w:tr>
      <w:tr w:rsidR="00010E2E" w14:paraId="3C6F987A" w14:textId="77777777" w:rsidTr="00382DF3">
        <w:trPr>
          <w:cantSplit/>
        </w:trPr>
        <w:tc>
          <w:tcPr>
            <w:tcW w:w="3296" w:type="dxa"/>
            <w:vMerge/>
            <w:shd w:val="pct15" w:color="auto" w:fill="auto"/>
            <w:vAlign w:val="center"/>
          </w:tcPr>
          <w:p w14:paraId="40CF611C" w14:textId="77777777" w:rsidR="00010E2E" w:rsidRDefault="00010E2E" w:rsidP="00382DF3">
            <w:pPr>
              <w:pStyle w:val="Table"/>
              <w:jc w:val="center"/>
              <w:rPr>
                <w:b/>
                <w:bCs/>
              </w:rPr>
            </w:pPr>
          </w:p>
        </w:tc>
        <w:tc>
          <w:tcPr>
            <w:tcW w:w="1666" w:type="dxa"/>
            <w:shd w:val="pct15" w:color="auto" w:fill="auto"/>
            <w:vAlign w:val="center"/>
          </w:tcPr>
          <w:p w14:paraId="6ECD57C5" w14:textId="77777777" w:rsidR="00010E2E" w:rsidRDefault="00010E2E" w:rsidP="00382DF3">
            <w:pPr>
              <w:pStyle w:val="TableCentre"/>
              <w:rPr>
                <w:b/>
                <w:bCs/>
              </w:rPr>
            </w:pPr>
            <w:r>
              <w:rPr>
                <w:b/>
                <w:bCs/>
              </w:rPr>
              <w:t>CO</w:t>
            </w:r>
            <w:r>
              <w:rPr>
                <w:rStyle w:val="Subscript"/>
                <w:b/>
                <w:bCs/>
              </w:rPr>
              <w:t>2</w:t>
            </w:r>
          </w:p>
        </w:tc>
        <w:tc>
          <w:tcPr>
            <w:tcW w:w="1559" w:type="dxa"/>
            <w:shd w:val="pct15" w:color="auto" w:fill="auto"/>
            <w:vAlign w:val="center"/>
          </w:tcPr>
          <w:p w14:paraId="56AD1049" w14:textId="77777777" w:rsidR="00010E2E" w:rsidRDefault="00010E2E" w:rsidP="00382DF3">
            <w:pPr>
              <w:pStyle w:val="TableCentre"/>
              <w:rPr>
                <w:b/>
                <w:bCs/>
              </w:rPr>
            </w:pPr>
            <w:r>
              <w:rPr>
                <w:b/>
                <w:bCs/>
              </w:rPr>
              <w:t>CH</w:t>
            </w:r>
            <w:r>
              <w:rPr>
                <w:rStyle w:val="Subscript"/>
                <w:b/>
                <w:bCs/>
              </w:rPr>
              <w:t>4</w:t>
            </w:r>
          </w:p>
        </w:tc>
        <w:tc>
          <w:tcPr>
            <w:tcW w:w="1559" w:type="dxa"/>
            <w:shd w:val="pct15" w:color="auto" w:fill="auto"/>
            <w:vAlign w:val="center"/>
          </w:tcPr>
          <w:p w14:paraId="485693C4" w14:textId="77777777" w:rsidR="00010E2E" w:rsidRDefault="00010E2E" w:rsidP="00382DF3">
            <w:pPr>
              <w:pStyle w:val="TableCentre"/>
              <w:rPr>
                <w:b/>
                <w:bCs/>
              </w:rPr>
            </w:pPr>
            <w:r>
              <w:rPr>
                <w:b/>
                <w:bCs/>
              </w:rPr>
              <w:t>N</w:t>
            </w:r>
            <w:r>
              <w:rPr>
                <w:rStyle w:val="Subscript"/>
                <w:b/>
                <w:bCs/>
              </w:rPr>
              <w:t>2</w:t>
            </w:r>
            <w:r>
              <w:rPr>
                <w:b/>
                <w:bCs/>
              </w:rPr>
              <w:t>O</w:t>
            </w:r>
          </w:p>
        </w:tc>
      </w:tr>
      <w:tr w:rsidR="00010E2E" w14:paraId="4C5CCDA3" w14:textId="77777777">
        <w:trPr>
          <w:trHeight w:val="419"/>
        </w:trPr>
        <w:tc>
          <w:tcPr>
            <w:tcW w:w="3296" w:type="dxa"/>
          </w:tcPr>
          <w:p w14:paraId="203944BB" w14:textId="77777777" w:rsidR="00010E2E" w:rsidRDefault="00010E2E">
            <w:pPr>
              <w:pStyle w:val="Table"/>
            </w:pPr>
            <w:r>
              <w:t>Gas flared</w:t>
            </w:r>
          </w:p>
        </w:tc>
        <w:tc>
          <w:tcPr>
            <w:tcW w:w="1666" w:type="dxa"/>
          </w:tcPr>
          <w:p w14:paraId="500E8D8E" w14:textId="77777777" w:rsidR="00010E2E" w:rsidRDefault="00010E2E">
            <w:pPr>
              <w:pStyle w:val="TableCentre"/>
            </w:pPr>
            <w:r>
              <w:t>2.8</w:t>
            </w:r>
          </w:p>
        </w:tc>
        <w:tc>
          <w:tcPr>
            <w:tcW w:w="1559" w:type="dxa"/>
          </w:tcPr>
          <w:p w14:paraId="59594F56" w14:textId="77777777" w:rsidR="00010E2E" w:rsidRDefault="00010E2E">
            <w:pPr>
              <w:pStyle w:val="TableCentre"/>
            </w:pPr>
            <w:r>
              <w:t>0.</w:t>
            </w:r>
            <w:r w:rsidR="005C184F">
              <w:t>8</w:t>
            </w:r>
          </w:p>
        </w:tc>
        <w:tc>
          <w:tcPr>
            <w:tcW w:w="1559" w:type="dxa"/>
          </w:tcPr>
          <w:p w14:paraId="52456C69" w14:textId="77777777" w:rsidR="00010E2E" w:rsidRDefault="00010E2E">
            <w:pPr>
              <w:pStyle w:val="TableCentre"/>
            </w:pPr>
            <w:r>
              <w:t>0.03</w:t>
            </w:r>
          </w:p>
        </w:tc>
      </w:tr>
      <w:tr w:rsidR="00010E2E" w14:paraId="07A2028C" w14:textId="77777777">
        <w:trPr>
          <w:trHeight w:val="410"/>
        </w:trPr>
        <w:tc>
          <w:tcPr>
            <w:tcW w:w="3296" w:type="dxa"/>
          </w:tcPr>
          <w:p w14:paraId="1F49C9B9" w14:textId="77777777" w:rsidR="00010E2E" w:rsidRDefault="00010E2E">
            <w:pPr>
              <w:pStyle w:val="Table"/>
            </w:pPr>
            <w:r>
              <w:t xml:space="preserve">Liquid flared </w:t>
            </w:r>
          </w:p>
        </w:tc>
        <w:tc>
          <w:tcPr>
            <w:tcW w:w="1666" w:type="dxa"/>
          </w:tcPr>
          <w:p w14:paraId="6CCC7A13" w14:textId="77777777" w:rsidR="00010E2E" w:rsidRDefault="00010E2E">
            <w:pPr>
              <w:pStyle w:val="TableCentre"/>
            </w:pPr>
            <w:r>
              <w:t>3.2</w:t>
            </w:r>
          </w:p>
        </w:tc>
        <w:tc>
          <w:tcPr>
            <w:tcW w:w="1559" w:type="dxa"/>
          </w:tcPr>
          <w:p w14:paraId="7B7409C2" w14:textId="77777777" w:rsidR="00010E2E" w:rsidRDefault="00010E2E" w:rsidP="003E4C54">
            <w:pPr>
              <w:pStyle w:val="TableCentre"/>
            </w:pPr>
            <w:r>
              <w:t>0.00</w:t>
            </w:r>
            <w:r w:rsidR="005C184F">
              <w:t>8</w:t>
            </w:r>
          </w:p>
        </w:tc>
        <w:tc>
          <w:tcPr>
            <w:tcW w:w="1559" w:type="dxa"/>
          </w:tcPr>
          <w:p w14:paraId="2DA7562F" w14:textId="77777777" w:rsidR="00010E2E" w:rsidRDefault="00010E2E">
            <w:pPr>
              <w:pStyle w:val="TableCentre"/>
            </w:pPr>
            <w:r>
              <w:t>0.07</w:t>
            </w:r>
          </w:p>
        </w:tc>
      </w:tr>
    </w:tbl>
    <w:p w14:paraId="6D48748C" w14:textId="77777777" w:rsidR="00010E2E" w:rsidRDefault="00010E2E">
      <w:pPr>
        <w:pStyle w:val="TableNote"/>
      </w:pPr>
      <w:r>
        <w:t>Source: National Greenhouse and Energy Reporting (Measurement) Determination 2008</w:t>
      </w:r>
      <w:r w:rsidR="00C373BB">
        <w:t xml:space="preserve"> </w:t>
      </w:r>
      <w:r w:rsidR="00554938">
        <w:rPr>
          <w:i/>
          <w:iCs/>
          <w:lang w:eastAsia="en-AU"/>
        </w:rPr>
        <w:t xml:space="preserve"> </w:t>
      </w:r>
      <w:r>
        <w:t>(Section 3.44)</w:t>
      </w:r>
      <w:r w:rsidR="00554938">
        <w:t>.</w:t>
      </w:r>
    </w:p>
    <w:p w14:paraId="0FAC07D6" w14:textId="77777777" w:rsidR="00D76245" w:rsidRDefault="00D76245" w:rsidP="00C23E3B">
      <w:pPr>
        <w:pStyle w:val="Caption"/>
      </w:pPr>
    </w:p>
    <w:p w14:paraId="55B562A6" w14:textId="77777777" w:rsidR="005D4709" w:rsidRDefault="005D4709" w:rsidP="005D4709">
      <w:pPr>
        <w:pStyle w:val="Heading4"/>
        <w:ind w:left="0" w:firstLine="0"/>
        <w:rPr>
          <w:rFonts w:ascii="Arial" w:hAnsi="Arial"/>
          <w:bCs/>
          <w:i/>
          <w:u w:val="single"/>
        </w:rPr>
      </w:pPr>
      <w:r>
        <w:rPr>
          <w:rFonts w:ascii="Arial" w:hAnsi="Arial"/>
          <w:bCs/>
          <w:i/>
          <w:u w:val="single"/>
        </w:rPr>
        <w:t>Oil and gas exploration-vented emissions</w:t>
      </w:r>
    </w:p>
    <w:p w14:paraId="2A966634" w14:textId="77777777" w:rsidR="001363EF" w:rsidRPr="00AA65EE" w:rsidRDefault="005D4709" w:rsidP="00AA65EE">
      <w:pPr>
        <w:spacing w:before="120" w:line="312" w:lineRule="auto"/>
        <w:ind w:left="0"/>
        <w:rPr>
          <w:rFonts w:ascii="Arial" w:hAnsi="Arial"/>
        </w:rPr>
      </w:pPr>
      <w:r w:rsidRPr="005D4709">
        <w:rPr>
          <w:rFonts w:ascii="Arial" w:hAnsi="Arial"/>
        </w:rPr>
        <w:t xml:space="preserve">Emissions may </w:t>
      </w:r>
      <w:r>
        <w:rPr>
          <w:rFonts w:ascii="Arial" w:hAnsi="Arial"/>
        </w:rPr>
        <w:t>occur during exploration as a result of</w:t>
      </w:r>
      <w:r w:rsidRPr="005D4709">
        <w:rPr>
          <w:rFonts w:ascii="Arial" w:hAnsi="Arial"/>
        </w:rPr>
        <w:t xml:space="preserve"> venting and accidental</w:t>
      </w:r>
      <w:r w:rsidR="00AA65EE">
        <w:rPr>
          <w:rFonts w:ascii="Arial" w:hAnsi="Arial"/>
        </w:rPr>
        <w:t xml:space="preserve"> </w:t>
      </w:r>
      <w:r w:rsidRPr="005D4709">
        <w:rPr>
          <w:rFonts w:ascii="Arial" w:hAnsi="Arial"/>
        </w:rPr>
        <w:t>releases such as blowouts</w:t>
      </w:r>
      <w:r>
        <w:rPr>
          <w:rFonts w:ascii="Arial" w:hAnsi="Arial"/>
        </w:rPr>
        <w:t xml:space="preserve">. </w:t>
      </w:r>
      <w:r w:rsidRPr="005D4709">
        <w:rPr>
          <w:rFonts w:ascii="Arial" w:hAnsi="Arial"/>
        </w:rPr>
        <w:t xml:space="preserve"> </w:t>
      </w:r>
      <w:r w:rsidR="00916CB8">
        <w:rPr>
          <w:rFonts w:ascii="Arial" w:hAnsi="Arial"/>
        </w:rPr>
        <w:t xml:space="preserve">The </w:t>
      </w:r>
      <w:r w:rsidR="00C373BB" w:rsidRPr="00C373BB">
        <w:rPr>
          <w:rFonts w:ascii="Arial" w:hAnsi="Arial"/>
        </w:rPr>
        <w:t>American Petroleum Institute‘s Compendium of Greenhouse Gas Emissions Estimation Methodologies for the Oil and Ga</w:t>
      </w:r>
      <w:r w:rsidR="00C373BB">
        <w:rPr>
          <w:rFonts w:ascii="Arial" w:hAnsi="Arial"/>
        </w:rPr>
        <w:t>s Industry 200</w:t>
      </w:r>
      <w:r w:rsidR="00586599">
        <w:rPr>
          <w:rFonts w:ascii="Arial" w:hAnsi="Arial"/>
        </w:rPr>
        <w:t>9</w:t>
      </w:r>
      <w:r w:rsidR="00C373BB">
        <w:rPr>
          <w:rFonts w:ascii="Arial" w:hAnsi="Arial"/>
        </w:rPr>
        <w:t xml:space="preserve"> (API Compendium) </w:t>
      </w:r>
      <w:r w:rsidR="00916CB8">
        <w:rPr>
          <w:rFonts w:ascii="Arial" w:hAnsi="Arial"/>
        </w:rPr>
        <w:t>should be consulted in accordance with the list below for methodologies to estimate vented emissions for the respective emission processes:</w:t>
      </w:r>
    </w:p>
    <w:p w14:paraId="66DBA1F2" w14:textId="77777777" w:rsidR="00916CB8" w:rsidRPr="00F31DAA" w:rsidRDefault="00B80F09">
      <w:pPr>
        <w:spacing w:line="312" w:lineRule="auto"/>
        <w:ind w:left="0"/>
        <w:rPr>
          <w:rFonts w:ascii="Arial" w:hAnsi="Arial"/>
          <w:sz w:val="16"/>
        </w:rPr>
      </w:pPr>
      <w:r w:rsidRPr="00B80F09">
        <w:rPr>
          <w:rFonts w:ascii="Arial" w:hAnsi="Arial"/>
          <w:sz w:val="16"/>
        </w:rPr>
        <w:t xml:space="preserve"> </w:t>
      </w:r>
    </w:p>
    <w:tbl>
      <w:tblPr>
        <w:tblW w:w="0" w:type="auto"/>
        <w:tblInd w:w="964" w:type="dxa"/>
        <w:tblLook w:val="04A0" w:firstRow="1" w:lastRow="0" w:firstColumn="1" w:lastColumn="0" w:noHBand="0" w:noVBand="1"/>
      </w:tblPr>
      <w:tblGrid>
        <w:gridCol w:w="682"/>
        <w:gridCol w:w="3569"/>
        <w:gridCol w:w="3092"/>
      </w:tblGrid>
      <w:tr w:rsidR="00916CB8" w:rsidRPr="00DA27C9" w14:paraId="6EBE03B5" w14:textId="77777777" w:rsidTr="00916CB8">
        <w:trPr>
          <w:tblHeader/>
        </w:trPr>
        <w:tc>
          <w:tcPr>
            <w:tcW w:w="704" w:type="dxa"/>
            <w:tcBorders>
              <w:bottom w:val="single" w:sz="4" w:space="0" w:color="auto"/>
            </w:tcBorders>
          </w:tcPr>
          <w:p w14:paraId="12E09E94" w14:textId="77777777" w:rsidR="00916CB8" w:rsidRPr="00DA27C9" w:rsidRDefault="00916CB8" w:rsidP="00916CB8">
            <w:pPr>
              <w:pStyle w:val="TableColHead"/>
              <w:rPr>
                <w:color w:val="000000"/>
              </w:rPr>
            </w:pPr>
          </w:p>
        </w:tc>
        <w:tc>
          <w:tcPr>
            <w:tcW w:w="3681" w:type="dxa"/>
            <w:tcBorders>
              <w:bottom w:val="single" w:sz="4" w:space="0" w:color="auto"/>
            </w:tcBorders>
          </w:tcPr>
          <w:p w14:paraId="4E304930" w14:textId="77777777" w:rsidR="00916CB8" w:rsidRPr="00DA27C9" w:rsidRDefault="00916CB8" w:rsidP="00916CB8">
            <w:pPr>
              <w:pStyle w:val="TableColHead"/>
              <w:rPr>
                <w:color w:val="000000"/>
              </w:rPr>
            </w:pPr>
            <w:r w:rsidRPr="00DA27C9">
              <w:rPr>
                <w:color w:val="000000"/>
              </w:rPr>
              <w:t>Emission process</w:t>
            </w:r>
          </w:p>
        </w:tc>
        <w:tc>
          <w:tcPr>
            <w:tcW w:w="3173" w:type="dxa"/>
            <w:tcBorders>
              <w:bottom w:val="single" w:sz="4" w:space="0" w:color="auto"/>
            </w:tcBorders>
          </w:tcPr>
          <w:p w14:paraId="2D74A3D6" w14:textId="77777777" w:rsidR="00916CB8" w:rsidRPr="00DA27C9" w:rsidRDefault="00916CB8" w:rsidP="00916CB8">
            <w:pPr>
              <w:pStyle w:val="TableColHead"/>
              <w:rPr>
                <w:color w:val="000000"/>
              </w:rPr>
            </w:pPr>
            <w:r w:rsidRPr="00DA27C9">
              <w:rPr>
                <w:color w:val="000000"/>
              </w:rPr>
              <w:t>API Compendium section</w:t>
            </w:r>
          </w:p>
        </w:tc>
      </w:tr>
      <w:tr w:rsidR="00916CB8" w:rsidRPr="00DA27C9" w14:paraId="504AB519" w14:textId="77777777" w:rsidTr="00916CB8">
        <w:tc>
          <w:tcPr>
            <w:tcW w:w="704" w:type="dxa"/>
            <w:tcBorders>
              <w:top w:val="single" w:sz="4" w:space="0" w:color="auto"/>
            </w:tcBorders>
          </w:tcPr>
          <w:p w14:paraId="0AA13516" w14:textId="77777777" w:rsidR="00916CB8" w:rsidRPr="00DA27C9" w:rsidRDefault="00916CB8" w:rsidP="00916CB8">
            <w:pPr>
              <w:pStyle w:val="TableText1"/>
              <w:rPr>
                <w:color w:val="000000"/>
              </w:rPr>
            </w:pPr>
          </w:p>
        </w:tc>
        <w:tc>
          <w:tcPr>
            <w:tcW w:w="3681" w:type="dxa"/>
            <w:tcBorders>
              <w:top w:val="single" w:sz="4" w:space="0" w:color="auto"/>
            </w:tcBorders>
          </w:tcPr>
          <w:p w14:paraId="657E4A0F" w14:textId="77777777" w:rsidR="00916CB8" w:rsidRPr="00F31DAA" w:rsidRDefault="00B80F09" w:rsidP="00916CB8">
            <w:pPr>
              <w:pStyle w:val="TableText1"/>
              <w:rPr>
                <w:color w:val="000000"/>
                <w:sz w:val="20"/>
              </w:rPr>
            </w:pPr>
            <w:r w:rsidRPr="00B80F09">
              <w:rPr>
                <w:color w:val="000000"/>
                <w:sz w:val="20"/>
              </w:rPr>
              <w:t>Gas treatment processes</w:t>
            </w:r>
          </w:p>
        </w:tc>
        <w:tc>
          <w:tcPr>
            <w:tcW w:w="3173" w:type="dxa"/>
            <w:tcBorders>
              <w:top w:val="single" w:sz="4" w:space="0" w:color="auto"/>
            </w:tcBorders>
          </w:tcPr>
          <w:p w14:paraId="38EBFCB6" w14:textId="77777777" w:rsidR="00916CB8" w:rsidRPr="00F31DAA" w:rsidRDefault="00B80F09" w:rsidP="00916CB8">
            <w:pPr>
              <w:pStyle w:val="TableText1"/>
              <w:rPr>
                <w:color w:val="000000"/>
                <w:sz w:val="20"/>
              </w:rPr>
            </w:pPr>
            <w:r w:rsidRPr="00B80F09">
              <w:rPr>
                <w:color w:val="000000"/>
                <w:sz w:val="20"/>
              </w:rPr>
              <w:t>Section 5.1</w:t>
            </w:r>
          </w:p>
        </w:tc>
      </w:tr>
      <w:tr w:rsidR="00916CB8" w:rsidRPr="00DA27C9" w14:paraId="5240E7BC" w14:textId="77777777" w:rsidTr="00916CB8">
        <w:tc>
          <w:tcPr>
            <w:tcW w:w="704" w:type="dxa"/>
          </w:tcPr>
          <w:p w14:paraId="5D1257E6" w14:textId="77777777" w:rsidR="00916CB8" w:rsidRPr="00DA27C9" w:rsidRDefault="00916CB8" w:rsidP="00916CB8">
            <w:pPr>
              <w:pStyle w:val="TableText1"/>
              <w:rPr>
                <w:color w:val="000000"/>
              </w:rPr>
            </w:pPr>
          </w:p>
        </w:tc>
        <w:tc>
          <w:tcPr>
            <w:tcW w:w="3681" w:type="dxa"/>
          </w:tcPr>
          <w:p w14:paraId="23C2E7E6" w14:textId="77777777" w:rsidR="00916CB8" w:rsidRPr="00F31DAA" w:rsidRDefault="00B80F09" w:rsidP="00916CB8">
            <w:pPr>
              <w:pStyle w:val="TableText1"/>
              <w:rPr>
                <w:color w:val="000000"/>
                <w:sz w:val="20"/>
              </w:rPr>
            </w:pPr>
            <w:r w:rsidRPr="00B80F09">
              <w:rPr>
                <w:color w:val="000000"/>
                <w:sz w:val="20"/>
              </w:rPr>
              <w:t>Cold process vents</w:t>
            </w:r>
          </w:p>
        </w:tc>
        <w:tc>
          <w:tcPr>
            <w:tcW w:w="3173" w:type="dxa"/>
          </w:tcPr>
          <w:p w14:paraId="07473820" w14:textId="77777777" w:rsidR="00916CB8" w:rsidRPr="00F31DAA" w:rsidRDefault="00B80F09" w:rsidP="00916CB8">
            <w:pPr>
              <w:pStyle w:val="TableText1"/>
              <w:rPr>
                <w:color w:val="000000"/>
                <w:sz w:val="20"/>
              </w:rPr>
            </w:pPr>
            <w:r w:rsidRPr="00B80F09">
              <w:rPr>
                <w:color w:val="000000"/>
                <w:sz w:val="20"/>
              </w:rPr>
              <w:t>Section 5.3</w:t>
            </w:r>
          </w:p>
        </w:tc>
      </w:tr>
      <w:tr w:rsidR="00916CB8" w:rsidRPr="00DA27C9" w14:paraId="7D8A24D7" w14:textId="77777777" w:rsidTr="00916CB8">
        <w:tc>
          <w:tcPr>
            <w:tcW w:w="704" w:type="dxa"/>
          </w:tcPr>
          <w:p w14:paraId="1F06F569" w14:textId="77777777" w:rsidR="00916CB8" w:rsidRPr="00DA27C9" w:rsidRDefault="00916CB8" w:rsidP="00916CB8">
            <w:pPr>
              <w:pStyle w:val="TableText1"/>
              <w:rPr>
                <w:color w:val="000000"/>
              </w:rPr>
            </w:pPr>
          </w:p>
        </w:tc>
        <w:tc>
          <w:tcPr>
            <w:tcW w:w="3681" w:type="dxa"/>
          </w:tcPr>
          <w:p w14:paraId="69017603" w14:textId="77777777" w:rsidR="00916CB8" w:rsidRPr="00F31DAA" w:rsidRDefault="00B80F09" w:rsidP="00916CB8">
            <w:pPr>
              <w:pStyle w:val="TableText1"/>
              <w:rPr>
                <w:color w:val="000000"/>
                <w:sz w:val="20"/>
              </w:rPr>
            </w:pPr>
            <w:r w:rsidRPr="00B80F09">
              <w:rPr>
                <w:color w:val="000000"/>
                <w:sz w:val="20"/>
              </w:rPr>
              <w:t>Natural gas blanketed tank emissions</w:t>
            </w:r>
          </w:p>
        </w:tc>
        <w:tc>
          <w:tcPr>
            <w:tcW w:w="3173" w:type="dxa"/>
          </w:tcPr>
          <w:p w14:paraId="78194C1E" w14:textId="77777777" w:rsidR="00916CB8" w:rsidRPr="00F31DAA" w:rsidRDefault="00B80F09" w:rsidP="00916CB8">
            <w:pPr>
              <w:pStyle w:val="TableText1"/>
              <w:rPr>
                <w:color w:val="000000"/>
                <w:sz w:val="20"/>
              </w:rPr>
            </w:pPr>
            <w:r w:rsidRPr="00B80F09">
              <w:rPr>
                <w:color w:val="000000"/>
                <w:sz w:val="20"/>
              </w:rPr>
              <w:t>Section 5.4.4</w:t>
            </w:r>
          </w:p>
        </w:tc>
      </w:tr>
      <w:tr w:rsidR="00916CB8" w:rsidRPr="00DA27C9" w14:paraId="5E7BFCFC" w14:textId="77777777" w:rsidTr="00916CB8">
        <w:tc>
          <w:tcPr>
            <w:tcW w:w="704" w:type="dxa"/>
          </w:tcPr>
          <w:p w14:paraId="37B43561" w14:textId="77777777" w:rsidR="00916CB8" w:rsidRPr="00DA27C9" w:rsidRDefault="00916CB8" w:rsidP="00916CB8">
            <w:pPr>
              <w:pStyle w:val="TableText1"/>
              <w:rPr>
                <w:color w:val="000000"/>
              </w:rPr>
            </w:pPr>
          </w:p>
        </w:tc>
        <w:tc>
          <w:tcPr>
            <w:tcW w:w="3681" w:type="dxa"/>
          </w:tcPr>
          <w:p w14:paraId="1770AC06" w14:textId="77777777" w:rsidR="00916CB8" w:rsidRPr="00F31DAA" w:rsidRDefault="00B80F09" w:rsidP="00916CB8">
            <w:pPr>
              <w:pStyle w:val="TableText1"/>
              <w:rPr>
                <w:color w:val="000000"/>
                <w:sz w:val="20"/>
              </w:rPr>
            </w:pPr>
            <w:r w:rsidRPr="00B80F09">
              <w:rPr>
                <w:color w:val="000000"/>
                <w:sz w:val="20"/>
              </w:rPr>
              <w:t>Other venting sources  — gas driven pneumatic devices</w:t>
            </w:r>
          </w:p>
        </w:tc>
        <w:tc>
          <w:tcPr>
            <w:tcW w:w="3173" w:type="dxa"/>
          </w:tcPr>
          <w:p w14:paraId="5884173A" w14:textId="77777777" w:rsidR="00916CB8" w:rsidRPr="00F31DAA" w:rsidRDefault="00B80F09" w:rsidP="00916CB8">
            <w:pPr>
              <w:pStyle w:val="TableText1"/>
              <w:rPr>
                <w:color w:val="000000"/>
                <w:sz w:val="20"/>
              </w:rPr>
            </w:pPr>
            <w:r w:rsidRPr="00B80F09">
              <w:rPr>
                <w:color w:val="000000"/>
                <w:sz w:val="20"/>
              </w:rPr>
              <w:t>Section 5.6.1</w:t>
            </w:r>
          </w:p>
        </w:tc>
      </w:tr>
      <w:tr w:rsidR="00916CB8" w:rsidRPr="00DA27C9" w14:paraId="201EDE93" w14:textId="77777777" w:rsidTr="00916CB8">
        <w:tc>
          <w:tcPr>
            <w:tcW w:w="704" w:type="dxa"/>
          </w:tcPr>
          <w:p w14:paraId="55A5457C" w14:textId="77777777" w:rsidR="00916CB8" w:rsidRPr="00DA27C9" w:rsidRDefault="00916CB8" w:rsidP="00916CB8">
            <w:pPr>
              <w:pStyle w:val="TableText1"/>
              <w:rPr>
                <w:color w:val="000000"/>
              </w:rPr>
            </w:pPr>
          </w:p>
        </w:tc>
        <w:tc>
          <w:tcPr>
            <w:tcW w:w="3681" w:type="dxa"/>
          </w:tcPr>
          <w:p w14:paraId="40677C24" w14:textId="77777777" w:rsidR="00916CB8" w:rsidRPr="00F31DAA" w:rsidRDefault="00B80F09" w:rsidP="00916CB8">
            <w:pPr>
              <w:pStyle w:val="TableText1"/>
              <w:rPr>
                <w:color w:val="000000"/>
                <w:sz w:val="20"/>
              </w:rPr>
            </w:pPr>
            <w:r w:rsidRPr="00B80F09">
              <w:rPr>
                <w:color w:val="000000"/>
                <w:sz w:val="20"/>
              </w:rPr>
              <w:t>Other venting sources — gas driven chemical injection pumps</w:t>
            </w:r>
          </w:p>
        </w:tc>
        <w:tc>
          <w:tcPr>
            <w:tcW w:w="3173" w:type="dxa"/>
          </w:tcPr>
          <w:p w14:paraId="5D123F9A" w14:textId="77777777" w:rsidR="00916CB8" w:rsidRPr="00F31DAA" w:rsidRDefault="00B80F09" w:rsidP="00916CB8">
            <w:pPr>
              <w:pStyle w:val="TableText1"/>
              <w:rPr>
                <w:color w:val="000000"/>
                <w:sz w:val="20"/>
              </w:rPr>
            </w:pPr>
            <w:r w:rsidRPr="00B80F09">
              <w:rPr>
                <w:color w:val="000000"/>
                <w:sz w:val="20"/>
              </w:rPr>
              <w:t>Section 5.6.2</w:t>
            </w:r>
          </w:p>
        </w:tc>
      </w:tr>
      <w:tr w:rsidR="00916CB8" w:rsidRPr="00DA27C9" w14:paraId="58B86DB1" w14:textId="77777777" w:rsidTr="00916CB8">
        <w:tc>
          <w:tcPr>
            <w:tcW w:w="704" w:type="dxa"/>
          </w:tcPr>
          <w:p w14:paraId="5B4D68E5" w14:textId="77777777" w:rsidR="00916CB8" w:rsidRPr="00DA27C9" w:rsidRDefault="00916CB8" w:rsidP="00916CB8">
            <w:pPr>
              <w:pStyle w:val="TableText1"/>
              <w:rPr>
                <w:color w:val="000000"/>
              </w:rPr>
            </w:pPr>
          </w:p>
        </w:tc>
        <w:tc>
          <w:tcPr>
            <w:tcW w:w="3681" w:type="dxa"/>
          </w:tcPr>
          <w:p w14:paraId="43BDFB93" w14:textId="77777777" w:rsidR="00916CB8" w:rsidRPr="00F31DAA" w:rsidRDefault="00B80F09" w:rsidP="004215E9">
            <w:pPr>
              <w:pStyle w:val="TableText1"/>
              <w:rPr>
                <w:color w:val="000000"/>
                <w:sz w:val="20"/>
              </w:rPr>
            </w:pPr>
            <w:r w:rsidRPr="00B80F09">
              <w:rPr>
                <w:color w:val="000000"/>
                <w:sz w:val="20"/>
              </w:rPr>
              <w:t>Other venting sources — coal seam exploratory drilling, well testing and mud degasssing</w:t>
            </w:r>
          </w:p>
        </w:tc>
        <w:tc>
          <w:tcPr>
            <w:tcW w:w="3173" w:type="dxa"/>
          </w:tcPr>
          <w:p w14:paraId="6A68FCD5" w14:textId="77777777" w:rsidR="00916CB8" w:rsidRPr="00F31DAA" w:rsidRDefault="00B80F09" w:rsidP="004215E9">
            <w:pPr>
              <w:pStyle w:val="TableText1"/>
              <w:rPr>
                <w:color w:val="000000"/>
                <w:sz w:val="20"/>
              </w:rPr>
            </w:pPr>
            <w:r w:rsidRPr="00B80F09">
              <w:rPr>
                <w:color w:val="000000"/>
                <w:sz w:val="20"/>
              </w:rPr>
              <w:t>Section 5.6.3 or 5.6.6</w:t>
            </w:r>
          </w:p>
        </w:tc>
      </w:tr>
      <w:tr w:rsidR="00916CB8" w:rsidRPr="00DA27C9" w14:paraId="113BD5A3" w14:textId="77777777" w:rsidTr="00916CB8">
        <w:tc>
          <w:tcPr>
            <w:tcW w:w="704" w:type="dxa"/>
          </w:tcPr>
          <w:p w14:paraId="3654F1DF" w14:textId="77777777" w:rsidR="00916CB8" w:rsidRPr="00DA27C9" w:rsidRDefault="00916CB8" w:rsidP="00916CB8">
            <w:pPr>
              <w:pStyle w:val="TableText1"/>
              <w:rPr>
                <w:color w:val="000000"/>
              </w:rPr>
            </w:pPr>
          </w:p>
        </w:tc>
        <w:tc>
          <w:tcPr>
            <w:tcW w:w="3681" w:type="dxa"/>
          </w:tcPr>
          <w:p w14:paraId="73CFD84B" w14:textId="77777777" w:rsidR="00916CB8" w:rsidRPr="00F31DAA" w:rsidRDefault="00B80F09" w:rsidP="00916CB8">
            <w:pPr>
              <w:pStyle w:val="TableText1"/>
              <w:rPr>
                <w:color w:val="000000"/>
                <w:sz w:val="20"/>
              </w:rPr>
            </w:pPr>
            <w:r w:rsidRPr="00B80F09">
              <w:rPr>
                <w:color w:val="000000"/>
                <w:sz w:val="20"/>
              </w:rPr>
              <w:t>Non-routine activities —  production related non-routine emissions</w:t>
            </w:r>
          </w:p>
        </w:tc>
        <w:tc>
          <w:tcPr>
            <w:tcW w:w="3173" w:type="dxa"/>
          </w:tcPr>
          <w:p w14:paraId="07A99EC0" w14:textId="77777777" w:rsidR="00916CB8" w:rsidRPr="00F31DAA" w:rsidRDefault="00B80F09" w:rsidP="00916CB8">
            <w:pPr>
              <w:pStyle w:val="TableText1"/>
              <w:rPr>
                <w:color w:val="000000"/>
                <w:sz w:val="20"/>
              </w:rPr>
            </w:pPr>
            <w:r w:rsidRPr="00B80F09">
              <w:rPr>
                <w:color w:val="000000"/>
                <w:sz w:val="20"/>
              </w:rPr>
              <w:t>Sections 5.7.1 or 5.7.2</w:t>
            </w:r>
          </w:p>
        </w:tc>
      </w:tr>
      <w:tr w:rsidR="00916CB8" w:rsidRPr="00FA3369" w14:paraId="6CDA33D1" w14:textId="77777777" w:rsidTr="00916CB8">
        <w:tc>
          <w:tcPr>
            <w:tcW w:w="704" w:type="dxa"/>
            <w:tcBorders>
              <w:bottom w:val="single" w:sz="4" w:space="0" w:color="auto"/>
            </w:tcBorders>
          </w:tcPr>
          <w:p w14:paraId="3F7F964C" w14:textId="77777777" w:rsidR="00916CB8" w:rsidRPr="00FA3369" w:rsidRDefault="00916CB8" w:rsidP="00916CB8">
            <w:pPr>
              <w:pStyle w:val="TableText1"/>
              <w:rPr>
                <w:color w:val="000000"/>
              </w:rPr>
            </w:pPr>
          </w:p>
        </w:tc>
        <w:tc>
          <w:tcPr>
            <w:tcW w:w="3681" w:type="dxa"/>
            <w:tcBorders>
              <w:bottom w:val="single" w:sz="4" w:space="0" w:color="auto"/>
            </w:tcBorders>
          </w:tcPr>
          <w:p w14:paraId="1CB5B169" w14:textId="77777777" w:rsidR="00916CB8" w:rsidRPr="00F31DAA" w:rsidRDefault="00B80F09" w:rsidP="00916CB8">
            <w:pPr>
              <w:pStyle w:val="TableText1"/>
              <w:rPr>
                <w:color w:val="000000"/>
                <w:sz w:val="20"/>
              </w:rPr>
            </w:pPr>
            <w:r w:rsidRPr="00B80F09">
              <w:rPr>
                <w:color w:val="000000"/>
                <w:sz w:val="20"/>
              </w:rPr>
              <w:t>Non-routine activities —  gas processing related non-routine emissions</w:t>
            </w:r>
          </w:p>
        </w:tc>
        <w:tc>
          <w:tcPr>
            <w:tcW w:w="3173" w:type="dxa"/>
            <w:tcBorders>
              <w:bottom w:val="single" w:sz="4" w:space="0" w:color="auto"/>
            </w:tcBorders>
          </w:tcPr>
          <w:p w14:paraId="0163CDC8" w14:textId="77777777" w:rsidR="00916CB8" w:rsidRPr="00F31DAA" w:rsidRDefault="00B80F09" w:rsidP="00916CB8">
            <w:pPr>
              <w:pStyle w:val="TableText1"/>
              <w:rPr>
                <w:color w:val="000000"/>
                <w:sz w:val="20"/>
              </w:rPr>
            </w:pPr>
            <w:r w:rsidRPr="00B80F09">
              <w:rPr>
                <w:color w:val="000000"/>
                <w:sz w:val="20"/>
              </w:rPr>
              <w:t>Sections 5.7.1 or 5.7.3</w:t>
            </w:r>
          </w:p>
        </w:tc>
      </w:tr>
    </w:tbl>
    <w:p w14:paraId="0A02C1AE" w14:textId="77777777" w:rsidR="001363EF" w:rsidRDefault="000B79B3">
      <w:pPr>
        <w:spacing w:line="312" w:lineRule="auto"/>
        <w:ind w:left="0"/>
      </w:pPr>
      <w:r w:rsidRPr="000B79B3">
        <w:rPr>
          <w:rFonts w:ascii="Arial" w:hAnsi="Arial"/>
        </w:rPr>
        <w:t>.</w:t>
      </w:r>
    </w:p>
    <w:p w14:paraId="26CCECAE" w14:textId="77777777" w:rsidR="00010E2E" w:rsidRDefault="00010E2E">
      <w:pPr>
        <w:pStyle w:val="Heading4"/>
        <w:ind w:left="0" w:firstLine="0"/>
        <w:rPr>
          <w:rFonts w:ascii="Arial" w:hAnsi="Arial"/>
          <w:bCs/>
          <w:i/>
          <w:u w:val="single"/>
        </w:rPr>
      </w:pPr>
      <w:r>
        <w:rPr>
          <w:rFonts w:ascii="Arial" w:hAnsi="Arial"/>
          <w:bCs/>
          <w:i/>
          <w:u w:val="single"/>
        </w:rPr>
        <w:t>Crude oil production</w:t>
      </w:r>
    </w:p>
    <w:p w14:paraId="1EA09918" w14:textId="77777777" w:rsidR="00010E2E" w:rsidRDefault="00010E2E">
      <w:pPr>
        <w:spacing w:before="120" w:line="312" w:lineRule="auto"/>
        <w:ind w:left="0"/>
        <w:rPr>
          <w:rFonts w:ascii="Arial" w:hAnsi="Arial"/>
        </w:rPr>
      </w:pPr>
      <w:r>
        <w:rPr>
          <w:rFonts w:ascii="Arial" w:hAnsi="Arial"/>
        </w:rPr>
        <w:t>Crude oil production consists of emissions from non-flared sources (eg, gas leakage, accidental releases</w:t>
      </w:r>
      <w:r w:rsidR="008D1473">
        <w:rPr>
          <w:rFonts w:ascii="Arial" w:hAnsi="Arial"/>
        </w:rPr>
        <w:t>, vents</w:t>
      </w:r>
      <w:r>
        <w:rPr>
          <w:rFonts w:ascii="Arial" w:hAnsi="Arial"/>
        </w:rPr>
        <w:t xml:space="preserve"> and storage losses) and from flaring. Separate methods for estimating emissions from non-flared</w:t>
      </w:r>
      <w:r w:rsidR="008D1473">
        <w:rPr>
          <w:rFonts w:ascii="Arial" w:hAnsi="Arial"/>
        </w:rPr>
        <w:t xml:space="preserve"> (leaks and vents)</w:t>
      </w:r>
      <w:r>
        <w:rPr>
          <w:rFonts w:ascii="Arial" w:hAnsi="Arial"/>
        </w:rPr>
        <w:t xml:space="preserve"> and flared sources are detailed below</w:t>
      </w:r>
    </w:p>
    <w:p w14:paraId="121DE4F2" w14:textId="77777777" w:rsidR="00010E2E" w:rsidRPr="005A0C86" w:rsidRDefault="000B79B3">
      <w:pPr>
        <w:pStyle w:val="Heading5"/>
        <w:numPr>
          <w:ilvl w:val="0"/>
          <w:numId w:val="0"/>
        </w:numPr>
        <w:ind w:firstLine="360"/>
        <w:rPr>
          <w:rFonts w:ascii="Arial" w:hAnsi="Arial"/>
          <w:bCs/>
          <w:u w:val="single"/>
        </w:rPr>
      </w:pPr>
      <w:r w:rsidRPr="000B79B3">
        <w:rPr>
          <w:rFonts w:ascii="Arial" w:hAnsi="Arial"/>
          <w:bCs/>
          <w:u w:val="single"/>
        </w:rPr>
        <w:t>Crude oil production (non-flared) – fugitive leaks emissions of methane</w:t>
      </w:r>
    </w:p>
    <w:p w14:paraId="269AF5AB" w14:textId="41C34696" w:rsidR="001363EF" w:rsidRDefault="000B79B3" w:rsidP="00656706">
      <w:pPr>
        <w:spacing w:line="312" w:lineRule="auto"/>
        <w:ind w:left="0"/>
        <w:rPr>
          <w:rFonts w:ascii="Arial" w:hAnsi="Arial"/>
        </w:rPr>
      </w:pPr>
      <w:r w:rsidRPr="000B79B3">
        <w:rPr>
          <w:rFonts w:ascii="Arial" w:hAnsi="Arial"/>
        </w:rPr>
        <w:t>Fugitive leakage emissions of methane may occur in crude oil production from</w:t>
      </w:r>
      <w:r w:rsidR="00656706">
        <w:rPr>
          <w:rFonts w:ascii="Arial" w:hAnsi="Arial"/>
        </w:rPr>
        <w:t xml:space="preserve">  </w:t>
      </w:r>
      <w:r w:rsidRPr="000B79B3">
        <w:rPr>
          <w:rFonts w:ascii="Arial" w:hAnsi="Arial"/>
        </w:rPr>
        <w:t>sources such as the unintentional equipment leaks from valves, flanges, pump seals,</w:t>
      </w:r>
    </w:p>
    <w:p w14:paraId="2AFE56F8" w14:textId="6F8B7C62" w:rsidR="001363EF" w:rsidRDefault="000B79B3" w:rsidP="00656706">
      <w:pPr>
        <w:spacing w:line="312" w:lineRule="auto"/>
        <w:ind w:left="0"/>
        <w:rPr>
          <w:rFonts w:ascii="Arial" w:hAnsi="Arial"/>
        </w:rPr>
      </w:pPr>
      <w:r w:rsidRPr="000B79B3">
        <w:rPr>
          <w:rFonts w:ascii="Arial" w:hAnsi="Arial"/>
        </w:rPr>
        <w:t>compressor seals, relief valves, sampling connections, process drains, open-ended</w:t>
      </w:r>
      <w:r w:rsidR="00656706">
        <w:rPr>
          <w:rFonts w:ascii="Arial" w:hAnsi="Arial"/>
        </w:rPr>
        <w:t xml:space="preserve"> </w:t>
      </w:r>
      <w:r w:rsidRPr="000B79B3">
        <w:rPr>
          <w:rFonts w:ascii="Arial" w:hAnsi="Arial"/>
        </w:rPr>
        <w:t>lines, casing, tanks and other leakage sources from pressurised equipment not</w:t>
      </w:r>
    </w:p>
    <w:p w14:paraId="7A5B399D" w14:textId="77777777" w:rsidR="00DD2190" w:rsidRDefault="000B79B3" w:rsidP="00656706">
      <w:pPr>
        <w:spacing w:before="120"/>
        <w:ind w:left="0"/>
        <w:rPr>
          <w:rFonts w:ascii="Arial" w:hAnsi="Arial"/>
        </w:rPr>
      </w:pPr>
      <w:r w:rsidRPr="000B79B3">
        <w:rPr>
          <w:rFonts w:ascii="Arial" w:hAnsi="Arial"/>
        </w:rPr>
        <w:t xml:space="preserve">classed as a vent. </w:t>
      </w:r>
    </w:p>
    <w:p w14:paraId="18BE2DDB" w14:textId="1E106BB7" w:rsidR="00DD2190" w:rsidRDefault="00FD1A7A">
      <w:pPr>
        <w:spacing w:line="312" w:lineRule="auto"/>
        <w:ind w:left="0"/>
        <w:rPr>
          <w:rFonts w:ascii="Arial" w:hAnsi="Arial"/>
        </w:rPr>
      </w:pPr>
      <w:r>
        <w:rPr>
          <w:noProof/>
          <w:lang w:eastAsia="en-AU"/>
        </w:rPr>
        <mc:AlternateContent>
          <mc:Choice Requires="wps">
            <w:drawing>
              <wp:anchor distT="0" distB="0" distL="114300" distR="114300" simplePos="0" relativeHeight="251664384" behindDoc="0" locked="0" layoutInCell="1" allowOverlap="1" wp14:anchorId="6B606444" wp14:editId="43491249">
                <wp:simplePos x="0" y="0"/>
                <wp:positionH relativeFrom="column">
                  <wp:posOffset>1089660</wp:posOffset>
                </wp:positionH>
                <wp:positionV relativeFrom="paragraph">
                  <wp:posOffset>10160</wp:posOffset>
                </wp:positionV>
                <wp:extent cx="2400300" cy="457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077ED" w14:textId="77777777" w:rsidR="00990E77" w:rsidRDefault="00990E77">
                            <w:pPr>
                              <w:pStyle w:val="Formula"/>
                            </w:pPr>
                            <w:r>
                              <w:t>E</w:t>
                            </w:r>
                            <w:r>
                              <w:rPr>
                                <w:vertAlign w:val="subscript"/>
                              </w:rPr>
                              <w:t>ij</w:t>
                            </w:r>
                            <w:r>
                              <w:t xml:space="preserve"> = Σ</w:t>
                            </w:r>
                            <w:r>
                              <w:rPr>
                                <w:vertAlign w:val="subscript"/>
                              </w:rPr>
                              <w:t>k</w:t>
                            </w:r>
                            <w:r>
                              <w:t xml:space="preserve"> (Q</w:t>
                            </w:r>
                            <w:r>
                              <w:rPr>
                                <w:vertAlign w:val="subscript"/>
                              </w:rPr>
                              <w:t>ik</w:t>
                            </w:r>
                            <w:r>
                              <w:t xml:space="preserve"> </w:t>
                            </w:r>
                            <w:r>
                              <w:sym w:font="Symbol" w:char="F0B4"/>
                            </w:r>
                            <w:r>
                              <w:t xml:space="preserve"> EF</w:t>
                            </w:r>
                            <w:r>
                              <w:rPr>
                                <w:vertAlign w:val="subscript"/>
                              </w:rPr>
                              <w:t>ijk</w:t>
                            </w:r>
                            <w:r>
                              <w:t>) +  Q</w:t>
                            </w:r>
                            <w:r>
                              <w:rPr>
                                <w:vertAlign w:val="subscript"/>
                              </w:rPr>
                              <w:t>i</w:t>
                            </w:r>
                            <w:r>
                              <w:t xml:space="preserve"> </w:t>
                            </w:r>
                            <w:r>
                              <w:sym w:font="Symbol" w:char="F0B4"/>
                            </w:r>
                            <w:r>
                              <w:t xml:space="preserve"> EF</w:t>
                            </w:r>
                            <w:r>
                              <w:rPr>
                                <w:vertAlign w:val="subscript"/>
                              </w:rPr>
                              <w:t>(l) ij</w:t>
                            </w:r>
                          </w:p>
                          <w:p w14:paraId="40A5BABB" w14:textId="77777777" w:rsidR="00990E77" w:rsidRDefault="00990E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06444" id="_x0000_t202" coordsize="21600,21600" o:spt="202" path="m,l,21600r21600,l21600,xe">
                <v:stroke joinstyle="miter"/>
                <v:path gradientshapeok="t" o:connecttype="rect"/>
              </v:shapetype>
              <v:shape id="Text Box 4" o:spid="_x0000_s1026" type="#_x0000_t202" style="position:absolute;margin-left:85.8pt;margin-top:.8pt;width:18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" stroked="f">
                <v:textbox>
                  <w:txbxContent>
                    <w:p w14:paraId="682077ED" w14:textId="77777777" w:rsidR="00990E77" w:rsidRDefault="00990E77">
                      <w:pPr>
                        <w:pStyle w:val="Formula"/>
                      </w:pPr>
                      <w:r>
                        <w:t>E</w:t>
                      </w:r>
                      <w:r>
                        <w:rPr>
                          <w:vertAlign w:val="subscript"/>
                        </w:rPr>
                        <w:t>ij</w:t>
                      </w:r>
                      <w:r>
                        <w:t xml:space="preserve"> = Σ</w:t>
                      </w:r>
                      <w:r>
                        <w:rPr>
                          <w:vertAlign w:val="subscript"/>
                        </w:rPr>
                        <w:t>k</w:t>
                      </w:r>
                      <w:r>
                        <w:t xml:space="preserve"> (Q</w:t>
                      </w:r>
                      <w:r>
                        <w:rPr>
                          <w:vertAlign w:val="subscript"/>
                        </w:rPr>
                        <w:t>ik</w:t>
                      </w:r>
                      <w:r>
                        <w:t xml:space="preserve"> </w:t>
                      </w:r>
                      <w:r>
                        <w:sym w:font="Symbol" w:char="F0B4"/>
                      </w:r>
                      <w:r>
                        <w:t xml:space="preserve"> EF</w:t>
                      </w:r>
                      <w:r>
                        <w:rPr>
                          <w:vertAlign w:val="subscript"/>
                        </w:rPr>
                        <w:t>ijk</w:t>
                      </w:r>
                      <w:r>
                        <w:t>) +  Q</w:t>
                      </w:r>
                      <w:r>
                        <w:rPr>
                          <w:vertAlign w:val="subscript"/>
                        </w:rPr>
                        <w:t>i</w:t>
                      </w:r>
                      <w:r>
                        <w:t xml:space="preserve"> </w:t>
                      </w:r>
                      <w:r>
                        <w:sym w:font="Symbol" w:char="F0B4"/>
                      </w:r>
                      <w:r>
                        <w:t xml:space="preserve"> EF</w:t>
                      </w:r>
                      <w:r>
                        <w:rPr>
                          <w:vertAlign w:val="subscript"/>
                        </w:rPr>
                        <w:t>(l) ij</w:t>
                      </w:r>
                    </w:p>
                    <w:p w14:paraId="40A5BABB" w14:textId="77777777" w:rsidR="00990E77" w:rsidRDefault="00990E77">
                      <w:pPr>
                        <w:jc w:val="center"/>
                      </w:pPr>
                    </w:p>
                  </w:txbxContent>
                </v:textbox>
              </v:shape>
            </w:pict>
          </mc:Fallback>
        </mc:AlternateContent>
      </w:r>
    </w:p>
    <w:p w14:paraId="52F1DABD" w14:textId="77777777" w:rsidR="00DD2190" w:rsidRDefault="00DD2190">
      <w:pPr>
        <w:spacing w:line="312" w:lineRule="auto"/>
        <w:ind w:left="0"/>
        <w:rPr>
          <w:rFonts w:ascii="Arial" w:hAnsi="Arial"/>
        </w:rPr>
      </w:pPr>
    </w:p>
    <w:p w14:paraId="236156A2" w14:textId="66FD4A18" w:rsidR="001363EF" w:rsidRDefault="001363EF">
      <w:pPr>
        <w:spacing w:line="312" w:lineRule="auto"/>
        <w:ind w:left="0"/>
        <w:rPr>
          <w:rFonts w:ascii="Arial" w:hAnsi="Arial"/>
        </w:rPr>
      </w:pPr>
    </w:p>
    <w:p w14:paraId="684553C0" w14:textId="77777777" w:rsidR="00010E2E" w:rsidRDefault="00010E2E">
      <w:pPr>
        <w:pStyle w:val="BodyText"/>
      </w:pPr>
    </w:p>
    <w:p w14:paraId="46AAD0DB" w14:textId="77777777" w:rsidR="00010E2E" w:rsidRPr="008870C0" w:rsidRDefault="00010E2E">
      <w:pPr>
        <w:pStyle w:val="BodyText"/>
        <w:ind w:left="0" w:firstLine="360"/>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 xml:space="preserve">where: </w:t>
      </w:r>
    </w:p>
    <w:p w14:paraId="221B2ED0" w14:textId="77777777" w:rsidR="00010E2E" w:rsidRPr="008870C0" w:rsidRDefault="00010E2E" w:rsidP="00462A5D">
      <w:pPr>
        <w:pStyle w:val="BodyText"/>
        <w:spacing w:beforeLines="80" w:before="192" w:after="0"/>
        <w:ind w:left="720"/>
        <w:rPr>
          <w:sz w:val="22"/>
          <w:szCs w:val="22"/>
        </w:rPr>
      </w:pPr>
      <w:r w:rsidRPr="008870C0">
        <w:rPr>
          <w:b/>
          <w:i/>
          <w:sz w:val="22"/>
          <w:szCs w:val="22"/>
        </w:rPr>
        <w:t>E</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fugitive emissions of methane (j)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r w:rsidRPr="008870C0">
        <w:rPr>
          <w:sz w:val="22"/>
          <w:szCs w:val="22"/>
        </w:rPr>
        <w:t xml:space="preserve"> </w:t>
      </w:r>
    </w:p>
    <w:p w14:paraId="07DF9F75" w14:textId="77777777" w:rsidR="008B7F00" w:rsidRDefault="00010E2E" w:rsidP="00462A5D">
      <w:pPr>
        <w:pStyle w:val="BodyText"/>
        <w:spacing w:beforeLines="80" w:before="192" w:after="0"/>
        <w:ind w:left="720"/>
        <w:rPr>
          <w:sz w:val="22"/>
          <w:szCs w:val="22"/>
        </w:rPr>
      </w:pPr>
      <w:r w:rsidRPr="008870C0">
        <w:rPr>
          <w:b/>
          <w:sz w:val="22"/>
          <w:szCs w:val="22"/>
        </w:rPr>
        <w:t>Σ</w:t>
      </w:r>
      <w:r w:rsidRPr="008870C0">
        <w:rPr>
          <w:b/>
          <w:sz w:val="22"/>
          <w:szCs w:val="22"/>
          <w:vertAlign w:val="subscript"/>
        </w:rPr>
        <w:t xml:space="preserve">k </w:t>
      </w:r>
      <w:r w:rsidRPr="008870C0">
        <w:rPr>
          <w:rStyle w:val="EquationNoteChar"/>
          <w:rFonts w:ascii="Times New Roman" w:hAnsi="Times New Roman" w:cs="Times New Roman"/>
          <w:sz w:val="22"/>
          <w:szCs w:val="22"/>
        </w:rPr>
        <w:t xml:space="preserve">is the total emissions of methane (j),  by summing up the emissions released from each equipment type (k) specified in Table </w:t>
      </w:r>
      <w:r w:rsidR="005443A8" w:rsidRPr="008870C0">
        <w:rPr>
          <w:rStyle w:val="EquationNoteChar"/>
          <w:rFonts w:ascii="Times New Roman" w:hAnsi="Times New Roman" w:cs="Times New Roman"/>
          <w:sz w:val="22"/>
          <w:szCs w:val="22"/>
        </w:rPr>
        <w:t>9</w:t>
      </w:r>
      <w:r w:rsidRPr="008870C0">
        <w:rPr>
          <w:rStyle w:val="EquationNoteChar"/>
          <w:rFonts w:ascii="Times New Roman" w:hAnsi="Times New Roman" w:cs="Times New Roman"/>
          <w:sz w:val="22"/>
          <w:szCs w:val="22"/>
        </w:rPr>
        <w:t xml:space="preserve">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 xml:space="preserve">e tonnes). </w:t>
      </w:r>
    </w:p>
    <w:p w14:paraId="28F50055" w14:textId="77777777" w:rsidR="008B7F00" w:rsidRDefault="00010E2E" w:rsidP="00462A5D">
      <w:pPr>
        <w:pStyle w:val="BodyText"/>
        <w:spacing w:beforeLines="80" w:before="192" w:after="0"/>
        <w:ind w:left="720"/>
        <w:rPr>
          <w:sz w:val="22"/>
          <w:szCs w:val="22"/>
        </w:rPr>
      </w:pPr>
      <w:r w:rsidRPr="008870C0">
        <w:rPr>
          <w:b/>
          <w:i/>
          <w:sz w:val="22"/>
          <w:szCs w:val="22"/>
        </w:rPr>
        <w:t>Q</w:t>
      </w:r>
      <w:r w:rsidRPr="008870C0">
        <w:rPr>
          <w:b/>
          <w:i/>
          <w:sz w:val="22"/>
          <w:szCs w:val="22"/>
          <w:vertAlign w:val="subscript"/>
        </w:rPr>
        <w:t>ik</w:t>
      </w:r>
      <w:r w:rsidRPr="008870C0">
        <w:rPr>
          <w:sz w:val="22"/>
          <w:szCs w:val="22"/>
          <w:vertAlign w:val="subscript"/>
        </w:rPr>
        <w:t xml:space="preserve"> </w:t>
      </w:r>
      <w:r w:rsidRPr="008870C0">
        <w:rPr>
          <w:rStyle w:val="EquationNoteChar"/>
          <w:rFonts w:ascii="Times New Roman" w:hAnsi="Times New Roman" w:cs="Times New Roman"/>
          <w:sz w:val="22"/>
          <w:szCs w:val="22"/>
        </w:rPr>
        <w:t>is the quantities of crude oil that pass through each equipment type (k) (tonnes).</w:t>
      </w:r>
    </w:p>
    <w:p w14:paraId="5A1A7287" w14:textId="77777777" w:rsidR="008B7F00" w:rsidRDefault="00010E2E" w:rsidP="00462A5D">
      <w:pPr>
        <w:pStyle w:val="definition"/>
        <w:spacing w:beforeLines="80" w:before="192"/>
        <w:ind w:left="720"/>
        <w:rPr>
          <w:sz w:val="22"/>
          <w:szCs w:val="22"/>
        </w:rPr>
      </w:pPr>
      <w:r w:rsidRPr="008870C0">
        <w:rPr>
          <w:b/>
          <w:i/>
          <w:sz w:val="22"/>
          <w:szCs w:val="22"/>
        </w:rPr>
        <w:t>EF</w:t>
      </w:r>
      <w:r w:rsidRPr="008870C0">
        <w:rPr>
          <w:b/>
          <w:i/>
          <w:sz w:val="22"/>
          <w:szCs w:val="22"/>
          <w:vertAlign w:val="subscript"/>
        </w:rPr>
        <w:t>ijk</w:t>
      </w:r>
      <w:r w:rsidRPr="008870C0">
        <w:rPr>
          <w:sz w:val="22"/>
          <w:szCs w:val="22"/>
        </w:rPr>
        <w:t xml:space="preserve"> </w:t>
      </w:r>
      <w:r w:rsidRPr="008870C0">
        <w:rPr>
          <w:rStyle w:val="EquationNoteChar"/>
          <w:rFonts w:ascii="Times New Roman" w:hAnsi="Times New Roman" w:cs="Times New Roman"/>
          <w:sz w:val="22"/>
          <w:szCs w:val="22"/>
        </w:rPr>
        <w:t>is the emission factor for methane (j)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 per tonne of crude oil that passes through each equipment type (k))</w:t>
      </w:r>
      <w:r w:rsidR="005A0C86" w:rsidRPr="008870C0">
        <w:rPr>
          <w:rStyle w:val="EquationNoteChar"/>
          <w:rFonts w:ascii="Times New Roman" w:hAnsi="Times New Roman" w:cs="Times New Roman"/>
          <w:sz w:val="22"/>
          <w:szCs w:val="22"/>
        </w:rPr>
        <w:t xml:space="preserve"> listed in Table </w:t>
      </w:r>
      <w:r w:rsidR="005443A8" w:rsidRPr="008870C0">
        <w:rPr>
          <w:rStyle w:val="EquationNoteChar"/>
          <w:rFonts w:ascii="Times New Roman" w:hAnsi="Times New Roman" w:cs="Times New Roman"/>
          <w:sz w:val="22"/>
          <w:szCs w:val="22"/>
        </w:rPr>
        <w:t>9</w:t>
      </w:r>
      <w:r w:rsidRPr="008870C0">
        <w:rPr>
          <w:rStyle w:val="EquationNoteChar"/>
          <w:rFonts w:ascii="Times New Roman" w:hAnsi="Times New Roman" w:cs="Times New Roman"/>
          <w:sz w:val="22"/>
          <w:szCs w:val="22"/>
        </w:rPr>
        <w:t>.</w:t>
      </w:r>
      <w:r w:rsidRPr="008870C0">
        <w:rPr>
          <w:sz w:val="22"/>
          <w:szCs w:val="22"/>
        </w:rPr>
        <w:t xml:space="preserve">  </w:t>
      </w:r>
    </w:p>
    <w:p w14:paraId="43A880FB" w14:textId="77777777" w:rsidR="008B7F00" w:rsidRDefault="00010E2E" w:rsidP="00462A5D">
      <w:pPr>
        <w:pStyle w:val="definition"/>
        <w:spacing w:beforeLines="80" w:before="192"/>
        <w:ind w:left="720"/>
        <w:rPr>
          <w:sz w:val="22"/>
        </w:rPr>
      </w:pPr>
      <w:r w:rsidRPr="008870C0">
        <w:rPr>
          <w:b/>
          <w:i/>
          <w:sz w:val="22"/>
          <w:szCs w:val="22"/>
        </w:rPr>
        <w:t>Q</w:t>
      </w:r>
      <w:r w:rsidRPr="008870C0">
        <w:rPr>
          <w:b/>
          <w:i/>
          <w:sz w:val="22"/>
          <w:szCs w:val="22"/>
          <w:vertAlign w:val="subscript"/>
        </w:rPr>
        <w:t>i</w:t>
      </w:r>
      <w:r w:rsidRPr="008870C0">
        <w:rPr>
          <w:sz w:val="22"/>
          <w:szCs w:val="22"/>
        </w:rPr>
        <w:t xml:space="preserve"> </w:t>
      </w:r>
      <w:r w:rsidRPr="008870C0">
        <w:rPr>
          <w:rStyle w:val="EquationNoteChar"/>
          <w:rFonts w:ascii="Times New Roman" w:hAnsi="Times New Roman" w:cs="Times New Roman"/>
          <w:sz w:val="22"/>
          <w:szCs w:val="22"/>
        </w:rPr>
        <w:t>is the total quantity of crude oil production throughput (i) measured in tonnes.</w:t>
      </w:r>
    </w:p>
    <w:p w14:paraId="3268F227" w14:textId="77777777" w:rsidR="00D157AC" w:rsidRDefault="00010E2E">
      <w:pPr>
        <w:pStyle w:val="definition"/>
        <w:spacing w:before="240"/>
        <w:ind w:left="720"/>
        <w:rPr>
          <w:rStyle w:val="EquationNoteChar"/>
          <w:rFonts w:ascii="Times New Roman" w:hAnsi="Times New Roman" w:cs="Times New Roman"/>
          <w:sz w:val="22"/>
          <w:szCs w:val="22"/>
        </w:rPr>
      </w:pPr>
      <w:r w:rsidRPr="008870C0">
        <w:rPr>
          <w:b/>
          <w:i/>
          <w:sz w:val="22"/>
          <w:szCs w:val="22"/>
        </w:rPr>
        <w:t>EF</w:t>
      </w:r>
      <w:r w:rsidRPr="008870C0">
        <w:rPr>
          <w:b/>
          <w:i/>
          <w:sz w:val="22"/>
          <w:szCs w:val="22"/>
          <w:vertAlign w:val="subscript"/>
        </w:rPr>
        <w:t>(l) ij</w:t>
      </w:r>
      <w:r w:rsidRPr="008870C0">
        <w:rPr>
          <w:b/>
          <w:i/>
          <w:sz w:val="22"/>
          <w:szCs w:val="22"/>
        </w:rPr>
        <w:t xml:space="preserve"> </w:t>
      </w:r>
      <w:r w:rsidRPr="008870C0">
        <w:rPr>
          <w:rStyle w:val="EquationNoteChar"/>
          <w:rFonts w:ascii="Times New Roman" w:hAnsi="Times New Roman" w:cs="Times New Roman"/>
          <w:sz w:val="22"/>
          <w:szCs w:val="22"/>
        </w:rPr>
        <w:t>is 1.</w:t>
      </w:r>
      <w:r w:rsidR="005C184F">
        <w:rPr>
          <w:rStyle w:val="EquationNoteChar"/>
          <w:rFonts w:ascii="Times New Roman" w:hAnsi="Times New Roman" w:cs="Times New Roman"/>
          <w:sz w:val="22"/>
          <w:szCs w:val="22"/>
        </w:rPr>
        <w:t>4</w:t>
      </w:r>
      <w:r w:rsidRPr="008870C0">
        <w:rPr>
          <w:rStyle w:val="EquationNoteChar"/>
          <w:rFonts w:ascii="Times New Roman" w:hAnsi="Times New Roman" w:cs="Times New Roman"/>
          <w:sz w:val="22"/>
          <w:szCs w:val="22"/>
        </w:rPr>
        <w:t xml:space="preserve"> x 10</w:t>
      </w:r>
      <w:r w:rsidRPr="008870C0">
        <w:rPr>
          <w:rStyle w:val="EquationNoteChar"/>
          <w:rFonts w:ascii="Times New Roman" w:hAnsi="Times New Roman" w:cs="Times New Roman"/>
          <w:b/>
          <w:sz w:val="22"/>
          <w:szCs w:val="22"/>
          <w:vertAlign w:val="superscript"/>
        </w:rPr>
        <w:noBreakHyphen/>
        <w:t>3</w:t>
      </w:r>
      <w:r w:rsidRPr="008870C0">
        <w:rPr>
          <w:rStyle w:val="EquationNoteChar"/>
          <w:rFonts w:ascii="Times New Roman" w:hAnsi="Times New Roman" w:cs="Times New Roman"/>
          <w:sz w:val="22"/>
          <w:szCs w:val="22"/>
        </w:rPr>
        <w:t>, which is the emission factor for methane (j) from general leaks in crude oil production,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 per tonne of crude oil throughput).</w:t>
      </w:r>
      <w:r w:rsidRPr="008870C0">
        <w:rPr>
          <w:sz w:val="22"/>
          <w:szCs w:val="22"/>
        </w:rPr>
        <w:t xml:space="preserve"> </w:t>
      </w:r>
      <w:r w:rsidR="00CC5A33" w:rsidRPr="008870C0">
        <w:rPr>
          <w:rStyle w:val="EquationNoteChar"/>
          <w:rFonts w:ascii="Times New Roman" w:hAnsi="Times New Roman" w:cs="Times New Roman"/>
          <w:sz w:val="22"/>
          <w:szCs w:val="22"/>
        </w:rPr>
        <w:t>G</w:t>
      </w:r>
      <w:r w:rsidR="005A0C86" w:rsidRPr="008870C0">
        <w:rPr>
          <w:rStyle w:val="EquationNoteChar"/>
          <w:rFonts w:ascii="Times New Roman" w:hAnsi="Times New Roman" w:cs="Times New Roman"/>
          <w:sz w:val="22"/>
          <w:szCs w:val="22"/>
        </w:rPr>
        <w:t>eneral leaks in the crude oil production comprises the emissions (other than vent emissions) from equipment listed in</w:t>
      </w:r>
      <w:r w:rsidR="004F15DA">
        <w:rPr>
          <w:rStyle w:val="EquationNoteChar"/>
          <w:rFonts w:ascii="Times New Roman" w:hAnsi="Times New Roman" w:cs="Times New Roman"/>
          <w:sz w:val="22"/>
          <w:szCs w:val="22"/>
        </w:rPr>
        <w:t xml:space="preserve"> </w:t>
      </w:r>
      <w:r w:rsidR="004215E9">
        <w:rPr>
          <w:rStyle w:val="EquationNoteChar"/>
          <w:rFonts w:ascii="Times New Roman" w:hAnsi="Times New Roman" w:cs="Times New Roman"/>
          <w:sz w:val="22"/>
          <w:szCs w:val="22"/>
        </w:rPr>
        <w:t xml:space="preserve">sections 5.4.3, 5.6.4, 5.6.5 </w:t>
      </w:r>
      <w:r w:rsidR="005A0C86" w:rsidRPr="008870C0">
        <w:rPr>
          <w:rStyle w:val="EquationNoteChar"/>
          <w:rFonts w:ascii="Times New Roman" w:hAnsi="Times New Roman" w:cs="Times New Roman"/>
          <w:sz w:val="22"/>
          <w:szCs w:val="22"/>
        </w:rPr>
        <w:t xml:space="preserve">and 6.1.2 of the API Compendium, </w:t>
      </w:r>
    </w:p>
    <w:p w14:paraId="7F1E9B41" w14:textId="77777777" w:rsidR="00D76245" w:rsidRDefault="00D76245" w:rsidP="00C23E3B">
      <w:pPr>
        <w:pStyle w:val="Caption"/>
      </w:pPr>
    </w:p>
    <w:p w14:paraId="54370BB1" w14:textId="77777777" w:rsidR="00D76245" w:rsidRDefault="000C3793" w:rsidP="00C23E3B">
      <w:pPr>
        <w:pStyle w:val="Caption"/>
      </w:pPr>
      <w:bookmarkStart w:id="59" w:name="_Toc391646695"/>
      <w:bookmarkStart w:id="60" w:name="_Toc485728118"/>
      <w:r>
        <w:t xml:space="preserve">Table </w:t>
      </w:r>
      <w:r w:rsidR="00DC52E0">
        <w:fldChar w:fldCharType="begin"/>
      </w:r>
      <w:r>
        <w:instrText xml:space="preserve"> SEQ Table \* ARABIC </w:instrText>
      </w:r>
      <w:r w:rsidR="00DC52E0">
        <w:fldChar w:fldCharType="separate"/>
      </w:r>
      <w:r w:rsidR="004A1330">
        <w:rPr>
          <w:noProof/>
        </w:rPr>
        <w:t>10</w:t>
      </w:r>
      <w:r w:rsidR="00DC52E0">
        <w:fldChar w:fldCharType="end"/>
      </w:r>
      <w:r w:rsidR="00010E2E">
        <w:t>: Oil production (other than venting and flaring) emission factors</w:t>
      </w:r>
      <w:bookmarkEnd w:id="59"/>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2"/>
        <w:gridCol w:w="5047"/>
      </w:tblGrid>
      <w:tr w:rsidR="00010E2E" w14:paraId="3EA13DCB" w14:textId="77777777" w:rsidTr="00382DF3">
        <w:trPr>
          <w:cantSplit/>
        </w:trPr>
        <w:tc>
          <w:tcPr>
            <w:tcW w:w="3154" w:type="dxa"/>
            <w:vMerge w:val="restart"/>
            <w:shd w:val="pct15" w:color="auto" w:fill="auto"/>
            <w:vAlign w:val="center"/>
          </w:tcPr>
          <w:p w14:paraId="5EC86189" w14:textId="77777777" w:rsidR="00010E2E" w:rsidRDefault="00010E2E" w:rsidP="00382DF3">
            <w:pPr>
              <w:pStyle w:val="Table"/>
              <w:keepNext/>
              <w:jc w:val="center"/>
              <w:rPr>
                <w:b/>
                <w:bCs/>
              </w:rPr>
            </w:pPr>
            <w:r>
              <w:rPr>
                <w:b/>
                <w:bCs/>
              </w:rPr>
              <w:t xml:space="preserve">Equipment type </w:t>
            </w:r>
            <w:r>
              <w:rPr>
                <w:b/>
                <w:bCs/>
                <w:i/>
              </w:rPr>
              <w:t>(k)</w:t>
            </w:r>
          </w:p>
        </w:tc>
        <w:tc>
          <w:tcPr>
            <w:tcW w:w="5068" w:type="dxa"/>
            <w:shd w:val="pct15" w:color="auto" w:fill="auto"/>
            <w:vAlign w:val="center"/>
          </w:tcPr>
          <w:p w14:paraId="4852B59D" w14:textId="77777777" w:rsidR="00010E2E" w:rsidRDefault="00010E2E" w:rsidP="00382DF3">
            <w:pPr>
              <w:pStyle w:val="TableCentre"/>
              <w:rPr>
                <w:b/>
                <w:bCs/>
              </w:rPr>
            </w:pPr>
            <w:r>
              <w:rPr>
                <w:b/>
                <w:bCs/>
              </w:rPr>
              <w:t>Emission factor  (</w:t>
            </w:r>
            <w:r>
              <w:rPr>
                <w:rFonts w:ascii="Times New Roman" w:hAnsi="Times New Roman" w:cs="Times New Roman"/>
                <w:b/>
                <w:i/>
                <w:sz w:val="20"/>
              </w:rPr>
              <w:t>EF</w:t>
            </w:r>
            <w:r>
              <w:rPr>
                <w:rFonts w:ascii="Times New Roman" w:hAnsi="Times New Roman" w:cs="Times New Roman"/>
                <w:b/>
                <w:i/>
                <w:sz w:val="20"/>
                <w:vertAlign w:val="subscript"/>
              </w:rPr>
              <w:t>ij</w:t>
            </w:r>
            <w:r>
              <w:rPr>
                <w:b/>
                <w:bCs/>
              </w:rPr>
              <w:t>)</w:t>
            </w:r>
          </w:p>
          <w:p w14:paraId="280E10A4" w14:textId="77777777" w:rsidR="00010E2E" w:rsidRDefault="00010E2E" w:rsidP="00382DF3">
            <w:pPr>
              <w:pStyle w:val="TableCentre"/>
              <w:rPr>
                <w:b/>
                <w:bCs/>
              </w:rPr>
            </w:pPr>
            <w:r>
              <w:rPr>
                <w:b/>
                <w:bCs/>
              </w:rPr>
              <w:t>(tonnes CO</w:t>
            </w:r>
            <w:r>
              <w:rPr>
                <w:rStyle w:val="Subscript"/>
                <w:b/>
                <w:bCs/>
              </w:rPr>
              <w:t>2</w:t>
            </w:r>
            <w:r>
              <w:rPr>
                <w:b/>
                <w:bCs/>
              </w:rPr>
              <w:t>-e/tonnes throughput)</w:t>
            </w:r>
          </w:p>
        </w:tc>
      </w:tr>
      <w:tr w:rsidR="00010E2E" w14:paraId="3AFD97B4" w14:textId="77777777" w:rsidTr="00382DF3">
        <w:trPr>
          <w:cantSplit/>
        </w:trPr>
        <w:tc>
          <w:tcPr>
            <w:tcW w:w="3154" w:type="dxa"/>
            <w:vMerge/>
            <w:shd w:val="pct15" w:color="auto" w:fill="auto"/>
          </w:tcPr>
          <w:p w14:paraId="4ACC62E5" w14:textId="77777777" w:rsidR="00010E2E" w:rsidRDefault="00010E2E">
            <w:pPr>
              <w:pStyle w:val="Table"/>
              <w:keepNext/>
              <w:rPr>
                <w:rFonts w:eastAsia="MS Mincho"/>
                <w:b/>
                <w:bCs/>
              </w:rPr>
            </w:pPr>
          </w:p>
        </w:tc>
        <w:tc>
          <w:tcPr>
            <w:tcW w:w="5068" w:type="dxa"/>
            <w:shd w:val="pct15" w:color="auto" w:fill="auto"/>
          </w:tcPr>
          <w:p w14:paraId="1DFAD657" w14:textId="77777777" w:rsidR="00010E2E" w:rsidRDefault="00010E2E">
            <w:pPr>
              <w:pStyle w:val="TableCentre"/>
              <w:rPr>
                <w:rFonts w:eastAsia="MS Mincho"/>
                <w:b/>
                <w:bCs/>
              </w:rPr>
            </w:pPr>
            <w:r>
              <w:rPr>
                <w:rFonts w:eastAsia="MS Mincho"/>
                <w:b/>
                <w:bCs/>
              </w:rPr>
              <w:t>CH</w:t>
            </w:r>
            <w:r>
              <w:rPr>
                <w:rStyle w:val="Subscript"/>
                <w:rFonts w:eastAsia="MS Mincho"/>
                <w:b/>
                <w:bCs/>
              </w:rPr>
              <w:t>4</w:t>
            </w:r>
          </w:p>
        </w:tc>
      </w:tr>
      <w:tr w:rsidR="005C184F" w14:paraId="5F77B877" w14:textId="77777777" w:rsidTr="00382DF3">
        <w:tc>
          <w:tcPr>
            <w:tcW w:w="3154" w:type="dxa"/>
          </w:tcPr>
          <w:p w14:paraId="2DB1B4E6" w14:textId="77777777" w:rsidR="005C184F" w:rsidRDefault="005C184F">
            <w:pPr>
              <w:pStyle w:val="Table"/>
            </w:pPr>
            <w:r>
              <w:tab/>
              <w:t>Internal floating tank</w:t>
            </w:r>
          </w:p>
        </w:tc>
        <w:tc>
          <w:tcPr>
            <w:tcW w:w="5068" w:type="dxa"/>
          </w:tcPr>
          <w:p w14:paraId="1575B399" w14:textId="77777777" w:rsidR="005C184F" w:rsidRDefault="005C184F">
            <w:pPr>
              <w:pStyle w:val="TableCentre"/>
            </w:pPr>
            <w:r>
              <w:t>1.0 x10</w:t>
            </w:r>
            <w:r>
              <w:rPr>
                <w:rStyle w:val="Superscript"/>
              </w:rPr>
              <w:t>-6</w:t>
            </w:r>
          </w:p>
        </w:tc>
      </w:tr>
      <w:tr w:rsidR="005C184F" w14:paraId="3974D84D" w14:textId="77777777" w:rsidTr="00382DF3">
        <w:tc>
          <w:tcPr>
            <w:tcW w:w="3154" w:type="dxa"/>
          </w:tcPr>
          <w:p w14:paraId="0EEC9CCD" w14:textId="77777777" w:rsidR="005C184F" w:rsidRDefault="005C184F">
            <w:pPr>
              <w:pStyle w:val="Table"/>
            </w:pPr>
            <w:r>
              <w:tab/>
              <w:t>Fixed roof tank</w:t>
            </w:r>
          </w:p>
        </w:tc>
        <w:tc>
          <w:tcPr>
            <w:tcW w:w="5068" w:type="dxa"/>
          </w:tcPr>
          <w:p w14:paraId="264829B5" w14:textId="77777777" w:rsidR="005C184F" w:rsidRDefault="005C184F">
            <w:pPr>
              <w:pStyle w:val="TableCentre"/>
            </w:pPr>
            <w:r>
              <w:t>5.0 x 10</w:t>
            </w:r>
            <w:r>
              <w:rPr>
                <w:rStyle w:val="Superscript"/>
              </w:rPr>
              <w:t>-6</w:t>
            </w:r>
          </w:p>
        </w:tc>
      </w:tr>
      <w:tr w:rsidR="005C184F" w14:paraId="459A0389" w14:textId="77777777" w:rsidTr="00382DF3">
        <w:tc>
          <w:tcPr>
            <w:tcW w:w="3154" w:type="dxa"/>
          </w:tcPr>
          <w:p w14:paraId="529AC9C1" w14:textId="77777777" w:rsidR="005C184F" w:rsidRDefault="005C184F">
            <w:pPr>
              <w:pStyle w:val="Table"/>
            </w:pPr>
            <w:r>
              <w:tab/>
              <w:t>Floating tank</w:t>
            </w:r>
          </w:p>
        </w:tc>
        <w:tc>
          <w:tcPr>
            <w:tcW w:w="5068" w:type="dxa"/>
          </w:tcPr>
          <w:p w14:paraId="173ACB68" w14:textId="77777777" w:rsidR="005C184F" w:rsidRDefault="005C184F">
            <w:pPr>
              <w:pStyle w:val="TableCentre"/>
            </w:pPr>
            <w:r>
              <w:t>4.0 x 10</w:t>
            </w:r>
            <w:r>
              <w:rPr>
                <w:rStyle w:val="Superscript"/>
              </w:rPr>
              <w:t>-6</w:t>
            </w:r>
          </w:p>
        </w:tc>
      </w:tr>
    </w:tbl>
    <w:p w14:paraId="408685CC" w14:textId="77777777" w:rsidR="00010E2E" w:rsidRDefault="00010E2E">
      <w:pPr>
        <w:pStyle w:val="TableNote"/>
      </w:pPr>
      <w:r>
        <w:t>Source: National Greenhouse and Energy Reporting (Measurement) Determination 2008 (Section 3.49)</w:t>
      </w:r>
      <w:r w:rsidR="00554938">
        <w:t>.</w:t>
      </w:r>
    </w:p>
    <w:p w14:paraId="03C7B396" w14:textId="77777777" w:rsidR="001363EF" w:rsidRDefault="001363EF">
      <w:pPr>
        <w:pStyle w:val="BodyText"/>
        <w:ind w:left="0"/>
      </w:pPr>
    </w:p>
    <w:p w14:paraId="1F41381E" w14:textId="77777777" w:rsidR="0010111B" w:rsidRDefault="0010111B" w:rsidP="0010111B">
      <w:pPr>
        <w:pStyle w:val="Heading5"/>
        <w:numPr>
          <w:ilvl w:val="0"/>
          <w:numId w:val="0"/>
        </w:numPr>
        <w:ind w:firstLine="360"/>
        <w:rPr>
          <w:rFonts w:ascii="Arial" w:hAnsi="Arial"/>
          <w:bCs/>
          <w:u w:val="single"/>
        </w:rPr>
      </w:pPr>
      <w:r w:rsidRPr="005A0C86">
        <w:rPr>
          <w:rFonts w:ascii="Arial" w:hAnsi="Arial"/>
          <w:bCs/>
          <w:u w:val="single"/>
        </w:rPr>
        <w:t xml:space="preserve">Crude oil production </w:t>
      </w:r>
      <w:r>
        <w:rPr>
          <w:rFonts w:ascii="Arial" w:hAnsi="Arial"/>
          <w:bCs/>
          <w:u w:val="single"/>
        </w:rPr>
        <w:t>(non-</w:t>
      </w:r>
      <w:r w:rsidRPr="005A0C86">
        <w:rPr>
          <w:rFonts w:ascii="Arial" w:hAnsi="Arial"/>
          <w:bCs/>
          <w:u w:val="single"/>
        </w:rPr>
        <w:t>flared</w:t>
      </w:r>
      <w:r>
        <w:rPr>
          <w:rFonts w:ascii="Arial" w:hAnsi="Arial"/>
          <w:bCs/>
          <w:u w:val="single"/>
        </w:rPr>
        <w:t>) – fugitive vent</w:t>
      </w:r>
      <w:r w:rsidRPr="005A0C86">
        <w:rPr>
          <w:rFonts w:ascii="Arial" w:hAnsi="Arial"/>
          <w:bCs/>
          <w:u w:val="single"/>
        </w:rPr>
        <w:t xml:space="preserve"> emissions</w:t>
      </w:r>
      <w:r>
        <w:rPr>
          <w:rFonts w:ascii="Arial" w:hAnsi="Arial"/>
          <w:bCs/>
          <w:u w:val="single"/>
        </w:rPr>
        <w:t xml:space="preserve"> of methane and carbon dioxide</w:t>
      </w:r>
    </w:p>
    <w:p w14:paraId="24129A56" w14:textId="77777777" w:rsidR="00916CB8" w:rsidRDefault="00916CB8" w:rsidP="00916CB8">
      <w:pPr>
        <w:spacing w:line="312" w:lineRule="auto"/>
        <w:ind w:left="0"/>
        <w:rPr>
          <w:rFonts w:ascii="Arial" w:hAnsi="Arial"/>
        </w:rPr>
      </w:pPr>
      <w:r>
        <w:rPr>
          <w:rFonts w:ascii="Arial" w:hAnsi="Arial"/>
        </w:rPr>
        <w:t>The API Compendium should be consulted in accordance with the list below for methodologies to estimate vented emissions for the respective emission processes:</w:t>
      </w:r>
    </w:p>
    <w:p w14:paraId="78B79AFF" w14:textId="77777777" w:rsidR="00916CB8" w:rsidRPr="006248B3" w:rsidRDefault="00916CB8" w:rsidP="00916CB8">
      <w:pPr>
        <w:spacing w:line="312" w:lineRule="auto"/>
        <w:ind w:left="0"/>
        <w:rPr>
          <w:rFonts w:ascii="Arial" w:hAnsi="Arial"/>
        </w:rPr>
      </w:pPr>
      <w:r>
        <w:rPr>
          <w:rFonts w:ascii="Arial" w:hAnsi="Arial"/>
        </w:rPr>
        <w:t xml:space="preserve"> </w:t>
      </w:r>
    </w:p>
    <w:tbl>
      <w:tblPr>
        <w:tblW w:w="0" w:type="auto"/>
        <w:tblInd w:w="964" w:type="dxa"/>
        <w:tblLook w:val="04A0" w:firstRow="1" w:lastRow="0" w:firstColumn="1" w:lastColumn="0" w:noHBand="0" w:noVBand="1"/>
      </w:tblPr>
      <w:tblGrid>
        <w:gridCol w:w="682"/>
        <w:gridCol w:w="3569"/>
        <w:gridCol w:w="3092"/>
      </w:tblGrid>
      <w:tr w:rsidR="00916CB8" w:rsidRPr="00DA27C9" w14:paraId="67070EBB" w14:textId="77777777" w:rsidTr="00916CB8">
        <w:trPr>
          <w:tblHeader/>
        </w:trPr>
        <w:tc>
          <w:tcPr>
            <w:tcW w:w="704" w:type="dxa"/>
            <w:tcBorders>
              <w:bottom w:val="single" w:sz="4" w:space="0" w:color="auto"/>
            </w:tcBorders>
          </w:tcPr>
          <w:p w14:paraId="36C22CF6" w14:textId="77777777" w:rsidR="00916CB8" w:rsidRPr="00DA27C9" w:rsidRDefault="00916CB8" w:rsidP="00916CB8">
            <w:pPr>
              <w:pStyle w:val="TableColHead"/>
              <w:rPr>
                <w:color w:val="000000"/>
              </w:rPr>
            </w:pPr>
          </w:p>
        </w:tc>
        <w:tc>
          <w:tcPr>
            <w:tcW w:w="3681" w:type="dxa"/>
            <w:tcBorders>
              <w:bottom w:val="single" w:sz="4" w:space="0" w:color="auto"/>
            </w:tcBorders>
          </w:tcPr>
          <w:p w14:paraId="5243AAD0" w14:textId="77777777" w:rsidR="00916CB8" w:rsidRPr="00DA27C9" w:rsidRDefault="00916CB8" w:rsidP="00916CB8">
            <w:pPr>
              <w:pStyle w:val="TableColHead"/>
              <w:rPr>
                <w:color w:val="000000"/>
              </w:rPr>
            </w:pPr>
            <w:r w:rsidRPr="00DA27C9">
              <w:rPr>
                <w:color w:val="000000"/>
              </w:rPr>
              <w:t>Emission process</w:t>
            </w:r>
          </w:p>
        </w:tc>
        <w:tc>
          <w:tcPr>
            <w:tcW w:w="3173" w:type="dxa"/>
            <w:tcBorders>
              <w:bottom w:val="single" w:sz="4" w:space="0" w:color="auto"/>
            </w:tcBorders>
          </w:tcPr>
          <w:p w14:paraId="08FCD86A" w14:textId="77777777" w:rsidR="00916CB8" w:rsidRPr="00DA27C9" w:rsidRDefault="00916CB8" w:rsidP="00916CB8">
            <w:pPr>
              <w:pStyle w:val="TableColHead"/>
              <w:rPr>
                <w:color w:val="000000"/>
              </w:rPr>
            </w:pPr>
            <w:r w:rsidRPr="00DA27C9">
              <w:rPr>
                <w:color w:val="000000"/>
              </w:rPr>
              <w:t>API Compendium section</w:t>
            </w:r>
          </w:p>
        </w:tc>
      </w:tr>
      <w:tr w:rsidR="00916CB8" w:rsidRPr="00DA27C9" w14:paraId="337F8720" w14:textId="77777777" w:rsidTr="00916CB8">
        <w:tc>
          <w:tcPr>
            <w:tcW w:w="704" w:type="dxa"/>
            <w:tcBorders>
              <w:top w:val="single" w:sz="4" w:space="0" w:color="auto"/>
            </w:tcBorders>
          </w:tcPr>
          <w:p w14:paraId="14CD0CEE" w14:textId="77777777" w:rsidR="00916CB8" w:rsidRPr="00DA27C9" w:rsidRDefault="00916CB8" w:rsidP="00916CB8">
            <w:pPr>
              <w:pStyle w:val="TableText1"/>
              <w:rPr>
                <w:color w:val="000000"/>
              </w:rPr>
            </w:pPr>
          </w:p>
        </w:tc>
        <w:tc>
          <w:tcPr>
            <w:tcW w:w="3681" w:type="dxa"/>
            <w:tcBorders>
              <w:top w:val="single" w:sz="4" w:space="0" w:color="auto"/>
            </w:tcBorders>
          </w:tcPr>
          <w:p w14:paraId="1975B6A4"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Gas treatment processes</w:t>
            </w:r>
          </w:p>
        </w:tc>
        <w:tc>
          <w:tcPr>
            <w:tcW w:w="3173" w:type="dxa"/>
            <w:tcBorders>
              <w:top w:val="single" w:sz="4" w:space="0" w:color="auto"/>
            </w:tcBorders>
          </w:tcPr>
          <w:p w14:paraId="53EC838C"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 5.1</w:t>
            </w:r>
          </w:p>
        </w:tc>
      </w:tr>
      <w:tr w:rsidR="00916CB8" w:rsidRPr="00DA27C9" w14:paraId="018429E4" w14:textId="77777777" w:rsidTr="00916CB8">
        <w:tc>
          <w:tcPr>
            <w:tcW w:w="704" w:type="dxa"/>
          </w:tcPr>
          <w:p w14:paraId="3E6F945E" w14:textId="77777777" w:rsidR="00916CB8" w:rsidRPr="00DA27C9" w:rsidRDefault="00916CB8" w:rsidP="00916CB8">
            <w:pPr>
              <w:pStyle w:val="TableText1"/>
              <w:rPr>
                <w:color w:val="000000"/>
              </w:rPr>
            </w:pPr>
          </w:p>
        </w:tc>
        <w:tc>
          <w:tcPr>
            <w:tcW w:w="3681" w:type="dxa"/>
          </w:tcPr>
          <w:p w14:paraId="599BA766"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Cold process vents</w:t>
            </w:r>
          </w:p>
        </w:tc>
        <w:tc>
          <w:tcPr>
            <w:tcW w:w="3173" w:type="dxa"/>
          </w:tcPr>
          <w:p w14:paraId="4371D84F"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 5.3</w:t>
            </w:r>
          </w:p>
        </w:tc>
      </w:tr>
      <w:tr w:rsidR="00916CB8" w:rsidRPr="00DA27C9" w14:paraId="48CFDE37" w14:textId="77777777" w:rsidTr="00916CB8">
        <w:tc>
          <w:tcPr>
            <w:tcW w:w="704" w:type="dxa"/>
          </w:tcPr>
          <w:p w14:paraId="4647C57A" w14:textId="77777777" w:rsidR="00916CB8" w:rsidRPr="00DA27C9" w:rsidRDefault="00916CB8" w:rsidP="00916CB8">
            <w:pPr>
              <w:pStyle w:val="TableText1"/>
              <w:rPr>
                <w:color w:val="000000"/>
              </w:rPr>
            </w:pPr>
          </w:p>
        </w:tc>
        <w:tc>
          <w:tcPr>
            <w:tcW w:w="3681" w:type="dxa"/>
          </w:tcPr>
          <w:p w14:paraId="4A6FB542"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Natural gas blanketed tank emissions</w:t>
            </w:r>
          </w:p>
        </w:tc>
        <w:tc>
          <w:tcPr>
            <w:tcW w:w="3173" w:type="dxa"/>
          </w:tcPr>
          <w:p w14:paraId="3A898569"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 5.4.4</w:t>
            </w:r>
          </w:p>
        </w:tc>
      </w:tr>
      <w:tr w:rsidR="00916CB8" w:rsidRPr="00DA27C9" w14:paraId="2DFCD843" w14:textId="77777777" w:rsidTr="00916CB8">
        <w:tc>
          <w:tcPr>
            <w:tcW w:w="704" w:type="dxa"/>
          </w:tcPr>
          <w:p w14:paraId="698CD259" w14:textId="77777777" w:rsidR="00916CB8" w:rsidRPr="00DA27C9" w:rsidRDefault="00916CB8" w:rsidP="00916CB8">
            <w:pPr>
              <w:pStyle w:val="TableText1"/>
              <w:rPr>
                <w:color w:val="000000"/>
              </w:rPr>
            </w:pPr>
          </w:p>
        </w:tc>
        <w:tc>
          <w:tcPr>
            <w:tcW w:w="3681" w:type="dxa"/>
          </w:tcPr>
          <w:p w14:paraId="5A6E8F86"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Other venting sources  — gas driven pneumatic devices</w:t>
            </w:r>
          </w:p>
        </w:tc>
        <w:tc>
          <w:tcPr>
            <w:tcW w:w="3173" w:type="dxa"/>
          </w:tcPr>
          <w:p w14:paraId="5E84F6CC"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 5.6.1</w:t>
            </w:r>
          </w:p>
        </w:tc>
      </w:tr>
      <w:tr w:rsidR="00916CB8" w:rsidRPr="00DA27C9" w14:paraId="52D6A290" w14:textId="77777777" w:rsidTr="00916CB8">
        <w:tc>
          <w:tcPr>
            <w:tcW w:w="704" w:type="dxa"/>
          </w:tcPr>
          <w:p w14:paraId="5801483F" w14:textId="77777777" w:rsidR="00916CB8" w:rsidRPr="00DA27C9" w:rsidRDefault="00916CB8" w:rsidP="00916CB8">
            <w:pPr>
              <w:pStyle w:val="TableText1"/>
              <w:rPr>
                <w:color w:val="000000"/>
              </w:rPr>
            </w:pPr>
          </w:p>
        </w:tc>
        <w:tc>
          <w:tcPr>
            <w:tcW w:w="3681" w:type="dxa"/>
          </w:tcPr>
          <w:p w14:paraId="443D84C9"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Other venting sources — gas driven chemical injection pumps</w:t>
            </w:r>
          </w:p>
        </w:tc>
        <w:tc>
          <w:tcPr>
            <w:tcW w:w="3173" w:type="dxa"/>
          </w:tcPr>
          <w:p w14:paraId="071BDC14"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 5.6.2</w:t>
            </w:r>
          </w:p>
        </w:tc>
      </w:tr>
      <w:tr w:rsidR="00916CB8" w:rsidRPr="00DA27C9" w14:paraId="743541B5" w14:textId="77777777" w:rsidTr="00916CB8">
        <w:tc>
          <w:tcPr>
            <w:tcW w:w="704" w:type="dxa"/>
          </w:tcPr>
          <w:p w14:paraId="0F274A1A" w14:textId="77777777" w:rsidR="00916CB8" w:rsidRPr="00DA27C9" w:rsidRDefault="00916CB8" w:rsidP="00916CB8">
            <w:pPr>
              <w:pStyle w:val="TableText1"/>
              <w:rPr>
                <w:color w:val="000000"/>
              </w:rPr>
            </w:pPr>
          </w:p>
        </w:tc>
        <w:tc>
          <w:tcPr>
            <w:tcW w:w="3681" w:type="dxa"/>
          </w:tcPr>
          <w:p w14:paraId="71528E7A" w14:textId="77777777" w:rsidR="00916CB8" w:rsidRPr="00F31DAA" w:rsidRDefault="00B80F09" w:rsidP="004215E9">
            <w:pPr>
              <w:pStyle w:val="TableText1"/>
              <w:keepNext/>
              <w:keepLines/>
              <w:numPr>
                <w:ilvl w:val="0"/>
                <w:numId w:val="2"/>
              </w:numPr>
              <w:shd w:val="pct10" w:color="auto" w:fill="auto"/>
              <w:ind w:left="0"/>
              <w:outlineLvl w:val="0"/>
              <w:rPr>
                <w:color w:val="000000"/>
                <w:sz w:val="20"/>
              </w:rPr>
            </w:pPr>
            <w:r w:rsidRPr="00B80F09">
              <w:rPr>
                <w:color w:val="000000"/>
                <w:sz w:val="20"/>
              </w:rPr>
              <w:t>Other venting sources — coal seam exploratory drilling, well testing and mud degassing</w:t>
            </w:r>
          </w:p>
        </w:tc>
        <w:tc>
          <w:tcPr>
            <w:tcW w:w="3173" w:type="dxa"/>
          </w:tcPr>
          <w:p w14:paraId="0730BFA8"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 5.6.3 or 5.6.6</w:t>
            </w:r>
          </w:p>
        </w:tc>
      </w:tr>
      <w:tr w:rsidR="00916CB8" w:rsidRPr="00DA27C9" w14:paraId="0CB25CE9" w14:textId="77777777" w:rsidTr="00916CB8">
        <w:tc>
          <w:tcPr>
            <w:tcW w:w="704" w:type="dxa"/>
          </w:tcPr>
          <w:p w14:paraId="3A26A701" w14:textId="77777777" w:rsidR="00916CB8" w:rsidRPr="00DA27C9" w:rsidRDefault="00916CB8" w:rsidP="00916CB8">
            <w:pPr>
              <w:pStyle w:val="TableText1"/>
              <w:rPr>
                <w:color w:val="000000"/>
              </w:rPr>
            </w:pPr>
          </w:p>
        </w:tc>
        <w:tc>
          <w:tcPr>
            <w:tcW w:w="3681" w:type="dxa"/>
          </w:tcPr>
          <w:p w14:paraId="77E19AB7"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Non-routine activities —  production related non-routine emissions</w:t>
            </w:r>
          </w:p>
        </w:tc>
        <w:tc>
          <w:tcPr>
            <w:tcW w:w="3173" w:type="dxa"/>
          </w:tcPr>
          <w:p w14:paraId="24F95804"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Sections 5.7.1 or 5.7.2</w:t>
            </w:r>
          </w:p>
        </w:tc>
      </w:tr>
      <w:tr w:rsidR="00916CB8" w:rsidRPr="00FA3369" w14:paraId="65678D14" w14:textId="77777777" w:rsidTr="00916CB8">
        <w:tc>
          <w:tcPr>
            <w:tcW w:w="704" w:type="dxa"/>
            <w:tcBorders>
              <w:bottom w:val="single" w:sz="4" w:space="0" w:color="auto"/>
            </w:tcBorders>
          </w:tcPr>
          <w:p w14:paraId="31A306C0" w14:textId="77777777" w:rsidR="00916CB8" w:rsidRPr="00FA3369" w:rsidRDefault="00916CB8" w:rsidP="00916CB8">
            <w:pPr>
              <w:pStyle w:val="TableText1"/>
              <w:rPr>
                <w:color w:val="000000"/>
              </w:rPr>
            </w:pPr>
          </w:p>
        </w:tc>
        <w:tc>
          <w:tcPr>
            <w:tcW w:w="3681" w:type="dxa"/>
            <w:tcBorders>
              <w:bottom w:val="single" w:sz="4" w:space="0" w:color="auto"/>
            </w:tcBorders>
          </w:tcPr>
          <w:p w14:paraId="5646BEC1"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Non-routine activities —  gas processing related non-routine emissions</w:t>
            </w:r>
          </w:p>
        </w:tc>
        <w:tc>
          <w:tcPr>
            <w:tcW w:w="3173" w:type="dxa"/>
            <w:tcBorders>
              <w:bottom w:val="single" w:sz="4" w:space="0" w:color="auto"/>
            </w:tcBorders>
          </w:tcPr>
          <w:p w14:paraId="7310C522" w14:textId="77777777" w:rsidR="00916CB8" w:rsidRPr="00F31DAA" w:rsidRDefault="00B80F09" w:rsidP="00916CB8">
            <w:pPr>
              <w:pStyle w:val="TableText1"/>
              <w:keepNext/>
              <w:keepLines/>
              <w:numPr>
                <w:ilvl w:val="0"/>
                <w:numId w:val="2"/>
              </w:numPr>
              <w:shd w:val="pct10" w:color="auto" w:fill="auto"/>
              <w:ind w:left="0"/>
              <w:outlineLvl w:val="0"/>
              <w:rPr>
                <w:color w:val="000000"/>
                <w:sz w:val="20"/>
              </w:rPr>
            </w:pPr>
            <w:r w:rsidRPr="00B80F09">
              <w:rPr>
                <w:color w:val="000000"/>
                <w:sz w:val="20"/>
              </w:rPr>
              <w:t>Sections 5.7.1 or 5.7.3</w:t>
            </w:r>
          </w:p>
        </w:tc>
      </w:tr>
    </w:tbl>
    <w:p w14:paraId="509C2F7A" w14:textId="77777777" w:rsidR="00916CB8" w:rsidRDefault="00916CB8" w:rsidP="00916CB8">
      <w:pPr>
        <w:spacing w:line="312" w:lineRule="auto"/>
        <w:ind w:left="0"/>
      </w:pPr>
      <w:r w:rsidRPr="006248B3">
        <w:rPr>
          <w:rFonts w:ascii="Arial" w:hAnsi="Arial"/>
        </w:rPr>
        <w:t>.</w:t>
      </w:r>
    </w:p>
    <w:p w14:paraId="12D634CA" w14:textId="77777777" w:rsidR="00010E2E" w:rsidRPr="005A0C86" w:rsidRDefault="000B79B3">
      <w:pPr>
        <w:pStyle w:val="Heading5"/>
        <w:numPr>
          <w:ilvl w:val="0"/>
          <w:numId w:val="0"/>
        </w:numPr>
        <w:ind w:firstLine="360"/>
        <w:rPr>
          <w:rFonts w:ascii="Arial" w:hAnsi="Arial"/>
          <w:bCs/>
          <w:u w:val="single"/>
        </w:rPr>
      </w:pPr>
      <w:r w:rsidRPr="000B79B3">
        <w:rPr>
          <w:rFonts w:ascii="Arial" w:hAnsi="Arial"/>
          <w:bCs/>
          <w:u w:val="single"/>
        </w:rPr>
        <w:t>Crude oil production (flared emissions)</w:t>
      </w:r>
    </w:p>
    <w:p w14:paraId="3EB3D837" w14:textId="77777777" w:rsidR="00010E2E" w:rsidRDefault="00010E2E">
      <w:pPr>
        <w:pStyle w:val="BodyText"/>
        <w:tabs>
          <w:tab w:val="left" w:pos="0"/>
          <w:tab w:val="left" w:pos="2250"/>
        </w:tabs>
        <w:spacing w:before="120" w:after="0" w:line="312" w:lineRule="auto"/>
        <w:ind w:left="0"/>
        <w:jc w:val="center"/>
        <w:rPr>
          <w:rFonts w:ascii="Arial" w:hAnsi="Arial" w:cs="Arial"/>
          <w:bCs/>
        </w:rPr>
      </w:pPr>
      <w:r>
        <w:rPr>
          <w:bCs/>
          <w:sz w:val="24"/>
          <w:szCs w:val="24"/>
        </w:rPr>
        <w:t>E</w:t>
      </w:r>
      <w:r w:rsidRPr="00630A7A">
        <w:rPr>
          <w:bCs/>
          <w:sz w:val="24"/>
          <w:szCs w:val="24"/>
          <w:vertAlign w:val="subscript"/>
        </w:rPr>
        <w:t>ij</w:t>
      </w:r>
      <w:r>
        <w:rPr>
          <w:bCs/>
          <w:sz w:val="24"/>
          <w:szCs w:val="24"/>
        </w:rPr>
        <w:t xml:space="preserve"> = Q</w:t>
      </w:r>
      <w:r w:rsidRPr="00630A7A">
        <w:rPr>
          <w:bCs/>
          <w:sz w:val="24"/>
          <w:szCs w:val="24"/>
          <w:vertAlign w:val="subscript"/>
        </w:rPr>
        <w:t>i</w:t>
      </w:r>
      <w:r>
        <w:rPr>
          <w:bCs/>
          <w:sz w:val="24"/>
          <w:szCs w:val="24"/>
        </w:rPr>
        <w:t xml:space="preserve"> x EF</w:t>
      </w:r>
      <w:r w:rsidRPr="00630A7A">
        <w:rPr>
          <w:bCs/>
          <w:sz w:val="24"/>
          <w:szCs w:val="24"/>
          <w:vertAlign w:val="subscript"/>
        </w:rPr>
        <w:t>ij</w:t>
      </w:r>
    </w:p>
    <w:p w14:paraId="147A7D9D" w14:textId="77777777" w:rsidR="00010E2E" w:rsidRPr="008870C0" w:rsidRDefault="00010E2E">
      <w:pPr>
        <w:pStyle w:val="Rc"/>
        <w:ind w:left="0" w:firstLine="360"/>
        <w:rPr>
          <w:sz w:val="22"/>
          <w:szCs w:val="22"/>
        </w:rPr>
      </w:pPr>
      <w:r w:rsidRPr="008870C0">
        <w:rPr>
          <w:sz w:val="22"/>
          <w:szCs w:val="22"/>
        </w:rPr>
        <w:t>where:</w:t>
      </w:r>
    </w:p>
    <w:p w14:paraId="3A31BC63" w14:textId="77777777" w:rsidR="00010E2E" w:rsidRPr="008870C0" w:rsidRDefault="00010E2E">
      <w:pPr>
        <w:pStyle w:val="definition"/>
        <w:ind w:left="720"/>
        <w:rPr>
          <w:sz w:val="22"/>
          <w:szCs w:val="22"/>
        </w:rPr>
      </w:pPr>
      <w:r w:rsidRPr="008870C0">
        <w:rPr>
          <w:b/>
          <w:i/>
          <w:sz w:val="22"/>
          <w:szCs w:val="22"/>
        </w:rPr>
        <w:t>E</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fugitive emissions of gas type (j) from a fuel type (i) flared in the crude oil production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2114FF54"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 xml:space="preserve">i </w:t>
      </w:r>
      <w:r w:rsidRPr="008870C0">
        <w:rPr>
          <w:rStyle w:val="EquationNoteChar"/>
          <w:rFonts w:ascii="Times New Roman" w:hAnsi="Times New Roman" w:cs="Times New Roman"/>
          <w:sz w:val="22"/>
          <w:szCs w:val="22"/>
        </w:rPr>
        <w:t>is the quantity of fuel type (i) flared (tonnes).</w:t>
      </w:r>
    </w:p>
    <w:p w14:paraId="4AC68D35" w14:textId="3631FAFF" w:rsidR="007C5A97" w:rsidRDefault="00010E2E" w:rsidP="00656706">
      <w:pPr>
        <w:pStyle w:val="definition"/>
        <w:ind w:left="720"/>
      </w:pPr>
      <w:r w:rsidRPr="008870C0">
        <w:rPr>
          <w:b/>
          <w:i/>
          <w:sz w:val="22"/>
          <w:szCs w:val="22"/>
        </w:rPr>
        <w:t>EF</w:t>
      </w:r>
      <w:r w:rsidRPr="008870C0">
        <w:rPr>
          <w:b/>
          <w:i/>
          <w:sz w:val="22"/>
          <w:szCs w:val="22"/>
          <w:vertAlign w:val="subscript"/>
        </w:rPr>
        <w:t xml:space="preserve">ij </w:t>
      </w:r>
      <w:r w:rsidRPr="008870C0">
        <w:rPr>
          <w:rStyle w:val="EquationNoteChar"/>
          <w:rFonts w:ascii="Times New Roman" w:hAnsi="Times New Roman" w:cs="Times New Roman"/>
          <w:sz w:val="22"/>
          <w:szCs w:val="22"/>
        </w:rPr>
        <w:t>is the emission factor for gas type (j) of fuel type (i) flared (tonnes of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tonne flared)</w:t>
      </w:r>
      <w:bookmarkStart w:id="61" w:name="_Toc391646696"/>
    </w:p>
    <w:p w14:paraId="25818331" w14:textId="1B587927" w:rsidR="00D76245" w:rsidRDefault="0081582C" w:rsidP="00C23E3B">
      <w:pPr>
        <w:pStyle w:val="Caption"/>
      </w:pPr>
      <w:bookmarkStart w:id="62" w:name="_Toc485728119"/>
      <w:r>
        <w:t xml:space="preserve">Table </w:t>
      </w:r>
      <w:r w:rsidR="00DC52E0">
        <w:fldChar w:fldCharType="begin"/>
      </w:r>
      <w:r>
        <w:instrText xml:space="preserve"> SEQ Table \* ARABIC </w:instrText>
      </w:r>
      <w:r w:rsidR="00DC52E0">
        <w:fldChar w:fldCharType="separate"/>
      </w:r>
      <w:r w:rsidR="004A1330">
        <w:rPr>
          <w:noProof/>
        </w:rPr>
        <w:t>11</w:t>
      </w:r>
      <w:r w:rsidR="00DC52E0">
        <w:fldChar w:fldCharType="end"/>
      </w:r>
      <w:r w:rsidR="00010E2E">
        <w:t>: Crude oil production (flared emissions) emission factors</w:t>
      </w:r>
      <w:bookmarkEnd w:id="61"/>
      <w:bookmarkEnd w:id="62"/>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6"/>
        <w:gridCol w:w="1666"/>
        <w:gridCol w:w="1417"/>
        <w:gridCol w:w="2126"/>
      </w:tblGrid>
      <w:tr w:rsidR="00010E2E" w14:paraId="3998C5A9" w14:textId="77777777" w:rsidTr="00382DF3">
        <w:trPr>
          <w:cantSplit/>
        </w:trPr>
        <w:tc>
          <w:tcPr>
            <w:tcW w:w="3296" w:type="dxa"/>
            <w:vMerge w:val="restart"/>
            <w:shd w:val="pct15" w:color="auto" w:fill="auto"/>
            <w:vAlign w:val="center"/>
          </w:tcPr>
          <w:p w14:paraId="7492B0A9" w14:textId="77777777" w:rsidR="00010E2E" w:rsidRDefault="00010E2E" w:rsidP="00382DF3">
            <w:pPr>
              <w:pStyle w:val="Table"/>
              <w:jc w:val="center"/>
              <w:rPr>
                <w:b/>
                <w:bCs/>
              </w:rPr>
            </w:pPr>
            <w:r>
              <w:rPr>
                <w:b/>
                <w:szCs w:val="16"/>
              </w:rPr>
              <w:t>Fuel type (</w:t>
            </w:r>
            <w:r>
              <w:rPr>
                <w:b/>
                <w:i/>
                <w:szCs w:val="16"/>
              </w:rPr>
              <w:t>i</w:t>
            </w:r>
            <w:r>
              <w:rPr>
                <w:b/>
                <w:szCs w:val="16"/>
              </w:rPr>
              <w:t>)</w:t>
            </w:r>
          </w:p>
        </w:tc>
        <w:tc>
          <w:tcPr>
            <w:tcW w:w="5209" w:type="dxa"/>
            <w:gridSpan w:val="3"/>
            <w:shd w:val="pct15" w:color="auto" w:fill="auto"/>
            <w:vAlign w:val="center"/>
          </w:tcPr>
          <w:p w14:paraId="3A9036A3" w14:textId="77777777" w:rsidR="00010E2E" w:rsidRDefault="00010E2E" w:rsidP="00382DF3">
            <w:pPr>
              <w:pStyle w:val="TableCentre"/>
              <w:rPr>
                <w:b/>
                <w:bCs/>
              </w:rPr>
            </w:pPr>
            <w:r>
              <w:rPr>
                <w:b/>
                <w:bCs/>
              </w:rPr>
              <w:t>Emission factor (</w:t>
            </w:r>
            <w:r>
              <w:rPr>
                <w:rFonts w:ascii="Times New Roman" w:hAnsi="Times New Roman" w:cs="Times New Roman"/>
                <w:b/>
                <w:i/>
                <w:sz w:val="20"/>
              </w:rPr>
              <w:t>EF</w:t>
            </w:r>
            <w:r>
              <w:rPr>
                <w:rFonts w:ascii="Times New Roman" w:hAnsi="Times New Roman" w:cs="Times New Roman"/>
                <w:b/>
                <w:i/>
                <w:sz w:val="20"/>
                <w:vertAlign w:val="subscript"/>
              </w:rPr>
              <w:t>ij</w:t>
            </w:r>
            <w:r>
              <w:rPr>
                <w:b/>
                <w:bCs/>
              </w:rPr>
              <w:t>)</w:t>
            </w:r>
          </w:p>
          <w:p w14:paraId="498CCCC7" w14:textId="77777777" w:rsidR="00010E2E" w:rsidRDefault="00010E2E" w:rsidP="00382DF3">
            <w:pPr>
              <w:pStyle w:val="TableCentre"/>
              <w:rPr>
                <w:b/>
                <w:bCs/>
              </w:rPr>
            </w:pPr>
            <w:r>
              <w:rPr>
                <w:b/>
                <w:bCs/>
              </w:rPr>
              <w:t>(tonnes CO</w:t>
            </w:r>
            <w:r>
              <w:rPr>
                <w:rStyle w:val="Subscript"/>
                <w:b/>
                <w:bCs/>
              </w:rPr>
              <w:t>2</w:t>
            </w:r>
            <w:r>
              <w:rPr>
                <w:b/>
                <w:bCs/>
              </w:rPr>
              <w:t>-e/tonnes of fuel flared)</w:t>
            </w:r>
          </w:p>
        </w:tc>
      </w:tr>
      <w:tr w:rsidR="00010E2E" w14:paraId="36B394B8" w14:textId="77777777" w:rsidTr="00382DF3">
        <w:trPr>
          <w:cantSplit/>
        </w:trPr>
        <w:tc>
          <w:tcPr>
            <w:tcW w:w="3296" w:type="dxa"/>
            <w:vMerge/>
            <w:shd w:val="pct15" w:color="auto" w:fill="auto"/>
          </w:tcPr>
          <w:p w14:paraId="34E3B64B" w14:textId="77777777" w:rsidR="00010E2E" w:rsidRDefault="00010E2E">
            <w:pPr>
              <w:pStyle w:val="Table"/>
              <w:rPr>
                <w:b/>
                <w:bCs/>
              </w:rPr>
            </w:pPr>
          </w:p>
        </w:tc>
        <w:tc>
          <w:tcPr>
            <w:tcW w:w="1666" w:type="dxa"/>
            <w:shd w:val="pct15" w:color="auto" w:fill="auto"/>
          </w:tcPr>
          <w:p w14:paraId="1ED5232E" w14:textId="77777777" w:rsidR="00010E2E" w:rsidRDefault="00010E2E">
            <w:pPr>
              <w:pStyle w:val="TableCentre"/>
              <w:rPr>
                <w:b/>
                <w:bCs/>
              </w:rPr>
            </w:pPr>
            <w:r>
              <w:rPr>
                <w:b/>
                <w:bCs/>
              </w:rPr>
              <w:t>CO</w:t>
            </w:r>
            <w:r>
              <w:rPr>
                <w:rStyle w:val="Subscript"/>
                <w:b/>
                <w:bCs/>
              </w:rPr>
              <w:t>2</w:t>
            </w:r>
          </w:p>
        </w:tc>
        <w:tc>
          <w:tcPr>
            <w:tcW w:w="1417" w:type="dxa"/>
            <w:shd w:val="pct15" w:color="auto" w:fill="auto"/>
          </w:tcPr>
          <w:p w14:paraId="71B35D92" w14:textId="77777777" w:rsidR="00010E2E" w:rsidRDefault="00010E2E">
            <w:pPr>
              <w:pStyle w:val="TableCentre"/>
              <w:rPr>
                <w:b/>
                <w:bCs/>
              </w:rPr>
            </w:pPr>
            <w:r>
              <w:rPr>
                <w:b/>
                <w:bCs/>
              </w:rPr>
              <w:t>CH</w:t>
            </w:r>
            <w:r>
              <w:rPr>
                <w:rStyle w:val="Subscript"/>
                <w:b/>
                <w:bCs/>
              </w:rPr>
              <w:t>4</w:t>
            </w:r>
          </w:p>
        </w:tc>
        <w:tc>
          <w:tcPr>
            <w:tcW w:w="2126" w:type="dxa"/>
            <w:shd w:val="pct15" w:color="auto" w:fill="auto"/>
          </w:tcPr>
          <w:p w14:paraId="09199D48" w14:textId="77777777" w:rsidR="00010E2E" w:rsidRDefault="00010E2E">
            <w:pPr>
              <w:pStyle w:val="TableCentre"/>
              <w:rPr>
                <w:b/>
                <w:bCs/>
              </w:rPr>
            </w:pPr>
            <w:r>
              <w:rPr>
                <w:b/>
                <w:bCs/>
              </w:rPr>
              <w:t>N</w:t>
            </w:r>
            <w:r>
              <w:rPr>
                <w:rStyle w:val="Subscript"/>
                <w:b/>
                <w:bCs/>
              </w:rPr>
              <w:t>2</w:t>
            </w:r>
            <w:r>
              <w:rPr>
                <w:b/>
                <w:bCs/>
              </w:rPr>
              <w:t>O</w:t>
            </w:r>
          </w:p>
        </w:tc>
      </w:tr>
      <w:tr w:rsidR="00010E2E" w14:paraId="27A3B365" w14:textId="77777777" w:rsidTr="00382DF3">
        <w:trPr>
          <w:trHeight w:val="204"/>
        </w:trPr>
        <w:tc>
          <w:tcPr>
            <w:tcW w:w="3296" w:type="dxa"/>
          </w:tcPr>
          <w:p w14:paraId="225D2E36" w14:textId="77777777" w:rsidR="00010E2E" w:rsidRDefault="00226707">
            <w:pPr>
              <w:pStyle w:val="Table"/>
            </w:pPr>
            <w:r>
              <w:t>G</w:t>
            </w:r>
            <w:r w:rsidR="00010E2E">
              <w:t>as flared</w:t>
            </w:r>
          </w:p>
        </w:tc>
        <w:tc>
          <w:tcPr>
            <w:tcW w:w="1666" w:type="dxa"/>
          </w:tcPr>
          <w:p w14:paraId="6BC29F83" w14:textId="77777777" w:rsidR="00010E2E" w:rsidRDefault="00010E2E">
            <w:pPr>
              <w:pStyle w:val="TableCentre"/>
            </w:pPr>
            <w:r>
              <w:t>2.8</w:t>
            </w:r>
          </w:p>
        </w:tc>
        <w:tc>
          <w:tcPr>
            <w:tcW w:w="1417" w:type="dxa"/>
          </w:tcPr>
          <w:p w14:paraId="246E52E3" w14:textId="77777777" w:rsidR="00010E2E" w:rsidRDefault="00010E2E">
            <w:pPr>
              <w:pStyle w:val="TableCentre"/>
            </w:pPr>
            <w:r>
              <w:t>0.</w:t>
            </w:r>
            <w:r w:rsidR="005C184F">
              <w:t>8</w:t>
            </w:r>
          </w:p>
        </w:tc>
        <w:tc>
          <w:tcPr>
            <w:tcW w:w="2126" w:type="dxa"/>
          </w:tcPr>
          <w:p w14:paraId="376E9054" w14:textId="77777777" w:rsidR="00010E2E" w:rsidRDefault="00010E2E">
            <w:pPr>
              <w:pStyle w:val="TableCentre"/>
            </w:pPr>
            <w:r>
              <w:t>0.03</w:t>
            </w:r>
          </w:p>
        </w:tc>
      </w:tr>
      <w:tr w:rsidR="00010E2E" w14:paraId="3CF6A670" w14:textId="77777777" w:rsidTr="00382DF3">
        <w:trPr>
          <w:trHeight w:val="396"/>
        </w:trPr>
        <w:tc>
          <w:tcPr>
            <w:tcW w:w="3296" w:type="dxa"/>
          </w:tcPr>
          <w:p w14:paraId="4E25EB1A" w14:textId="77777777" w:rsidR="00010E2E" w:rsidRDefault="00226707">
            <w:pPr>
              <w:pStyle w:val="Table"/>
            </w:pPr>
            <w:r>
              <w:t>Liquid</w:t>
            </w:r>
            <w:r w:rsidR="00010E2E">
              <w:t xml:space="preserve"> flared </w:t>
            </w:r>
          </w:p>
        </w:tc>
        <w:tc>
          <w:tcPr>
            <w:tcW w:w="1666" w:type="dxa"/>
          </w:tcPr>
          <w:p w14:paraId="1FB9343E" w14:textId="77777777" w:rsidR="00010E2E" w:rsidRDefault="00010E2E">
            <w:pPr>
              <w:pStyle w:val="TableCentre"/>
            </w:pPr>
            <w:r>
              <w:t>3.2</w:t>
            </w:r>
          </w:p>
        </w:tc>
        <w:tc>
          <w:tcPr>
            <w:tcW w:w="1417" w:type="dxa"/>
          </w:tcPr>
          <w:p w14:paraId="1F15E24D" w14:textId="77777777" w:rsidR="00010E2E" w:rsidRDefault="00010E2E">
            <w:pPr>
              <w:pStyle w:val="TableCentre"/>
            </w:pPr>
            <w:r>
              <w:t>0.00</w:t>
            </w:r>
            <w:r w:rsidR="005C184F">
              <w:t>8</w:t>
            </w:r>
          </w:p>
        </w:tc>
        <w:tc>
          <w:tcPr>
            <w:tcW w:w="2126" w:type="dxa"/>
          </w:tcPr>
          <w:p w14:paraId="25976B28" w14:textId="77777777" w:rsidR="00010E2E" w:rsidRDefault="00010E2E">
            <w:pPr>
              <w:pStyle w:val="TableCentre"/>
            </w:pPr>
            <w:r>
              <w:t>0.07</w:t>
            </w:r>
          </w:p>
        </w:tc>
      </w:tr>
    </w:tbl>
    <w:p w14:paraId="5D5BE669" w14:textId="77777777" w:rsidR="00010E2E" w:rsidRDefault="00010E2E">
      <w:pPr>
        <w:pStyle w:val="TableNote"/>
      </w:pPr>
      <w:r>
        <w:t xml:space="preserve">Source: National Greenhouse and Energy Reporting (Measurement) Determination 2008 </w:t>
      </w:r>
      <w:r w:rsidR="00554938">
        <w:rPr>
          <w:i/>
          <w:iCs/>
          <w:lang w:eastAsia="en-AU"/>
        </w:rPr>
        <w:t xml:space="preserve"> </w:t>
      </w:r>
      <w:r>
        <w:t>(Section 3.52)</w:t>
      </w:r>
      <w:r w:rsidR="00554938">
        <w:t>.</w:t>
      </w:r>
    </w:p>
    <w:p w14:paraId="29A32E2D"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b/>
          <w:sz w:val="18"/>
          <w:szCs w:val="18"/>
        </w:rPr>
      </w:pPr>
      <w:r>
        <w:rPr>
          <w:rFonts w:ascii="Arial" w:hAnsi="Arial" w:cs="Arial"/>
          <w:b/>
          <w:sz w:val="18"/>
          <w:szCs w:val="18"/>
        </w:rPr>
        <w:t>Example: calculation of emissions from crude oil production</w:t>
      </w:r>
    </w:p>
    <w:p w14:paraId="742F3AA1"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 xml:space="preserve">A crude oil production platform has a throughput of 710,400 tonnes of crude oil during the year.  It has an equipment type constituting a floating tank in which 685,000 tonnes of crude oil throughput occurred during the year. 400 tonnes of crude oil were flared during the year. </w:t>
      </w:r>
    </w:p>
    <w:p w14:paraId="52E91ADD"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Emissions are estimated as follows:</w:t>
      </w:r>
    </w:p>
    <w:p w14:paraId="64F45D7C" w14:textId="07030BA0" w:rsidR="00010E2E" w:rsidRDefault="00010E2E">
      <w:pPr>
        <w:pStyle w:val="Text"/>
        <w:pBdr>
          <w:top w:val="single" w:sz="4" w:space="1" w:color="auto"/>
          <w:left w:val="single" w:sz="4" w:space="4" w:color="auto"/>
          <w:bottom w:val="single" w:sz="4" w:space="1" w:color="auto"/>
          <w:right w:val="single" w:sz="4" w:space="5" w:color="auto"/>
        </w:pBdr>
      </w:pPr>
      <w:r>
        <w:rPr>
          <w:rFonts w:ascii="Arial" w:hAnsi="Arial" w:cs="Arial"/>
          <w:b/>
          <w:i/>
          <w:sz w:val="18"/>
          <w:szCs w:val="18"/>
        </w:rPr>
        <w:t>Part A: Crude oil production (non flared</w:t>
      </w:r>
      <w:r w:rsidR="0010111B">
        <w:rPr>
          <w:rFonts w:ascii="Arial" w:hAnsi="Arial" w:cs="Arial"/>
          <w:b/>
          <w:i/>
          <w:sz w:val="18"/>
          <w:szCs w:val="18"/>
        </w:rPr>
        <w:t>-leakage</w:t>
      </w:r>
      <w:r w:rsidR="005443A8">
        <w:rPr>
          <w:rFonts w:ascii="Arial" w:hAnsi="Arial" w:cs="Arial"/>
          <w:b/>
          <w:i/>
          <w:sz w:val="18"/>
          <w:szCs w:val="18"/>
        </w:rPr>
        <w:t xml:space="preserve"> </w:t>
      </w:r>
      <w:r>
        <w:rPr>
          <w:rFonts w:ascii="Arial" w:hAnsi="Arial" w:cs="Arial"/>
          <w:b/>
          <w:i/>
          <w:sz w:val="18"/>
          <w:szCs w:val="18"/>
        </w:rPr>
        <w:t>component)</w:t>
      </w:r>
    </w:p>
    <w:p w14:paraId="323CB111" w14:textId="174C35D3" w:rsidR="003D6C3E" w:rsidRDefault="00024AB8">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noProof/>
          <w:lang w:eastAsia="en-AU"/>
        </w:rPr>
        <mc:AlternateContent>
          <mc:Choice Requires="wps">
            <w:drawing>
              <wp:anchor distT="0" distB="0" distL="114300" distR="114300" simplePos="0" relativeHeight="251652096" behindDoc="0" locked="0" layoutInCell="1" allowOverlap="1" wp14:anchorId="77B1B070" wp14:editId="76CAAA33">
                <wp:simplePos x="0" y="0"/>
                <wp:positionH relativeFrom="column">
                  <wp:posOffset>1362710</wp:posOffset>
                </wp:positionH>
                <wp:positionV relativeFrom="paragraph">
                  <wp:posOffset>19685</wp:posOffset>
                </wp:positionV>
                <wp:extent cx="2400300" cy="457200"/>
                <wp:effectExtent l="0" t="0" r="19050" b="1905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w="9525">
                          <a:solidFill>
                            <a:srgbClr val="000000"/>
                          </a:solidFill>
                          <a:miter lim="800000"/>
                          <a:headEnd/>
                          <a:tailEnd/>
                        </a:ln>
                      </wps:spPr>
                      <wps:txbx>
                        <w:txbxContent>
                          <w:p w14:paraId="6ADF5E00" w14:textId="77777777" w:rsidR="00990E77" w:rsidRDefault="00990E77">
                            <w:pPr>
                              <w:pStyle w:val="Formula"/>
                            </w:pPr>
                            <w:r>
                              <w:t>E</w:t>
                            </w:r>
                            <w:r>
                              <w:rPr>
                                <w:vertAlign w:val="subscript"/>
                              </w:rPr>
                              <w:t>ij</w:t>
                            </w:r>
                            <w:r>
                              <w:t xml:space="preserve"> = Σ</w:t>
                            </w:r>
                            <w:r>
                              <w:rPr>
                                <w:vertAlign w:val="subscript"/>
                              </w:rPr>
                              <w:t>k</w:t>
                            </w:r>
                            <w:r>
                              <w:t xml:space="preserve"> (Q</w:t>
                            </w:r>
                            <w:r>
                              <w:rPr>
                                <w:vertAlign w:val="subscript"/>
                              </w:rPr>
                              <w:t>ik</w:t>
                            </w:r>
                            <w:r>
                              <w:t xml:space="preserve"> </w:t>
                            </w:r>
                            <w:r>
                              <w:sym w:font="Symbol" w:char="F0B4"/>
                            </w:r>
                            <w:r>
                              <w:t xml:space="preserve"> EF</w:t>
                            </w:r>
                            <w:r>
                              <w:rPr>
                                <w:vertAlign w:val="subscript"/>
                              </w:rPr>
                              <w:t>ijk</w:t>
                            </w:r>
                            <w:r>
                              <w:t>) +  Q</w:t>
                            </w:r>
                            <w:r>
                              <w:rPr>
                                <w:vertAlign w:val="subscript"/>
                              </w:rPr>
                              <w:t>i</w:t>
                            </w:r>
                            <w:r>
                              <w:t xml:space="preserve"> </w:t>
                            </w:r>
                            <w:r>
                              <w:sym w:font="Symbol" w:char="F0B4"/>
                            </w:r>
                            <w:r>
                              <w:t xml:space="preserve"> EF</w:t>
                            </w:r>
                            <w:r>
                              <w:rPr>
                                <w:vertAlign w:val="subscript"/>
                              </w:rPr>
                              <w:t>(l) ij</w:t>
                            </w:r>
                            <w:r>
                              <w:t xml:space="preserve"> </w:t>
                            </w:r>
                          </w:p>
                          <w:p w14:paraId="162603BD" w14:textId="77777777" w:rsidR="00990E77" w:rsidRDefault="00990E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1B070" id="Text Box 5" o:spid="_x0000_s1027" type="#_x0000_t202" style="position:absolute;margin-left:107.3pt;margin-top:1.55pt;width:189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">
                <v:textbox>
                  <w:txbxContent>
                    <w:p w14:paraId="6ADF5E00" w14:textId="77777777" w:rsidR="00990E77" w:rsidRDefault="00990E77">
                      <w:pPr>
                        <w:pStyle w:val="Formula"/>
                      </w:pPr>
                      <w:r>
                        <w:t>E</w:t>
                      </w:r>
                      <w:r>
                        <w:rPr>
                          <w:vertAlign w:val="subscript"/>
                        </w:rPr>
                        <w:t>ij</w:t>
                      </w:r>
                      <w:r>
                        <w:t xml:space="preserve"> = Σ</w:t>
                      </w:r>
                      <w:r>
                        <w:rPr>
                          <w:vertAlign w:val="subscript"/>
                        </w:rPr>
                        <w:t>k</w:t>
                      </w:r>
                      <w:r>
                        <w:t xml:space="preserve"> (Q</w:t>
                      </w:r>
                      <w:r>
                        <w:rPr>
                          <w:vertAlign w:val="subscript"/>
                        </w:rPr>
                        <w:t>ik</w:t>
                      </w:r>
                      <w:r>
                        <w:t xml:space="preserve"> </w:t>
                      </w:r>
                      <w:r>
                        <w:sym w:font="Symbol" w:char="F0B4"/>
                      </w:r>
                      <w:r>
                        <w:t xml:space="preserve"> EF</w:t>
                      </w:r>
                      <w:r>
                        <w:rPr>
                          <w:vertAlign w:val="subscript"/>
                        </w:rPr>
                        <w:t>ijk</w:t>
                      </w:r>
                      <w:r>
                        <w:t>) +  Q</w:t>
                      </w:r>
                      <w:r>
                        <w:rPr>
                          <w:vertAlign w:val="subscript"/>
                        </w:rPr>
                        <w:t>i</w:t>
                      </w:r>
                      <w:r>
                        <w:t xml:space="preserve"> </w:t>
                      </w:r>
                      <w:r>
                        <w:sym w:font="Symbol" w:char="F0B4"/>
                      </w:r>
                      <w:r>
                        <w:t xml:space="preserve"> EF</w:t>
                      </w:r>
                      <w:r>
                        <w:rPr>
                          <w:vertAlign w:val="subscript"/>
                        </w:rPr>
                        <w:t>(l) ij</w:t>
                      </w:r>
                      <w:r>
                        <w:t xml:space="preserve"> </w:t>
                      </w:r>
                    </w:p>
                    <w:p w14:paraId="162603BD" w14:textId="77777777" w:rsidR="00990E77" w:rsidRDefault="00990E77"/>
                  </w:txbxContent>
                </v:textbox>
              </v:shape>
            </w:pict>
          </mc:Fallback>
        </mc:AlternateContent>
      </w:r>
    </w:p>
    <w:p w14:paraId="5D6199FD"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where:</w:t>
      </w:r>
    </w:p>
    <w:p w14:paraId="045D5D53"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E</w:t>
      </w:r>
      <w:r>
        <w:rPr>
          <w:rFonts w:ascii="Arial" w:hAnsi="Arial" w:cs="Arial"/>
          <w:sz w:val="18"/>
          <w:szCs w:val="18"/>
          <w:vertAlign w:val="subscript"/>
        </w:rPr>
        <w:t>ij</w:t>
      </w:r>
      <w:r>
        <w:rPr>
          <w:rFonts w:ascii="Arial" w:hAnsi="Arial" w:cs="Arial"/>
          <w:sz w:val="18"/>
          <w:szCs w:val="18"/>
        </w:rPr>
        <w:t xml:space="preserve"> is the emissions measured in CO</w:t>
      </w:r>
      <w:r>
        <w:rPr>
          <w:rFonts w:ascii="Arial" w:hAnsi="Arial" w:cs="Arial"/>
          <w:sz w:val="18"/>
          <w:szCs w:val="18"/>
          <w:vertAlign w:val="subscript"/>
        </w:rPr>
        <w:t>2</w:t>
      </w:r>
      <w:r w:rsidR="00FE7726">
        <w:rPr>
          <w:rFonts w:ascii="Arial" w:hAnsi="Arial" w:cs="Arial"/>
          <w:sz w:val="18"/>
          <w:szCs w:val="18"/>
        </w:rPr>
        <w:t>-</w:t>
      </w:r>
      <w:r>
        <w:rPr>
          <w:rFonts w:ascii="Arial" w:hAnsi="Arial" w:cs="Arial"/>
          <w:sz w:val="18"/>
          <w:szCs w:val="18"/>
        </w:rPr>
        <w:t>e tonnes of methane</w:t>
      </w:r>
    </w:p>
    <w:p w14:paraId="0CD1E789"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Σ</w:t>
      </w:r>
      <w:r>
        <w:rPr>
          <w:rFonts w:ascii="Arial" w:hAnsi="Arial" w:cs="Arial"/>
          <w:sz w:val="18"/>
          <w:szCs w:val="18"/>
          <w:vertAlign w:val="subscript"/>
        </w:rPr>
        <w:t>k</w:t>
      </w:r>
      <w:r>
        <w:rPr>
          <w:rFonts w:ascii="Arial" w:hAnsi="Arial" w:cs="Arial"/>
          <w:sz w:val="18"/>
          <w:szCs w:val="18"/>
        </w:rPr>
        <w:t xml:space="preserve"> is the sum of emissions of methane (tonnes of CO</w:t>
      </w:r>
      <w:r>
        <w:rPr>
          <w:rFonts w:ascii="Arial" w:hAnsi="Arial" w:cs="Arial"/>
          <w:sz w:val="18"/>
          <w:szCs w:val="18"/>
          <w:vertAlign w:val="subscript"/>
        </w:rPr>
        <w:t>2</w:t>
      </w:r>
      <w:r>
        <w:rPr>
          <w:rFonts w:ascii="Arial" w:hAnsi="Arial" w:cs="Arial"/>
          <w:sz w:val="18"/>
          <w:szCs w:val="18"/>
        </w:rPr>
        <w:t xml:space="preserve">-e) arising from relevant equipment types listed in Table </w:t>
      </w:r>
      <w:r w:rsidR="005443A8">
        <w:rPr>
          <w:rFonts w:ascii="Arial" w:hAnsi="Arial" w:cs="Arial"/>
          <w:sz w:val="18"/>
          <w:szCs w:val="18"/>
        </w:rPr>
        <w:t>9</w:t>
      </w:r>
      <w:r>
        <w:rPr>
          <w:rFonts w:ascii="Arial" w:hAnsi="Arial" w:cs="Arial"/>
          <w:sz w:val="18"/>
          <w:szCs w:val="18"/>
        </w:rPr>
        <w:t xml:space="preserve"> </w:t>
      </w:r>
    </w:p>
    <w:p w14:paraId="6BAC36F4"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Q</w:t>
      </w:r>
      <w:r>
        <w:rPr>
          <w:rFonts w:ascii="Arial" w:hAnsi="Arial" w:cs="Arial"/>
          <w:sz w:val="18"/>
          <w:szCs w:val="18"/>
          <w:vertAlign w:val="subscript"/>
        </w:rPr>
        <w:t>ik</w:t>
      </w:r>
      <w:r>
        <w:rPr>
          <w:rFonts w:ascii="Arial" w:hAnsi="Arial" w:cs="Arial"/>
          <w:sz w:val="18"/>
          <w:szCs w:val="18"/>
        </w:rPr>
        <w:t xml:space="preserve"> is the quantity of crude oil (tonnes) passing through each equipment of type in Table </w:t>
      </w:r>
      <w:r w:rsidR="005443A8">
        <w:rPr>
          <w:rFonts w:ascii="Arial" w:hAnsi="Arial" w:cs="Arial"/>
          <w:sz w:val="18"/>
          <w:szCs w:val="18"/>
        </w:rPr>
        <w:t>9</w:t>
      </w:r>
      <w:r>
        <w:rPr>
          <w:rFonts w:ascii="Arial" w:hAnsi="Arial" w:cs="Arial"/>
          <w:sz w:val="18"/>
          <w:szCs w:val="18"/>
        </w:rPr>
        <w:t xml:space="preserve">. </w:t>
      </w:r>
      <w:r>
        <w:rPr>
          <w:rFonts w:ascii="Arial" w:hAnsi="Arial" w:cs="Arial"/>
          <w:b/>
          <w:sz w:val="18"/>
          <w:szCs w:val="18"/>
        </w:rPr>
        <w:t>In this case 685,000 tonnes of crude oil passes through floating tanks equipment</w:t>
      </w:r>
    </w:p>
    <w:p w14:paraId="48C513B8"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b/>
          <w:sz w:val="18"/>
          <w:szCs w:val="18"/>
        </w:rPr>
      </w:pPr>
      <w:r>
        <w:rPr>
          <w:rFonts w:ascii="Arial" w:hAnsi="Arial" w:cs="Arial"/>
          <w:sz w:val="18"/>
          <w:szCs w:val="18"/>
        </w:rPr>
        <w:t>EF</w:t>
      </w:r>
      <w:r>
        <w:rPr>
          <w:rFonts w:ascii="Arial" w:hAnsi="Arial" w:cs="Arial"/>
          <w:sz w:val="18"/>
          <w:szCs w:val="18"/>
          <w:vertAlign w:val="subscript"/>
        </w:rPr>
        <w:t>ijk</w:t>
      </w:r>
      <w:r>
        <w:rPr>
          <w:rFonts w:ascii="Arial" w:hAnsi="Arial" w:cs="Arial"/>
          <w:sz w:val="18"/>
          <w:szCs w:val="18"/>
        </w:rPr>
        <w:t xml:space="preserve"> is the methane emission factor specific to equipment types listed in Table </w:t>
      </w:r>
      <w:r w:rsidR="005443A8">
        <w:rPr>
          <w:rFonts w:ascii="Arial" w:hAnsi="Arial" w:cs="Arial"/>
          <w:sz w:val="18"/>
          <w:szCs w:val="18"/>
        </w:rPr>
        <w:t>9</w:t>
      </w:r>
      <w:r>
        <w:rPr>
          <w:rFonts w:ascii="Arial" w:hAnsi="Arial" w:cs="Arial"/>
          <w:sz w:val="18"/>
          <w:szCs w:val="18"/>
        </w:rPr>
        <w:t xml:space="preserve"> (tonnes of CO</w:t>
      </w:r>
      <w:r>
        <w:rPr>
          <w:rFonts w:ascii="Arial" w:hAnsi="Arial" w:cs="Arial"/>
          <w:sz w:val="18"/>
          <w:szCs w:val="18"/>
          <w:vertAlign w:val="subscript"/>
        </w:rPr>
        <w:t>2</w:t>
      </w:r>
      <w:r>
        <w:rPr>
          <w:rFonts w:ascii="Arial" w:hAnsi="Arial" w:cs="Arial"/>
          <w:sz w:val="18"/>
          <w:szCs w:val="18"/>
        </w:rPr>
        <w:t xml:space="preserve">-e per tonne of crude oil throughput) . </w:t>
      </w:r>
      <w:r>
        <w:rPr>
          <w:rFonts w:ascii="Arial" w:hAnsi="Arial" w:cs="Arial"/>
          <w:b/>
          <w:sz w:val="18"/>
          <w:szCs w:val="18"/>
        </w:rPr>
        <w:t xml:space="preserve">In this case it is the emission factor for the  floating tank </w:t>
      </w:r>
      <w:r w:rsidR="005C184F">
        <w:rPr>
          <w:rFonts w:ascii="Arial" w:hAnsi="Arial" w:cs="Arial"/>
          <w:b/>
          <w:sz w:val="18"/>
          <w:szCs w:val="18"/>
        </w:rPr>
        <w:t>4.0</w:t>
      </w:r>
      <w:r>
        <w:rPr>
          <w:rFonts w:ascii="Arial" w:hAnsi="Arial" w:cs="Arial"/>
          <w:b/>
          <w:sz w:val="18"/>
          <w:szCs w:val="18"/>
        </w:rPr>
        <w:t xml:space="preserve"> x 10</w:t>
      </w:r>
      <w:r>
        <w:rPr>
          <w:rStyle w:val="Superscript"/>
          <w:rFonts w:ascii="Arial" w:hAnsi="Arial" w:cs="Arial"/>
          <w:b w:val="0"/>
          <w:sz w:val="18"/>
          <w:szCs w:val="18"/>
        </w:rPr>
        <w:noBreakHyphen/>
        <w:t xml:space="preserve">6 </w:t>
      </w:r>
      <w:r>
        <w:rPr>
          <w:rStyle w:val="Superscript"/>
          <w:rFonts w:ascii="Arial" w:hAnsi="Arial" w:cs="Arial"/>
          <w:sz w:val="18"/>
          <w:szCs w:val="18"/>
          <w:vertAlign w:val="baseline"/>
        </w:rPr>
        <w:t>tonnes</w:t>
      </w:r>
      <w:r>
        <w:rPr>
          <w:rStyle w:val="Superscript"/>
          <w:rFonts w:ascii="Arial" w:hAnsi="Arial" w:cs="Arial"/>
          <w:b w:val="0"/>
          <w:sz w:val="18"/>
          <w:szCs w:val="18"/>
          <w:vertAlign w:val="baseline"/>
        </w:rPr>
        <w:t xml:space="preserve"> </w:t>
      </w:r>
      <w:r>
        <w:rPr>
          <w:rFonts w:ascii="Arial" w:hAnsi="Arial" w:cs="Arial"/>
          <w:b/>
          <w:sz w:val="18"/>
          <w:szCs w:val="18"/>
        </w:rPr>
        <w:t>CO</w:t>
      </w:r>
      <w:r>
        <w:rPr>
          <w:rStyle w:val="Subscript"/>
          <w:rFonts w:ascii="Arial" w:hAnsi="Arial" w:cs="Arial"/>
          <w:b/>
          <w:bCs/>
          <w:sz w:val="18"/>
          <w:szCs w:val="18"/>
        </w:rPr>
        <w:t>2</w:t>
      </w:r>
      <w:r>
        <w:rPr>
          <w:rFonts w:ascii="Arial" w:hAnsi="Arial" w:cs="Arial"/>
          <w:b/>
          <w:sz w:val="18"/>
          <w:szCs w:val="18"/>
        </w:rPr>
        <w:noBreakHyphen/>
        <w:t>e/tonnes fuel throughput.</w:t>
      </w:r>
    </w:p>
    <w:p w14:paraId="4B925508"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Q</w:t>
      </w:r>
      <w:r>
        <w:rPr>
          <w:rFonts w:ascii="Arial" w:hAnsi="Arial" w:cs="Arial"/>
          <w:sz w:val="18"/>
          <w:szCs w:val="18"/>
          <w:vertAlign w:val="subscript"/>
        </w:rPr>
        <w:t>i</w:t>
      </w:r>
      <w:r>
        <w:rPr>
          <w:rFonts w:ascii="Arial" w:hAnsi="Arial" w:cs="Arial"/>
          <w:sz w:val="18"/>
          <w:szCs w:val="18"/>
        </w:rPr>
        <w:t xml:space="preserve"> is the total quantity of crude oil production (tonnes). </w:t>
      </w:r>
      <w:r>
        <w:rPr>
          <w:rFonts w:ascii="Arial" w:hAnsi="Arial" w:cs="Arial"/>
          <w:b/>
          <w:sz w:val="18"/>
          <w:szCs w:val="18"/>
        </w:rPr>
        <w:t>In this case the total crude oil production is 710,400 tonnes</w:t>
      </w:r>
      <w:r>
        <w:rPr>
          <w:rFonts w:ascii="Arial" w:hAnsi="Arial" w:cs="Arial"/>
          <w:sz w:val="18"/>
          <w:szCs w:val="18"/>
        </w:rPr>
        <w:t>.</w:t>
      </w:r>
    </w:p>
    <w:p w14:paraId="47D4EFEB"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EF</w:t>
      </w:r>
      <w:r>
        <w:rPr>
          <w:rFonts w:ascii="Arial" w:hAnsi="Arial" w:cs="Arial"/>
          <w:sz w:val="18"/>
          <w:szCs w:val="18"/>
          <w:vertAlign w:val="subscript"/>
        </w:rPr>
        <w:t>(l) ij</w:t>
      </w:r>
      <w:r>
        <w:rPr>
          <w:rFonts w:ascii="Arial" w:hAnsi="Arial" w:cs="Arial"/>
          <w:sz w:val="18"/>
          <w:szCs w:val="18"/>
        </w:rPr>
        <w:t xml:space="preserve">  </w:t>
      </w:r>
      <w:r>
        <w:rPr>
          <w:rFonts w:ascii="Arial" w:hAnsi="Arial" w:cs="Arial"/>
          <w:b/>
          <w:sz w:val="18"/>
          <w:szCs w:val="18"/>
        </w:rPr>
        <w:t>1.</w:t>
      </w:r>
      <w:r w:rsidR="005C184F">
        <w:rPr>
          <w:rFonts w:ascii="Arial" w:hAnsi="Arial" w:cs="Arial"/>
          <w:b/>
          <w:sz w:val="18"/>
          <w:szCs w:val="18"/>
        </w:rPr>
        <w:t>4</w:t>
      </w:r>
      <w:r>
        <w:rPr>
          <w:rFonts w:ascii="Arial" w:hAnsi="Arial" w:cs="Arial"/>
          <w:b/>
          <w:sz w:val="18"/>
          <w:szCs w:val="18"/>
        </w:rPr>
        <w:t xml:space="preserve"> x 10</w:t>
      </w:r>
      <w:r>
        <w:rPr>
          <w:rFonts w:ascii="Arial" w:hAnsi="Arial" w:cs="Arial"/>
          <w:b/>
          <w:sz w:val="18"/>
          <w:szCs w:val="18"/>
          <w:vertAlign w:val="superscript"/>
        </w:rPr>
        <w:t>-3</w:t>
      </w:r>
      <w:r>
        <w:rPr>
          <w:rFonts w:ascii="Arial" w:hAnsi="Arial" w:cs="Arial"/>
          <w:sz w:val="18"/>
          <w:szCs w:val="18"/>
        </w:rPr>
        <w:t>, is the emission factor for methane from general leaks in crude oil production (CO</w:t>
      </w:r>
      <w:r>
        <w:rPr>
          <w:rFonts w:ascii="Arial" w:hAnsi="Arial" w:cs="Arial"/>
          <w:sz w:val="18"/>
          <w:szCs w:val="18"/>
          <w:vertAlign w:val="subscript"/>
        </w:rPr>
        <w:t>2</w:t>
      </w:r>
      <w:r>
        <w:rPr>
          <w:rFonts w:ascii="Arial" w:hAnsi="Arial" w:cs="Arial"/>
          <w:sz w:val="18"/>
          <w:szCs w:val="18"/>
        </w:rPr>
        <w:t xml:space="preserve"> e tonnes per tonne of crude oil throughput).</w:t>
      </w:r>
    </w:p>
    <w:p w14:paraId="4F04E64F" w14:textId="77777777" w:rsidR="00010E2E" w:rsidRDefault="00010E2E">
      <w:pPr>
        <w:pStyle w:val="Text"/>
        <w:pBdr>
          <w:top w:val="single" w:sz="4" w:space="1" w:color="auto"/>
          <w:left w:val="single" w:sz="4" w:space="4" w:color="auto"/>
          <w:bottom w:val="single" w:sz="4" w:space="1" w:color="auto"/>
          <w:right w:val="single" w:sz="4" w:space="5" w:color="auto"/>
        </w:pBdr>
        <w:rPr>
          <w:sz w:val="22"/>
          <w:szCs w:val="22"/>
        </w:rPr>
      </w:pPr>
      <w:r>
        <w:rPr>
          <w:rFonts w:ascii="Arial" w:hAnsi="Arial" w:cs="Arial"/>
          <w:sz w:val="18"/>
          <w:szCs w:val="18"/>
        </w:rPr>
        <w:t>Therefore, emissions of greenhouse gas (methane) in tonnes CO</w:t>
      </w:r>
      <w:r>
        <w:rPr>
          <w:rFonts w:ascii="Arial" w:hAnsi="Arial" w:cs="Arial"/>
          <w:sz w:val="18"/>
          <w:szCs w:val="18"/>
          <w:vertAlign w:val="subscript"/>
        </w:rPr>
        <w:t>2</w:t>
      </w:r>
      <w:r>
        <w:rPr>
          <w:rFonts w:ascii="Arial" w:hAnsi="Arial" w:cs="Arial"/>
          <w:sz w:val="18"/>
          <w:szCs w:val="18"/>
        </w:rPr>
        <w:t>-e:</w:t>
      </w:r>
    </w:p>
    <w:p w14:paraId="0A0439AC" w14:textId="77777777" w:rsidR="00010E2E" w:rsidRDefault="00010E2E">
      <w:pPr>
        <w:pStyle w:val="Text"/>
        <w:pBdr>
          <w:top w:val="single" w:sz="4" w:space="1" w:color="auto"/>
          <w:left w:val="single" w:sz="4" w:space="4" w:color="auto"/>
          <w:bottom w:val="single" w:sz="4" w:space="1" w:color="auto"/>
          <w:right w:val="single" w:sz="4" w:space="5" w:color="auto"/>
        </w:pBdr>
        <w:spacing w:before="120"/>
        <w:ind w:firstLine="1134"/>
        <w:rPr>
          <w:sz w:val="22"/>
          <w:szCs w:val="22"/>
        </w:rPr>
      </w:pPr>
      <w:r>
        <w:rPr>
          <w:sz w:val="22"/>
          <w:szCs w:val="22"/>
        </w:rPr>
        <w:t xml:space="preserve">= (685,000 x </w:t>
      </w:r>
      <w:r w:rsidR="005C184F">
        <w:rPr>
          <w:sz w:val="22"/>
          <w:szCs w:val="22"/>
        </w:rPr>
        <w:t>4.0</w:t>
      </w:r>
      <w:r>
        <w:rPr>
          <w:sz w:val="22"/>
          <w:szCs w:val="22"/>
        </w:rPr>
        <w:t xml:space="preserve"> x10</w:t>
      </w:r>
      <w:r>
        <w:rPr>
          <w:rStyle w:val="Superscript"/>
          <w:sz w:val="22"/>
          <w:szCs w:val="22"/>
        </w:rPr>
        <w:noBreakHyphen/>
        <w:t>6</w:t>
      </w:r>
      <w:r>
        <w:rPr>
          <w:sz w:val="22"/>
          <w:szCs w:val="22"/>
        </w:rPr>
        <w:t>) + (710,400 x 1.</w:t>
      </w:r>
      <w:r w:rsidR="005C184F">
        <w:rPr>
          <w:sz w:val="22"/>
          <w:szCs w:val="22"/>
        </w:rPr>
        <w:t>4</w:t>
      </w:r>
      <w:r>
        <w:rPr>
          <w:sz w:val="22"/>
          <w:szCs w:val="22"/>
        </w:rPr>
        <w:t xml:space="preserve"> x 10</w:t>
      </w:r>
      <w:r>
        <w:rPr>
          <w:sz w:val="22"/>
          <w:szCs w:val="22"/>
          <w:vertAlign w:val="superscript"/>
        </w:rPr>
        <w:t>-3</w:t>
      </w:r>
      <w:r>
        <w:rPr>
          <w:sz w:val="22"/>
          <w:szCs w:val="22"/>
        </w:rPr>
        <w:t>)</w:t>
      </w:r>
    </w:p>
    <w:p w14:paraId="5F252E36"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b/>
          <w:i/>
          <w:sz w:val="18"/>
          <w:szCs w:val="18"/>
        </w:rPr>
      </w:pPr>
      <w:r>
        <w:rPr>
          <w:rFonts w:ascii="Arial" w:hAnsi="Arial" w:cs="Arial"/>
          <w:sz w:val="18"/>
          <w:szCs w:val="18"/>
        </w:rPr>
        <w:t xml:space="preserve">Total scope 1 GHG emissions from crude oil production (non flared component) </w:t>
      </w:r>
      <w:r>
        <w:rPr>
          <w:sz w:val="22"/>
          <w:szCs w:val="22"/>
        </w:rPr>
        <w:t xml:space="preserve"> = </w:t>
      </w:r>
      <w:r w:rsidR="005C184F">
        <w:rPr>
          <w:sz w:val="22"/>
          <w:szCs w:val="22"/>
        </w:rPr>
        <w:t>997</w:t>
      </w:r>
      <w:r>
        <w:rPr>
          <w:sz w:val="22"/>
          <w:szCs w:val="22"/>
        </w:rPr>
        <w:t xml:space="preserve"> t CO</w:t>
      </w:r>
      <w:r>
        <w:rPr>
          <w:sz w:val="22"/>
          <w:szCs w:val="22"/>
          <w:vertAlign w:val="subscript"/>
        </w:rPr>
        <w:t>2</w:t>
      </w:r>
      <w:r>
        <w:rPr>
          <w:sz w:val="22"/>
          <w:szCs w:val="22"/>
        </w:rPr>
        <w:t>-e</w:t>
      </w:r>
    </w:p>
    <w:p w14:paraId="4E7A79AF"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b/>
          <w:sz w:val="18"/>
          <w:szCs w:val="18"/>
        </w:rPr>
      </w:pPr>
      <w:r>
        <w:rPr>
          <w:rFonts w:ascii="Arial" w:hAnsi="Arial" w:cs="Arial"/>
          <w:b/>
          <w:i/>
          <w:sz w:val="18"/>
          <w:szCs w:val="18"/>
        </w:rPr>
        <w:t>Part B: Crude oil production (flared component)</w:t>
      </w:r>
    </w:p>
    <w:p w14:paraId="4B9AFCB9" w14:textId="77777777" w:rsidR="00010E2E" w:rsidRDefault="00024AB8">
      <w:pPr>
        <w:pStyle w:val="Text"/>
        <w:pBdr>
          <w:top w:val="single" w:sz="4" w:space="1" w:color="auto"/>
          <w:left w:val="single" w:sz="4" w:space="4" w:color="auto"/>
          <w:bottom w:val="single" w:sz="4" w:space="1" w:color="auto"/>
          <w:right w:val="single" w:sz="4" w:space="5" w:color="auto"/>
        </w:pBdr>
        <w:rPr>
          <w:sz w:val="22"/>
          <w:szCs w:val="22"/>
        </w:rPr>
      </w:pPr>
      <w:r>
        <w:rPr>
          <w:noProof/>
          <w:lang w:eastAsia="en-AU"/>
        </w:rPr>
        <mc:AlternateContent>
          <mc:Choice Requires="wps">
            <w:drawing>
              <wp:anchor distT="0" distB="0" distL="114300" distR="114300" simplePos="0" relativeHeight="251658240" behindDoc="0" locked="0" layoutInCell="1" allowOverlap="1" wp14:anchorId="57F06DEC" wp14:editId="3DB5D944">
                <wp:simplePos x="0" y="0"/>
                <wp:positionH relativeFrom="column">
                  <wp:posOffset>1257300</wp:posOffset>
                </wp:positionH>
                <wp:positionV relativeFrom="paragraph">
                  <wp:posOffset>229870</wp:posOffset>
                </wp:positionV>
                <wp:extent cx="2400300" cy="457200"/>
                <wp:effectExtent l="0" t="0" r="19050" b="190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w="9525">
                          <a:solidFill>
                            <a:srgbClr val="000000"/>
                          </a:solidFill>
                          <a:miter lim="800000"/>
                          <a:headEnd/>
                          <a:tailEnd/>
                        </a:ln>
                      </wps:spPr>
                      <wps:txbx>
                        <w:txbxContent>
                          <w:p w14:paraId="424589DE" w14:textId="77777777" w:rsidR="00990E77" w:rsidRDefault="00990E77">
                            <w:pPr>
                              <w:pStyle w:val="Formula"/>
                            </w:pPr>
                            <w:r>
                              <w:t>E</w:t>
                            </w:r>
                            <w:r>
                              <w:rPr>
                                <w:vertAlign w:val="subscript"/>
                              </w:rPr>
                              <w:t>ij</w:t>
                            </w:r>
                            <w:r>
                              <w:t xml:space="preserve"> = Q</w:t>
                            </w:r>
                            <w:r>
                              <w:rPr>
                                <w:vertAlign w:val="subscript"/>
                              </w:rPr>
                              <w:t xml:space="preserve">i </w:t>
                            </w:r>
                            <w:r>
                              <w:sym w:font="Symbol" w:char="F0B4"/>
                            </w:r>
                            <w:r>
                              <w:t xml:space="preserve"> EF</w:t>
                            </w:r>
                            <w:r>
                              <w:rPr>
                                <w:vertAlign w:val="subscript"/>
                              </w:rPr>
                              <w:t>ij</w:t>
                            </w:r>
                          </w:p>
                          <w:p w14:paraId="00C6E73D" w14:textId="77777777" w:rsidR="00990E77" w:rsidRDefault="00990E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06DEC" id="Text Box 6" o:spid="_x0000_s1028" type="#_x0000_t202" style="position:absolute;margin-left:99pt;margin-top:18.1pt;width:189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">
                <v:textbox>
                  <w:txbxContent>
                    <w:p w14:paraId="424589DE" w14:textId="77777777" w:rsidR="00990E77" w:rsidRDefault="00990E77">
                      <w:pPr>
                        <w:pStyle w:val="Formula"/>
                      </w:pPr>
                      <w:r>
                        <w:t>E</w:t>
                      </w:r>
                      <w:r>
                        <w:rPr>
                          <w:vertAlign w:val="subscript"/>
                        </w:rPr>
                        <w:t>ij</w:t>
                      </w:r>
                      <w:r>
                        <w:t xml:space="preserve"> = Q</w:t>
                      </w:r>
                      <w:r>
                        <w:rPr>
                          <w:vertAlign w:val="subscript"/>
                        </w:rPr>
                        <w:t xml:space="preserve">i </w:t>
                      </w:r>
                      <w:r>
                        <w:sym w:font="Symbol" w:char="F0B4"/>
                      </w:r>
                      <w:r>
                        <w:t xml:space="preserve"> EF</w:t>
                      </w:r>
                      <w:r>
                        <w:rPr>
                          <w:vertAlign w:val="subscript"/>
                        </w:rPr>
                        <w:t>ij</w:t>
                      </w:r>
                    </w:p>
                    <w:p w14:paraId="00C6E73D" w14:textId="77777777" w:rsidR="00990E77" w:rsidRDefault="00990E77"/>
                  </w:txbxContent>
                </v:textbox>
              </v:shape>
            </w:pict>
          </mc:Fallback>
        </mc:AlternateContent>
      </w:r>
    </w:p>
    <w:p w14:paraId="13DE305C"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where:</w:t>
      </w:r>
    </w:p>
    <w:p w14:paraId="4DF1E328"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E</w:t>
      </w:r>
      <w:r>
        <w:rPr>
          <w:rFonts w:ascii="Arial" w:hAnsi="Arial" w:cs="Arial"/>
          <w:sz w:val="18"/>
          <w:szCs w:val="18"/>
          <w:vertAlign w:val="subscript"/>
        </w:rPr>
        <w:t>ij</w:t>
      </w:r>
      <w:r>
        <w:rPr>
          <w:rFonts w:ascii="Arial" w:hAnsi="Arial" w:cs="Arial"/>
          <w:sz w:val="18"/>
          <w:szCs w:val="18"/>
        </w:rPr>
        <w:t xml:space="preserve"> is the emissions of greenhouse gases (carbon dioxide, methane and nitrous oxide) from  fuel flared (CO</w:t>
      </w:r>
      <w:r>
        <w:rPr>
          <w:rFonts w:ascii="Arial" w:hAnsi="Arial" w:cs="Arial"/>
          <w:sz w:val="18"/>
          <w:szCs w:val="18"/>
          <w:vertAlign w:val="subscript"/>
        </w:rPr>
        <w:t>2</w:t>
      </w:r>
      <w:r>
        <w:rPr>
          <w:rFonts w:ascii="Arial" w:hAnsi="Arial" w:cs="Arial"/>
          <w:sz w:val="18"/>
          <w:szCs w:val="18"/>
        </w:rPr>
        <w:t xml:space="preserve">-e tonnes) </w:t>
      </w:r>
    </w:p>
    <w:p w14:paraId="53A4560A"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Q</w:t>
      </w:r>
      <w:r>
        <w:rPr>
          <w:rFonts w:ascii="Arial" w:hAnsi="Arial" w:cs="Arial"/>
          <w:sz w:val="18"/>
          <w:szCs w:val="18"/>
          <w:vertAlign w:val="subscript"/>
        </w:rPr>
        <w:t>i</w:t>
      </w:r>
      <w:r>
        <w:rPr>
          <w:rFonts w:ascii="Arial" w:hAnsi="Arial" w:cs="Arial"/>
          <w:sz w:val="18"/>
          <w:szCs w:val="18"/>
        </w:rPr>
        <w:t xml:space="preserve"> is the quantity of fuel type flared (tonnes). </w:t>
      </w:r>
      <w:r>
        <w:rPr>
          <w:rFonts w:ascii="Arial" w:hAnsi="Arial" w:cs="Arial"/>
          <w:b/>
          <w:sz w:val="18"/>
          <w:szCs w:val="18"/>
        </w:rPr>
        <w:t>In this case the quantity of crude oil flared is 400 tonnes</w:t>
      </w:r>
      <w:r>
        <w:rPr>
          <w:rFonts w:ascii="Arial" w:hAnsi="Arial" w:cs="Arial"/>
          <w:sz w:val="18"/>
          <w:szCs w:val="18"/>
        </w:rPr>
        <w:t>.</w:t>
      </w:r>
    </w:p>
    <w:p w14:paraId="628595AC"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EF</w:t>
      </w:r>
      <w:r>
        <w:rPr>
          <w:rFonts w:ascii="Arial" w:hAnsi="Arial" w:cs="Arial"/>
          <w:sz w:val="18"/>
          <w:szCs w:val="18"/>
          <w:vertAlign w:val="subscript"/>
        </w:rPr>
        <w:t>ij</w:t>
      </w:r>
      <w:r>
        <w:rPr>
          <w:rFonts w:ascii="Arial" w:hAnsi="Arial" w:cs="Arial"/>
          <w:sz w:val="18"/>
          <w:szCs w:val="18"/>
        </w:rPr>
        <w:t xml:space="preserve"> is the emission factor for the fuel type flared (tonnes of CO</w:t>
      </w:r>
      <w:r>
        <w:rPr>
          <w:rFonts w:ascii="Arial" w:hAnsi="Arial" w:cs="Arial"/>
          <w:sz w:val="18"/>
          <w:szCs w:val="18"/>
          <w:vertAlign w:val="subscript"/>
        </w:rPr>
        <w:t>2</w:t>
      </w:r>
      <w:r>
        <w:rPr>
          <w:rFonts w:ascii="Arial" w:hAnsi="Arial" w:cs="Arial"/>
          <w:sz w:val="18"/>
          <w:szCs w:val="18"/>
        </w:rPr>
        <w:t>-e emissions per tonne of fuel type flared) (Table 1</w:t>
      </w:r>
      <w:r w:rsidR="005443A8">
        <w:rPr>
          <w:rFonts w:ascii="Arial" w:hAnsi="Arial" w:cs="Arial"/>
          <w:sz w:val="18"/>
          <w:szCs w:val="18"/>
        </w:rPr>
        <w:t>0</w:t>
      </w:r>
      <w:r>
        <w:rPr>
          <w:rFonts w:ascii="Arial" w:hAnsi="Arial" w:cs="Arial"/>
          <w:sz w:val="18"/>
          <w:szCs w:val="18"/>
        </w:rPr>
        <w:t xml:space="preserve">). </w:t>
      </w:r>
    </w:p>
    <w:p w14:paraId="39CBD1BC"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Therefore, emissions of greenhouse gases (carbon dioxide, methane and nitrous oxide) in tonnes of CO</w:t>
      </w:r>
      <w:r w:rsidRPr="00FE7726">
        <w:rPr>
          <w:rFonts w:ascii="Arial" w:hAnsi="Arial" w:cs="Arial"/>
          <w:sz w:val="18"/>
          <w:szCs w:val="18"/>
          <w:vertAlign w:val="subscript"/>
        </w:rPr>
        <w:t>2</w:t>
      </w:r>
      <w:r>
        <w:rPr>
          <w:rFonts w:ascii="Arial" w:hAnsi="Arial" w:cs="Arial"/>
          <w:sz w:val="18"/>
          <w:szCs w:val="18"/>
        </w:rPr>
        <w:t xml:space="preserve"> e are estimated as follows:</w:t>
      </w:r>
    </w:p>
    <w:p w14:paraId="5B39E280"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 xml:space="preserve">Emissions of carbon dioxide: </w:t>
      </w:r>
    </w:p>
    <w:p w14:paraId="56B33419"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400 x 3.2</w:t>
      </w:r>
    </w:p>
    <w:p w14:paraId="33E276A1"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1,280 t CO</w:t>
      </w:r>
      <w:r w:rsidRPr="00FE7726">
        <w:rPr>
          <w:rFonts w:ascii="Arial" w:hAnsi="Arial" w:cs="Arial"/>
          <w:sz w:val="18"/>
          <w:szCs w:val="18"/>
          <w:vertAlign w:val="subscript"/>
        </w:rPr>
        <w:t>2</w:t>
      </w:r>
      <w:r>
        <w:rPr>
          <w:rFonts w:ascii="Arial" w:hAnsi="Arial" w:cs="Arial"/>
          <w:sz w:val="18"/>
          <w:szCs w:val="18"/>
        </w:rPr>
        <w:t xml:space="preserve">-e </w:t>
      </w:r>
    </w:p>
    <w:p w14:paraId="11EDC646"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 xml:space="preserve">Emissions of methane: </w:t>
      </w:r>
    </w:p>
    <w:p w14:paraId="69DC1F5A"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400 x 0.00</w:t>
      </w:r>
      <w:r w:rsidR="005C184F">
        <w:rPr>
          <w:rFonts w:ascii="Arial" w:hAnsi="Arial" w:cs="Arial"/>
          <w:sz w:val="18"/>
          <w:szCs w:val="18"/>
        </w:rPr>
        <w:t>8</w:t>
      </w:r>
    </w:p>
    <w:p w14:paraId="3CABBB2D"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3 t CO</w:t>
      </w:r>
      <w:r w:rsidRPr="00FE7726">
        <w:rPr>
          <w:rFonts w:ascii="Arial" w:hAnsi="Arial" w:cs="Arial"/>
          <w:sz w:val="18"/>
          <w:szCs w:val="18"/>
          <w:vertAlign w:val="subscript"/>
        </w:rPr>
        <w:t>2</w:t>
      </w:r>
      <w:r>
        <w:rPr>
          <w:rFonts w:ascii="Arial" w:hAnsi="Arial" w:cs="Arial"/>
          <w:sz w:val="18"/>
          <w:szCs w:val="18"/>
        </w:rPr>
        <w:t>-e</w:t>
      </w:r>
    </w:p>
    <w:p w14:paraId="23389460"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Emissions of nitrous oxide:</w:t>
      </w:r>
    </w:p>
    <w:p w14:paraId="4CA0F759"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xml:space="preserve">= 400 x 0.07 </w:t>
      </w:r>
    </w:p>
    <w:p w14:paraId="563DEE51"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28 t CO</w:t>
      </w:r>
      <w:r w:rsidRPr="00FE7726">
        <w:rPr>
          <w:rFonts w:ascii="Arial" w:hAnsi="Arial" w:cs="Arial"/>
          <w:sz w:val="18"/>
          <w:szCs w:val="18"/>
          <w:vertAlign w:val="subscript"/>
        </w:rPr>
        <w:t>2</w:t>
      </w:r>
      <w:r>
        <w:rPr>
          <w:rFonts w:ascii="Arial" w:hAnsi="Arial" w:cs="Arial"/>
          <w:sz w:val="18"/>
          <w:szCs w:val="18"/>
        </w:rPr>
        <w:t xml:space="preserve">-e </w:t>
      </w:r>
    </w:p>
    <w:p w14:paraId="20EC833A" w14:textId="77777777" w:rsidR="0010111B" w:rsidRDefault="0010111B" w:rsidP="0010111B">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 xml:space="preserve">Total scope 1 GHG emissions from </w:t>
      </w:r>
      <w:r w:rsidR="005443A8">
        <w:rPr>
          <w:rFonts w:ascii="Arial" w:hAnsi="Arial" w:cs="Arial"/>
          <w:sz w:val="18"/>
          <w:szCs w:val="18"/>
        </w:rPr>
        <w:t>c</w:t>
      </w:r>
      <w:r>
        <w:rPr>
          <w:rFonts w:ascii="Arial" w:hAnsi="Arial" w:cs="Arial"/>
          <w:sz w:val="18"/>
          <w:szCs w:val="18"/>
        </w:rPr>
        <w:t xml:space="preserve">rude oil production (flared component) </w:t>
      </w:r>
    </w:p>
    <w:p w14:paraId="2C730DD4" w14:textId="77777777" w:rsidR="0010111B" w:rsidRDefault="0010111B" w:rsidP="0010111B">
      <w:pPr>
        <w:pStyle w:val="Text"/>
        <w:pBdr>
          <w:top w:val="single" w:sz="4" w:space="1" w:color="auto"/>
          <w:left w:val="single" w:sz="4" w:space="4" w:color="auto"/>
          <w:bottom w:val="single" w:sz="4" w:space="1" w:color="auto"/>
          <w:right w:val="single" w:sz="4" w:space="5" w:color="auto"/>
        </w:pBdr>
        <w:spacing w:before="120"/>
        <w:ind w:firstLine="1134"/>
        <w:rPr>
          <w:rFonts w:ascii="Arial" w:hAnsi="Arial" w:cs="Arial"/>
          <w:sz w:val="18"/>
          <w:szCs w:val="18"/>
        </w:rPr>
      </w:pPr>
      <w:r>
        <w:rPr>
          <w:rFonts w:ascii="Arial" w:hAnsi="Arial" w:cs="Arial"/>
          <w:sz w:val="18"/>
          <w:szCs w:val="18"/>
        </w:rPr>
        <w:t xml:space="preserve">= 1280 + 3 + 28 </w:t>
      </w:r>
    </w:p>
    <w:p w14:paraId="54E65BFA" w14:textId="77777777" w:rsidR="0010111B" w:rsidRDefault="0010111B" w:rsidP="0010111B">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t>= 1,311 t CO</w:t>
      </w:r>
      <w:r w:rsidRPr="00FE7726">
        <w:rPr>
          <w:rFonts w:ascii="Arial" w:hAnsi="Arial" w:cs="Arial"/>
          <w:sz w:val="18"/>
          <w:szCs w:val="18"/>
          <w:vertAlign w:val="subscript"/>
        </w:rPr>
        <w:t>2</w:t>
      </w:r>
      <w:r>
        <w:rPr>
          <w:rFonts w:ascii="Arial" w:hAnsi="Arial" w:cs="Arial"/>
          <w:sz w:val="18"/>
          <w:szCs w:val="18"/>
        </w:rPr>
        <w:t>-e</w:t>
      </w:r>
    </w:p>
    <w:p w14:paraId="2463571F" w14:textId="77777777" w:rsidR="001363EF" w:rsidRDefault="000B79B3">
      <w:pPr>
        <w:pStyle w:val="Text"/>
        <w:pBdr>
          <w:top w:val="single" w:sz="4" w:space="1" w:color="auto"/>
          <w:left w:val="single" w:sz="4" w:space="4" w:color="auto"/>
          <w:bottom w:val="single" w:sz="4" w:space="1" w:color="auto"/>
          <w:right w:val="single" w:sz="4" w:space="5" w:color="auto"/>
        </w:pBdr>
        <w:rPr>
          <w:rFonts w:ascii="Arial" w:hAnsi="Arial" w:cs="Arial"/>
          <w:b/>
          <w:i/>
          <w:sz w:val="18"/>
          <w:szCs w:val="18"/>
        </w:rPr>
      </w:pPr>
      <w:r w:rsidRPr="000B79B3">
        <w:rPr>
          <w:rFonts w:ascii="Arial" w:hAnsi="Arial" w:cs="Arial"/>
          <w:b/>
          <w:i/>
          <w:sz w:val="18"/>
          <w:szCs w:val="18"/>
        </w:rPr>
        <w:t>Part C: Crude oil production (vented emissions component)</w:t>
      </w:r>
    </w:p>
    <w:p w14:paraId="1211F6D0" w14:textId="77777777" w:rsidR="0010111B" w:rsidRPr="0010111B" w:rsidRDefault="0010111B" w:rsidP="0010111B">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Refer to</w:t>
      </w:r>
      <w:r w:rsidRPr="0010111B">
        <w:rPr>
          <w:rFonts w:ascii="Arial" w:hAnsi="Arial" w:cs="Arial"/>
          <w:sz w:val="18"/>
          <w:szCs w:val="18"/>
        </w:rPr>
        <w:t xml:space="preserve"> section 3.84 which specifies the applicable sections of the</w:t>
      </w:r>
      <w:r>
        <w:rPr>
          <w:rFonts w:ascii="Arial" w:hAnsi="Arial" w:cs="Arial"/>
          <w:sz w:val="18"/>
          <w:szCs w:val="18"/>
        </w:rPr>
        <w:t xml:space="preserve"> </w:t>
      </w:r>
      <w:r w:rsidRPr="0010111B">
        <w:rPr>
          <w:rFonts w:ascii="Arial" w:hAnsi="Arial" w:cs="Arial"/>
          <w:sz w:val="18"/>
          <w:szCs w:val="18"/>
        </w:rPr>
        <w:t>American Petroleum Institute‘s Compendium of Gree</w:t>
      </w:r>
      <w:r>
        <w:rPr>
          <w:rFonts w:ascii="Arial" w:hAnsi="Arial" w:cs="Arial"/>
          <w:sz w:val="18"/>
          <w:szCs w:val="18"/>
        </w:rPr>
        <w:t xml:space="preserve">nhouse Gas Emissions Estimation </w:t>
      </w:r>
      <w:r w:rsidRPr="0010111B">
        <w:rPr>
          <w:rFonts w:ascii="Arial" w:hAnsi="Arial" w:cs="Arial"/>
          <w:sz w:val="18"/>
          <w:szCs w:val="18"/>
        </w:rPr>
        <w:t xml:space="preserve">Methodologies for the Oil and Gas Industry </w:t>
      </w:r>
      <w:r w:rsidR="000B79B3" w:rsidRPr="000B79B3">
        <w:rPr>
          <w:rFonts w:ascii="Arial" w:hAnsi="Arial" w:cs="Arial"/>
          <w:i/>
          <w:sz w:val="18"/>
          <w:szCs w:val="18"/>
        </w:rPr>
        <w:t>2004 (API Compendium).</w:t>
      </w:r>
      <w:r w:rsidRPr="0010111B">
        <w:rPr>
          <w:rFonts w:ascii="Arial" w:hAnsi="Arial" w:cs="Arial"/>
          <w:sz w:val="18"/>
          <w:szCs w:val="18"/>
        </w:rPr>
        <w:t xml:space="preserve"> The reporter</w:t>
      </w:r>
      <w:r>
        <w:rPr>
          <w:rFonts w:ascii="Arial" w:hAnsi="Arial" w:cs="Arial"/>
          <w:sz w:val="18"/>
          <w:szCs w:val="18"/>
        </w:rPr>
        <w:t xml:space="preserve"> </w:t>
      </w:r>
      <w:r w:rsidRPr="0010111B">
        <w:rPr>
          <w:rFonts w:ascii="Arial" w:hAnsi="Arial" w:cs="Arial"/>
          <w:sz w:val="18"/>
          <w:szCs w:val="18"/>
        </w:rPr>
        <w:t>estimates their vented emissions in accordance with those methods detailed in the API</w:t>
      </w:r>
      <w:r>
        <w:rPr>
          <w:rFonts w:ascii="Arial" w:hAnsi="Arial" w:cs="Arial"/>
          <w:sz w:val="18"/>
          <w:szCs w:val="18"/>
        </w:rPr>
        <w:t xml:space="preserve"> </w:t>
      </w:r>
      <w:r w:rsidRPr="0010111B">
        <w:rPr>
          <w:rFonts w:ascii="Arial" w:hAnsi="Arial" w:cs="Arial"/>
          <w:sz w:val="18"/>
          <w:szCs w:val="18"/>
        </w:rPr>
        <w:t>Compendium, producing the following results:</w:t>
      </w:r>
    </w:p>
    <w:p w14:paraId="56364607" w14:textId="77777777" w:rsidR="0010111B" w:rsidRPr="0010111B" w:rsidRDefault="0010111B" w:rsidP="0010111B">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sidRPr="0010111B">
        <w:rPr>
          <w:rFonts w:ascii="Arial" w:hAnsi="Arial" w:cs="Arial"/>
          <w:sz w:val="18"/>
          <w:szCs w:val="18"/>
        </w:rPr>
        <w:t>Total emissions of carbon dioxide = 380 t CO2-e</w:t>
      </w:r>
    </w:p>
    <w:p w14:paraId="7B296AC8" w14:textId="77777777" w:rsidR="0010111B" w:rsidRDefault="0010111B" w:rsidP="0010111B">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sidRPr="0010111B">
        <w:rPr>
          <w:rFonts w:ascii="Arial" w:hAnsi="Arial" w:cs="Arial"/>
          <w:sz w:val="18"/>
          <w:szCs w:val="18"/>
        </w:rPr>
        <w:t>Total emissions of methane = 980 t CO2-e</w:t>
      </w:r>
    </w:p>
    <w:p w14:paraId="7EF27E9A"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b/>
          <w:i/>
          <w:sz w:val="18"/>
          <w:szCs w:val="18"/>
        </w:rPr>
      </w:pPr>
      <w:r>
        <w:rPr>
          <w:rFonts w:ascii="Arial" w:hAnsi="Arial" w:cs="Arial"/>
          <w:b/>
          <w:i/>
          <w:sz w:val="18"/>
          <w:szCs w:val="18"/>
        </w:rPr>
        <w:t xml:space="preserve">Part </w:t>
      </w:r>
      <w:r w:rsidR="0010111B">
        <w:rPr>
          <w:rFonts w:ascii="Arial" w:hAnsi="Arial" w:cs="Arial"/>
          <w:b/>
          <w:i/>
          <w:sz w:val="18"/>
          <w:szCs w:val="18"/>
        </w:rPr>
        <w:t>D</w:t>
      </w:r>
      <w:r>
        <w:rPr>
          <w:rFonts w:ascii="Arial" w:hAnsi="Arial" w:cs="Arial"/>
          <w:b/>
          <w:i/>
          <w:sz w:val="18"/>
          <w:szCs w:val="18"/>
        </w:rPr>
        <w:t>: Total Crude oil production emissions</w:t>
      </w:r>
    </w:p>
    <w:p w14:paraId="37EFD534"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non-flared</w:t>
      </w:r>
      <w:r w:rsidR="0010111B">
        <w:rPr>
          <w:rFonts w:ascii="Arial" w:hAnsi="Arial" w:cs="Arial"/>
          <w:sz w:val="18"/>
          <w:szCs w:val="18"/>
        </w:rPr>
        <w:t>-leakage</w:t>
      </w:r>
      <w:r>
        <w:rPr>
          <w:rFonts w:ascii="Arial" w:hAnsi="Arial" w:cs="Arial"/>
          <w:sz w:val="18"/>
          <w:szCs w:val="18"/>
        </w:rPr>
        <w:t xml:space="preserve"> component + </w:t>
      </w:r>
      <w:r w:rsidR="0010111B">
        <w:rPr>
          <w:rFonts w:ascii="Arial" w:hAnsi="Arial" w:cs="Arial"/>
          <w:sz w:val="18"/>
          <w:szCs w:val="18"/>
        </w:rPr>
        <w:t xml:space="preserve">vented component + </w:t>
      </w:r>
      <w:r>
        <w:rPr>
          <w:rFonts w:ascii="Arial" w:hAnsi="Arial" w:cs="Arial"/>
          <w:sz w:val="18"/>
          <w:szCs w:val="18"/>
        </w:rPr>
        <w:t>flared component</w:t>
      </w:r>
    </w:p>
    <w:p w14:paraId="06D2FE17" w14:textId="77777777" w:rsidR="00010E2E" w:rsidRDefault="00010E2E">
      <w:pPr>
        <w:pStyle w:val="Text"/>
        <w:pBdr>
          <w:top w:val="single" w:sz="4" w:space="1" w:color="auto"/>
          <w:left w:val="single" w:sz="4" w:space="4" w:color="auto"/>
          <w:bottom w:val="single" w:sz="4" w:space="1" w:color="auto"/>
          <w:right w:val="single" w:sz="4" w:space="5" w:color="auto"/>
        </w:pBd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C42F1B">
        <w:rPr>
          <w:rFonts w:ascii="Arial" w:hAnsi="Arial" w:cs="Arial"/>
          <w:sz w:val="18"/>
          <w:szCs w:val="18"/>
        </w:rPr>
        <w:t>997</w:t>
      </w:r>
      <w:r>
        <w:rPr>
          <w:rFonts w:ascii="Arial" w:hAnsi="Arial" w:cs="Arial"/>
          <w:sz w:val="18"/>
          <w:szCs w:val="18"/>
        </w:rPr>
        <w:t xml:space="preserve"> +</w:t>
      </w:r>
      <w:r w:rsidR="0010111B">
        <w:rPr>
          <w:rFonts w:ascii="Arial" w:hAnsi="Arial" w:cs="Arial"/>
          <w:sz w:val="18"/>
          <w:szCs w:val="18"/>
        </w:rPr>
        <w:t xml:space="preserve"> 380 + </w:t>
      </w:r>
      <w:r w:rsidR="00C42F1B">
        <w:rPr>
          <w:rFonts w:ascii="Arial" w:hAnsi="Arial" w:cs="Arial"/>
          <w:sz w:val="18"/>
          <w:szCs w:val="18"/>
        </w:rPr>
        <w:t>1,167</w:t>
      </w:r>
      <w:r w:rsidR="0010111B">
        <w:rPr>
          <w:rFonts w:ascii="Arial" w:hAnsi="Arial" w:cs="Arial"/>
          <w:sz w:val="18"/>
          <w:szCs w:val="18"/>
        </w:rPr>
        <w:t xml:space="preserve"> + </w:t>
      </w:r>
      <w:r>
        <w:rPr>
          <w:rFonts w:ascii="Arial" w:hAnsi="Arial" w:cs="Arial"/>
          <w:sz w:val="18"/>
          <w:szCs w:val="18"/>
        </w:rPr>
        <w:t>1311</w:t>
      </w:r>
    </w:p>
    <w:p w14:paraId="676A75CB" w14:textId="77777777" w:rsidR="00010E2E" w:rsidRDefault="00010E2E">
      <w:pPr>
        <w:pStyle w:val="Text"/>
        <w:pBdr>
          <w:top w:val="single" w:sz="4" w:space="1" w:color="auto"/>
          <w:left w:val="single" w:sz="4" w:space="4" w:color="auto"/>
          <w:bottom w:val="single" w:sz="4" w:space="1" w:color="auto"/>
          <w:right w:val="single" w:sz="4" w:space="5" w:color="auto"/>
        </w:pBdr>
        <w:spacing w:before="120"/>
        <w:rPr>
          <w:rFonts w:ascii="Arial" w:hAnsi="Arial" w:cs="Arial"/>
          <w:sz w:val="18"/>
          <w:szCs w:val="18"/>
        </w:rPr>
      </w:pPr>
      <w:r>
        <w:rPr>
          <w:rFonts w:ascii="Arial" w:hAnsi="Arial" w:cs="Arial"/>
          <w:sz w:val="18"/>
          <w:szCs w:val="18"/>
        </w:rPr>
        <w:t xml:space="preserve">Total scope 1 GHG emissions from Crude oil </w:t>
      </w:r>
      <w:r w:rsidR="000E686B">
        <w:rPr>
          <w:rFonts w:ascii="Arial" w:hAnsi="Arial" w:cs="Arial"/>
          <w:sz w:val="18"/>
          <w:szCs w:val="18"/>
        </w:rPr>
        <w:t>production =</w:t>
      </w:r>
      <w:r>
        <w:rPr>
          <w:rFonts w:ascii="Arial" w:hAnsi="Arial" w:cs="Arial"/>
          <w:sz w:val="18"/>
          <w:szCs w:val="18"/>
        </w:rPr>
        <w:t xml:space="preserve"> </w:t>
      </w:r>
      <w:r w:rsidR="0010111B">
        <w:rPr>
          <w:rFonts w:ascii="Arial" w:hAnsi="Arial" w:cs="Arial"/>
          <w:sz w:val="18"/>
          <w:szCs w:val="18"/>
        </w:rPr>
        <w:t>3</w:t>
      </w:r>
      <w:r w:rsidR="00C42F1B">
        <w:rPr>
          <w:rFonts w:ascii="Arial" w:hAnsi="Arial" w:cs="Arial"/>
          <w:sz w:val="18"/>
          <w:szCs w:val="18"/>
        </w:rPr>
        <w:t>,855</w:t>
      </w:r>
      <w:r>
        <w:rPr>
          <w:rFonts w:ascii="Arial" w:hAnsi="Arial" w:cs="Arial"/>
          <w:sz w:val="18"/>
          <w:szCs w:val="18"/>
        </w:rPr>
        <w:t xml:space="preserve"> t CO</w:t>
      </w:r>
      <w:r>
        <w:rPr>
          <w:rFonts w:ascii="Arial" w:hAnsi="Arial" w:cs="Arial"/>
          <w:sz w:val="18"/>
          <w:szCs w:val="18"/>
          <w:vertAlign w:val="subscript"/>
        </w:rPr>
        <w:t>2</w:t>
      </w:r>
      <w:r>
        <w:rPr>
          <w:rFonts w:ascii="Arial" w:hAnsi="Arial" w:cs="Arial"/>
          <w:sz w:val="18"/>
          <w:szCs w:val="18"/>
        </w:rPr>
        <w:t>-e</w:t>
      </w:r>
    </w:p>
    <w:p w14:paraId="7A35EAD9" w14:textId="77777777" w:rsidR="00010E2E" w:rsidRDefault="00010E2E">
      <w:pPr>
        <w:pStyle w:val="BodyText"/>
      </w:pPr>
    </w:p>
    <w:p w14:paraId="017F7B93" w14:textId="77777777" w:rsidR="00010E2E" w:rsidRDefault="00DB323C" w:rsidP="00DB323C">
      <w:pPr>
        <w:pStyle w:val="Heading4"/>
        <w:numPr>
          <w:ilvl w:val="0"/>
          <w:numId w:val="0"/>
        </w:numPr>
        <w:rPr>
          <w:rFonts w:ascii="Arial" w:hAnsi="Arial"/>
          <w:bCs/>
          <w:i/>
          <w:u w:val="single"/>
        </w:rPr>
      </w:pPr>
      <w:r>
        <w:rPr>
          <w:rFonts w:ascii="Arial" w:hAnsi="Arial"/>
          <w:bCs/>
          <w:i/>
          <w:u w:val="single"/>
        </w:rPr>
        <w:t>2.4.2.4</w:t>
      </w:r>
      <w:r>
        <w:rPr>
          <w:rFonts w:ascii="Arial" w:hAnsi="Arial"/>
          <w:bCs/>
          <w:i/>
          <w:u w:val="single"/>
        </w:rPr>
        <w:tab/>
      </w:r>
      <w:r w:rsidR="00010E2E">
        <w:rPr>
          <w:rFonts w:ascii="Arial" w:hAnsi="Arial"/>
          <w:bCs/>
          <w:i/>
          <w:u w:val="single"/>
        </w:rPr>
        <w:t>Crude oil transport</w:t>
      </w:r>
    </w:p>
    <w:p w14:paraId="12B469E2" w14:textId="77777777" w:rsidR="00010E2E" w:rsidRDefault="00010E2E">
      <w:pPr>
        <w:spacing w:before="120" w:line="312" w:lineRule="auto"/>
        <w:ind w:left="0"/>
        <w:rPr>
          <w:rFonts w:ascii="Arial" w:hAnsi="Arial"/>
        </w:rPr>
      </w:pPr>
      <w:r>
        <w:rPr>
          <w:rFonts w:ascii="Arial" w:hAnsi="Arial"/>
        </w:rPr>
        <w:t>The crude oil transport subsector includes methane emissions associated with the marine, road and rail transport of crude oil. Emissions result largely from three types of activities: loading, transit, and ballasting</w:t>
      </w:r>
    </w:p>
    <w:p w14:paraId="2E4EAE6A" w14:textId="77777777" w:rsidR="00010E2E" w:rsidRDefault="00010E2E">
      <w:pPr>
        <w:pStyle w:val="BodyText"/>
        <w:tabs>
          <w:tab w:val="left" w:pos="0"/>
          <w:tab w:val="left" w:pos="2250"/>
        </w:tabs>
        <w:spacing w:before="120" w:after="0" w:line="312" w:lineRule="auto"/>
        <w:ind w:left="0"/>
        <w:jc w:val="center"/>
        <w:rPr>
          <w:rFonts w:ascii="Arial" w:hAnsi="Arial" w:cs="Arial"/>
          <w:bCs/>
        </w:rPr>
      </w:pPr>
      <w:r>
        <w:rPr>
          <w:bCs/>
          <w:sz w:val="24"/>
          <w:szCs w:val="24"/>
        </w:rPr>
        <w:t>E</w:t>
      </w:r>
      <w:r>
        <w:rPr>
          <w:rFonts w:ascii="Times New Roman Bold" w:hAnsi="Times New Roman Bold"/>
          <w:bCs/>
          <w:sz w:val="24"/>
          <w:szCs w:val="24"/>
          <w:vertAlign w:val="subscript"/>
        </w:rPr>
        <w:t>ij</w:t>
      </w:r>
      <w:r>
        <w:rPr>
          <w:bCs/>
          <w:sz w:val="24"/>
          <w:szCs w:val="24"/>
        </w:rPr>
        <w:t xml:space="preserve"> = Q</w:t>
      </w:r>
      <w:r>
        <w:rPr>
          <w:rFonts w:ascii="Times New Roman Bold" w:hAnsi="Times New Roman Bold"/>
          <w:bCs/>
          <w:sz w:val="24"/>
          <w:szCs w:val="24"/>
          <w:vertAlign w:val="subscript"/>
        </w:rPr>
        <w:t>i</w:t>
      </w:r>
      <w:r>
        <w:rPr>
          <w:bCs/>
          <w:sz w:val="24"/>
          <w:szCs w:val="24"/>
        </w:rPr>
        <w:t xml:space="preserve"> x EF</w:t>
      </w:r>
      <w:r>
        <w:rPr>
          <w:rFonts w:ascii="Times New Roman Bold" w:hAnsi="Times New Roman Bold"/>
          <w:bCs/>
          <w:sz w:val="24"/>
          <w:szCs w:val="24"/>
          <w:vertAlign w:val="subscript"/>
        </w:rPr>
        <w:t>ij</w:t>
      </w:r>
    </w:p>
    <w:p w14:paraId="1B85D70A" w14:textId="77777777" w:rsidR="00010E2E" w:rsidRPr="008870C0" w:rsidRDefault="00010E2E">
      <w:pPr>
        <w:pStyle w:val="Rc"/>
        <w:ind w:left="0" w:firstLine="360"/>
        <w:rPr>
          <w:sz w:val="22"/>
          <w:szCs w:val="22"/>
        </w:rPr>
      </w:pPr>
      <w:r w:rsidRPr="008870C0">
        <w:rPr>
          <w:sz w:val="22"/>
          <w:szCs w:val="22"/>
        </w:rPr>
        <w:t>where:</w:t>
      </w:r>
    </w:p>
    <w:p w14:paraId="78975124" w14:textId="77777777" w:rsidR="00010E2E" w:rsidRPr="008870C0" w:rsidRDefault="00010E2E">
      <w:pPr>
        <w:pStyle w:val="definition"/>
        <w:ind w:left="720"/>
        <w:rPr>
          <w:rStyle w:val="EquationNoteChar"/>
          <w:rFonts w:ascii="Times New Roman" w:hAnsi="Times New Roman" w:cs="Times New Roman"/>
          <w:sz w:val="22"/>
          <w:szCs w:val="22"/>
        </w:rPr>
      </w:pPr>
      <w:r w:rsidRPr="008870C0">
        <w:rPr>
          <w:b/>
          <w:i/>
          <w:sz w:val="22"/>
          <w:szCs w:val="22"/>
        </w:rPr>
        <w:t>E</w:t>
      </w:r>
      <w:r w:rsidRPr="008870C0">
        <w:rPr>
          <w:bCs/>
          <w:i/>
          <w:sz w:val="22"/>
          <w:szCs w:val="22"/>
          <w:vertAlign w:val="subscript"/>
          <w:lang w:eastAsia="en-US"/>
        </w:rPr>
        <w:t>ij</w:t>
      </w:r>
      <w:r w:rsidRPr="008870C0">
        <w:rPr>
          <w:b/>
          <w:sz w:val="22"/>
          <w:szCs w:val="22"/>
        </w:rPr>
        <w:t xml:space="preserve"> </w:t>
      </w:r>
      <w:r w:rsidRPr="008870C0">
        <w:rPr>
          <w:rStyle w:val="EquationNoteChar"/>
          <w:rFonts w:ascii="Times New Roman" w:hAnsi="Times New Roman" w:cs="Times New Roman"/>
          <w:sz w:val="22"/>
          <w:szCs w:val="22"/>
        </w:rPr>
        <w:t>is the fugitive emissions of methane from crude oil transport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6010C49B"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 xml:space="preserve">i </w:t>
      </w:r>
      <w:r w:rsidRPr="008870C0">
        <w:rPr>
          <w:rStyle w:val="EquationNoteChar"/>
          <w:rFonts w:ascii="Times New Roman" w:hAnsi="Times New Roman" w:cs="Times New Roman"/>
          <w:sz w:val="22"/>
          <w:szCs w:val="22"/>
        </w:rPr>
        <w:t>is the quantity of crude oil transported (tonnes).</w:t>
      </w:r>
    </w:p>
    <w:p w14:paraId="7E534D8A" w14:textId="77777777" w:rsidR="00010E2E" w:rsidRPr="008870C0" w:rsidRDefault="00010E2E">
      <w:pPr>
        <w:pStyle w:val="definition"/>
        <w:ind w:left="720"/>
        <w:rPr>
          <w:sz w:val="22"/>
          <w:szCs w:val="22"/>
        </w:rPr>
      </w:pPr>
      <w:r w:rsidRPr="008870C0">
        <w:rPr>
          <w:b/>
          <w:i/>
          <w:sz w:val="22"/>
          <w:szCs w:val="22"/>
        </w:rPr>
        <w:t>EF</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emission factor for methane (j), (tonnes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tonnes of crude oil transported).</w:t>
      </w:r>
    </w:p>
    <w:p w14:paraId="5CD2A22A" w14:textId="77777777" w:rsidR="00010E2E" w:rsidRDefault="00010E2E">
      <w:pPr>
        <w:pStyle w:val="definition"/>
        <w:ind w:left="360"/>
      </w:pPr>
    </w:p>
    <w:p w14:paraId="17A408FD" w14:textId="77777777" w:rsidR="00D76245" w:rsidRDefault="00D76245" w:rsidP="00C23E3B">
      <w:pPr>
        <w:pStyle w:val="Caption"/>
      </w:pPr>
      <w:bookmarkStart w:id="63" w:name="_Toc185914383"/>
    </w:p>
    <w:p w14:paraId="0AF9A2B0" w14:textId="77777777" w:rsidR="00D76245" w:rsidRDefault="0081582C" w:rsidP="00C23E3B">
      <w:pPr>
        <w:pStyle w:val="Caption"/>
      </w:pPr>
      <w:bookmarkStart w:id="64" w:name="_Toc391646697"/>
      <w:bookmarkStart w:id="65" w:name="_Toc485728120"/>
      <w:bookmarkEnd w:id="63"/>
      <w:r>
        <w:t xml:space="preserve">Table </w:t>
      </w:r>
      <w:r w:rsidR="00DC52E0">
        <w:fldChar w:fldCharType="begin"/>
      </w:r>
      <w:r>
        <w:instrText xml:space="preserve"> SEQ Table \* ARABIC </w:instrText>
      </w:r>
      <w:r w:rsidR="00DC52E0">
        <w:fldChar w:fldCharType="separate"/>
      </w:r>
      <w:r w:rsidR="004A1330">
        <w:rPr>
          <w:noProof/>
        </w:rPr>
        <w:t>12</w:t>
      </w:r>
      <w:r w:rsidR="00DC52E0">
        <w:fldChar w:fldCharType="end"/>
      </w:r>
      <w:r w:rsidR="00010E2E">
        <w:t>: Oil transport emission factors</w:t>
      </w:r>
      <w:bookmarkEnd w:id="64"/>
      <w:bookmarkEnd w:id="6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4"/>
        <w:gridCol w:w="4855"/>
      </w:tblGrid>
      <w:tr w:rsidR="00010E2E" w14:paraId="403DFACD" w14:textId="77777777" w:rsidTr="00382DF3">
        <w:trPr>
          <w:cantSplit/>
        </w:trPr>
        <w:tc>
          <w:tcPr>
            <w:tcW w:w="3402" w:type="dxa"/>
            <w:vMerge w:val="restart"/>
            <w:shd w:val="pct15" w:color="auto" w:fill="auto"/>
            <w:vAlign w:val="center"/>
          </w:tcPr>
          <w:p w14:paraId="25E2E612" w14:textId="77777777" w:rsidR="00010E2E" w:rsidRDefault="00010E2E" w:rsidP="00382DF3">
            <w:pPr>
              <w:pStyle w:val="Table"/>
              <w:keepNext/>
              <w:jc w:val="center"/>
              <w:rPr>
                <w:b/>
                <w:bCs/>
              </w:rPr>
            </w:pPr>
            <w:r>
              <w:rPr>
                <w:b/>
                <w:bCs/>
              </w:rPr>
              <w:t>Operation or process source</w:t>
            </w:r>
          </w:p>
        </w:tc>
        <w:tc>
          <w:tcPr>
            <w:tcW w:w="4962" w:type="dxa"/>
            <w:shd w:val="pct15" w:color="auto" w:fill="auto"/>
            <w:vAlign w:val="center"/>
          </w:tcPr>
          <w:p w14:paraId="0CA119DB" w14:textId="77777777" w:rsidR="00010E2E" w:rsidRDefault="00010E2E" w:rsidP="00382DF3">
            <w:pPr>
              <w:pStyle w:val="TableCentre"/>
              <w:rPr>
                <w:rFonts w:ascii="Times New Roman" w:hAnsi="Times New Roman" w:cs="Times New Roman"/>
                <w:b/>
                <w:i/>
                <w:vertAlign w:val="subscript"/>
              </w:rPr>
            </w:pPr>
            <w:r>
              <w:rPr>
                <w:b/>
                <w:bCs/>
              </w:rPr>
              <w:t>Emission factor (</w:t>
            </w:r>
            <w:r>
              <w:rPr>
                <w:rFonts w:ascii="Times New Roman" w:hAnsi="Times New Roman" w:cs="Times New Roman"/>
                <w:b/>
                <w:i/>
                <w:sz w:val="20"/>
              </w:rPr>
              <w:t>EF</w:t>
            </w:r>
            <w:r>
              <w:rPr>
                <w:rFonts w:ascii="Times New Roman" w:hAnsi="Times New Roman" w:cs="Times New Roman"/>
                <w:b/>
                <w:i/>
                <w:sz w:val="20"/>
                <w:vertAlign w:val="subscript"/>
              </w:rPr>
              <w:t>ij</w:t>
            </w:r>
            <w:r>
              <w:rPr>
                <w:b/>
                <w:bCs/>
              </w:rPr>
              <w:t>)</w:t>
            </w:r>
          </w:p>
          <w:p w14:paraId="1B69ADD1" w14:textId="77777777" w:rsidR="00010E2E" w:rsidRDefault="00010E2E" w:rsidP="00382DF3">
            <w:pPr>
              <w:pStyle w:val="TableCentre"/>
              <w:keepNext/>
              <w:rPr>
                <w:b/>
                <w:bCs/>
              </w:rPr>
            </w:pPr>
            <w:r>
              <w:rPr>
                <w:b/>
                <w:bCs/>
              </w:rPr>
              <w:t>(tonnes CO</w:t>
            </w:r>
            <w:r>
              <w:rPr>
                <w:rStyle w:val="Subscript"/>
                <w:b/>
                <w:bCs/>
              </w:rPr>
              <w:t>2</w:t>
            </w:r>
            <w:r>
              <w:rPr>
                <w:b/>
                <w:bCs/>
              </w:rPr>
              <w:t>-e/tonne of oil transported)</w:t>
            </w:r>
          </w:p>
        </w:tc>
      </w:tr>
      <w:tr w:rsidR="00010E2E" w14:paraId="7202C875" w14:textId="77777777" w:rsidTr="00382DF3">
        <w:trPr>
          <w:cantSplit/>
        </w:trPr>
        <w:tc>
          <w:tcPr>
            <w:tcW w:w="3402" w:type="dxa"/>
            <w:vMerge/>
            <w:shd w:val="pct15" w:color="auto" w:fill="auto"/>
            <w:vAlign w:val="center"/>
          </w:tcPr>
          <w:p w14:paraId="24CB5614" w14:textId="77777777" w:rsidR="00010E2E" w:rsidRDefault="00010E2E" w:rsidP="00382DF3">
            <w:pPr>
              <w:pStyle w:val="Table"/>
              <w:keepNext/>
              <w:jc w:val="center"/>
              <w:rPr>
                <w:b/>
                <w:bCs/>
              </w:rPr>
            </w:pPr>
          </w:p>
        </w:tc>
        <w:tc>
          <w:tcPr>
            <w:tcW w:w="4962" w:type="dxa"/>
            <w:shd w:val="pct15" w:color="auto" w:fill="auto"/>
            <w:vAlign w:val="center"/>
          </w:tcPr>
          <w:p w14:paraId="27B1FB4F" w14:textId="77777777" w:rsidR="00010E2E" w:rsidRDefault="00010E2E" w:rsidP="00382DF3">
            <w:pPr>
              <w:pStyle w:val="TableCentre"/>
              <w:keepNext/>
              <w:rPr>
                <w:b/>
                <w:bCs/>
              </w:rPr>
            </w:pPr>
            <w:r>
              <w:rPr>
                <w:b/>
                <w:bCs/>
              </w:rPr>
              <w:t>CH</w:t>
            </w:r>
            <w:r>
              <w:rPr>
                <w:rStyle w:val="Subscript"/>
                <w:b/>
                <w:bCs/>
              </w:rPr>
              <w:t>4</w:t>
            </w:r>
          </w:p>
        </w:tc>
      </w:tr>
      <w:tr w:rsidR="00010E2E" w14:paraId="0DD2AAAA" w14:textId="77777777" w:rsidTr="00382DF3">
        <w:trPr>
          <w:trHeight w:val="506"/>
        </w:trPr>
        <w:tc>
          <w:tcPr>
            <w:tcW w:w="3402" w:type="dxa"/>
            <w:vAlign w:val="center"/>
          </w:tcPr>
          <w:p w14:paraId="6FD12AA2" w14:textId="77777777" w:rsidR="00010E2E" w:rsidRDefault="00010E2E" w:rsidP="00382DF3">
            <w:pPr>
              <w:pStyle w:val="Table"/>
              <w:jc w:val="center"/>
            </w:pPr>
            <w:r>
              <w:t>Crude oil transport (domestic)</w:t>
            </w:r>
          </w:p>
        </w:tc>
        <w:tc>
          <w:tcPr>
            <w:tcW w:w="4962" w:type="dxa"/>
            <w:vAlign w:val="center"/>
          </w:tcPr>
          <w:p w14:paraId="465D8C0D" w14:textId="77777777" w:rsidR="00010E2E" w:rsidRDefault="00C42F1B" w:rsidP="00382DF3">
            <w:pPr>
              <w:pStyle w:val="TableCentre"/>
            </w:pPr>
            <w:r>
              <w:t>8.7</w:t>
            </w:r>
            <w:r w:rsidR="00010E2E">
              <w:t xml:space="preserve"> x 10</w:t>
            </w:r>
            <w:r w:rsidR="00010E2E">
              <w:rPr>
                <w:vertAlign w:val="superscript"/>
              </w:rPr>
              <w:t>-4</w:t>
            </w:r>
          </w:p>
        </w:tc>
      </w:tr>
    </w:tbl>
    <w:p w14:paraId="65E9EA5C" w14:textId="77777777" w:rsidR="00010E2E" w:rsidRDefault="00010E2E">
      <w:pPr>
        <w:pStyle w:val="TableNote"/>
      </w:pPr>
      <w:r>
        <w:t>Source: National Greenhouse and Energy Reporting (Measurement) Determination 2008 (Section 3.59)</w:t>
      </w:r>
      <w:r w:rsidR="00554938">
        <w:t>.</w:t>
      </w:r>
    </w:p>
    <w:p w14:paraId="59D0CAE0" w14:textId="77777777" w:rsidR="00D76245" w:rsidRDefault="00D76245" w:rsidP="00C23E3B">
      <w:pPr>
        <w:pStyle w:val="Caption"/>
      </w:pPr>
      <w:bookmarkStart w:id="66" w:name="_Toc185914385"/>
    </w:p>
    <w:p w14:paraId="3A03CC17" w14:textId="77777777" w:rsidR="00B80F09" w:rsidRDefault="00B80F09" w:rsidP="00B80F09">
      <w:pPr>
        <w:pStyle w:val="BodyText"/>
      </w:pPr>
    </w:p>
    <w:p w14:paraId="3EB96A98" w14:textId="77777777" w:rsidR="00010E2E" w:rsidRDefault="00DB323C" w:rsidP="00DB323C">
      <w:pPr>
        <w:pStyle w:val="Heading4"/>
        <w:numPr>
          <w:ilvl w:val="0"/>
          <w:numId w:val="0"/>
        </w:numPr>
        <w:rPr>
          <w:rFonts w:ascii="Arial" w:hAnsi="Arial"/>
          <w:bCs/>
          <w:i/>
          <w:u w:val="single"/>
        </w:rPr>
      </w:pPr>
      <w:r>
        <w:rPr>
          <w:rFonts w:ascii="Arial" w:hAnsi="Arial"/>
          <w:bCs/>
          <w:i/>
          <w:u w:val="single"/>
        </w:rPr>
        <w:t>2.4.2.5</w:t>
      </w:r>
      <w:r>
        <w:rPr>
          <w:rFonts w:ascii="Arial" w:hAnsi="Arial"/>
          <w:bCs/>
          <w:i/>
          <w:u w:val="single"/>
        </w:rPr>
        <w:tab/>
      </w:r>
      <w:r w:rsidR="00010E2E">
        <w:rPr>
          <w:rFonts w:ascii="Arial" w:hAnsi="Arial"/>
          <w:bCs/>
          <w:i/>
          <w:u w:val="single"/>
        </w:rPr>
        <w:t>Crude oil refining</w:t>
      </w:r>
    </w:p>
    <w:p w14:paraId="6A3B13B2" w14:textId="77777777" w:rsidR="00010E2E" w:rsidRDefault="00010E2E">
      <w:pPr>
        <w:spacing w:before="120" w:line="312" w:lineRule="auto"/>
        <w:ind w:left="0"/>
        <w:rPr>
          <w:rFonts w:ascii="Arial" w:hAnsi="Arial"/>
        </w:rPr>
      </w:pPr>
      <w:r>
        <w:rPr>
          <w:rFonts w:ascii="Arial" w:hAnsi="Arial"/>
        </w:rPr>
        <w:t>Crude oil refining consists of emissions from:</w:t>
      </w:r>
    </w:p>
    <w:p w14:paraId="776F82A1" w14:textId="77777777" w:rsidR="00010E2E" w:rsidRDefault="006B6B4C" w:rsidP="000E686B">
      <w:pPr>
        <w:numPr>
          <w:ilvl w:val="0"/>
          <w:numId w:val="9"/>
        </w:numPr>
        <w:spacing w:after="120" w:line="312" w:lineRule="auto"/>
        <w:ind w:left="714" w:hanging="357"/>
        <w:rPr>
          <w:rFonts w:ascii="Arial" w:hAnsi="Arial"/>
        </w:rPr>
      </w:pPr>
      <w:r>
        <w:rPr>
          <w:rFonts w:ascii="Arial" w:hAnsi="Arial"/>
        </w:rPr>
        <w:t>Fugitive emissions from crude oil refining and storage</w:t>
      </w:r>
      <w:r w:rsidR="00010E2E">
        <w:rPr>
          <w:rFonts w:ascii="Arial" w:hAnsi="Arial"/>
        </w:rPr>
        <w:t xml:space="preserve"> </w:t>
      </w:r>
    </w:p>
    <w:p w14:paraId="0BF35B12" w14:textId="77777777" w:rsidR="00010E2E" w:rsidRDefault="00010E2E" w:rsidP="000E686B">
      <w:pPr>
        <w:numPr>
          <w:ilvl w:val="0"/>
          <w:numId w:val="9"/>
        </w:numPr>
        <w:spacing w:after="120" w:line="312" w:lineRule="auto"/>
        <w:ind w:left="714" w:hanging="357"/>
        <w:rPr>
          <w:rFonts w:ascii="Arial" w:hAnsi="Arial"/>
        </w:rPr>
      </w:pPr>
      <w:r>
        <w:rPr>
          <w:rFonts w:ascii="Arial" w:hAnsi="Arial"/>
        </w:rPr>
        <w:t>process vents, system upsets and accidents (burning of catalyst coke for non-energy purposes)</w:t>
      </w:r>
    </w:p>
    <w:p w14:paraId="11F96954" w14:textId="77777777" w:rsidR="00010E2E" w:rsidRDefault="00010E2E" w:rsidP="000E686B">
      <w:pPr>
        <w:numPr>
          <w:ilvl w:val="0"/>
          <w:numId w:val="9"/>
        </w:numPr>
        <w:spacing w:after="120" w:line="312" w:lineRule="auto"/>
        <w:ind w:left="714" w:hanging="357"/>
        <w:rPr>
          <w:rFonts w:ascii="Arial" w:hAnsi="Arial"/>
        </w:rPr>
      </w:pPr>
      <w:r>
        <w:rPr>
          <w:rFonts w:ascii="Arial" w:hAnsi="Arial"/>
        </w:rPr>
        <w:t xml:space="preserve">flaring. </w:t>
      </w:r>
    </w:p>
    <w:p w14:paraId="284A804D" w14:textId="77777777" w:rsidR="00010E2E" w:rsidRDefault="000B79B3">
      <w:pPr>
        <w:pStyle w:val="Heading5"/>
        <w:numPr>
          <w:ilvl w:val="0"/>
          <w:numId w:val="0"/>
        </w:numPr>
        <w:ind w:firstLine="360"/>
        <w:rPr>
          <w:rFonts w:ascii="Arial" w:hAnsi="Arial"/>
          <w:bCs/>
          <w:i w:val="0"/>
          <w:u w:val="single"/>
        </w:rPr>
      </w:pPr>
      <w:r w:rsidRPr="000B79B3">
        <w:rPr>
          <w:rFonts w:ascii="Arial" w:hAnsi="Arial"/>
          <w:u w:val="single"/>
        </w:rPr>
        <w:t>Fugitive emissions from crude oil refining and storage</w:t>
      </w:r>
      <w:r w:rsidRPr="000B79B3">
        <w:rPr>
          <w:rFonts w:ascii="Arial" w:hAnsi="Arial"/>
          <w:bCs/>
          <w:u w:val="single"/>
        </w:rPr>
        <w:t xml:space="preserve"> </w:t>
      </w:r>
    </w:p>
    <w:p w14:paraId="4D28DA12" w14:textId="77777777" w:rsidR="00010E2E" w:rsidRDefault="00010E2E">
      <w:pPr>
        <w:pStyle w:val="BodyText"/>
        <w:tabs>
          <w:tab w:val="left" w:pos="0"/>
          <w:tab w:val="left" w:pos="2250"/>
        </w:tabs>
        <w:spacing w:before="120" w:after="0" w:line="312" w:lineRule="auto"/>
        <w:ind w:left="0"/>
        <w:jc w:val="center"/>
        <w:rPr>
          <w:rFonts w:ascii="Arial" w:hAnsi="Arial" w:cs="Arial"/>
          <w:bCs/>
        </w:rPr>
      </w:pPr>
      <w:r>
        <w:rPr>
          <w:bCs/>
          <w:sz w:val="24"/>
          <w:szCs w:val="24"/>
        </w:rPr>
        <w:t>E</w:t>
      </w:r>
      <w:r>
        <w:rPr>
          <w:rFonts w:ascii="Times New Roman Bold" w:hAnsi="Times New Roman Bold"/>
          <w:bCs/>
          <w:sz w:val="24"/>
          <w:szCs w:val="24"/>
          <w:vertAlign w:val="subscript"/>
        </w:rPr>
        <w:t>j</w:t>
      </w:r>
      <w:r>
        <w:rPr>
          <w:bCs/>
          <w:sz w:val="24"/>
          <w:szCs w:val="24"/>
        </w:rPr>
        <w:t xml:space="preserve"> = </w:t>
      </w:r>
      <w:r>
        <w:rPr>
          <w:sz w:val="24"/>
          <w:szCs w:val="24"/>
        </w:rPr>
        <w:t>Σ</w:t>
      </w:r>
      <w:r>
        <w:rPr>
          <w:sz w:val="24"/>
          <w:szCs w:val="24"/>
          <w:vertAlign w:val="subscript"/>
        </w:rPr>
        <w:t>i</w:t>
      </w:r>
      <w:r>
        <w:rPr>
          <w:b/>
          <w:i/>
          <w:vertAlign w:val="subscript"/>
        </w:rPr>
        <w:t xml:space="preserve">  </w:t>
      </w:r>
      <w:r>
        <w:rPr>
          <w:rFonts w:ascii="Times New Roman Bold Italic" w:hAnsi="Times New Roman Bold Italic"/>
        </w:rPr>
        <w:t xml:space="preserve"> </w:t>
      </w:r>
      <w:r>
        <w:rPr>
          <w:rFonts w:ascii="Arial" w:hAnsi="Arial"/>
        </w:rPr>
        <w:t>(</w:t>
      </w:r>
      <w:r>
        <w:rPr>
          <w:bCs/>
          <w:sz w:val="24"/>
          <w:szCs w:val="24"/>
        </w:rPr>
        <w:t>Q</w:t>
      </w:r>
      <w:r>
        <w:rPr>
          <w:rFonts w:ascii="Times New Roman Bold" w:hAnsi="Times New Roman Bold"/>
          <w:bCs/>
          <w:sz w:val="24"/>
          <w:szCs w:val="24"/>
          <w:vertAlign w:val="subscript"/>
        </w:rPr>
        <w:t>i</w:t>
      </w:r>
      <w:r>
        <w:rPr>
          <w:bCs/>
          <w:sz w:val="24"/>
          <w:szCs w:val="24"/>
        </w:rPr>
        <w:t xml:space="preserve"> x EF</w:t>
      </w:r>
      <w:r>
        <w:rPr>
          <w:rFonts w:ascii="Times New Roman Bold" w:hAnsi="Times New Roman Bold"/>
          <w:bCs/>
          <w:sz w:val="24"/>
          <w:szCs w:val="24"/>
          <w:vertAlign w:val="subscript"/>
        </w:rPr>
        <w:t>ij</w:t>
      </w:r>
      <w:r>
        <w:rPr>
          <w:rFonts w:ascii="Arial" w:hAnsi="Arial"/>
        </w:rPr>
        <w:t>)</w:t>
      </w:r>
    </w:p>
    <w:p w14:paraId="3342C50C" w14:textId="77777777" w:rsidR="00010E2E" w:rsidRDefault="00010E2E">
      <w:pPr>
        <w:pStyle w:val="Formula"/>
        <w:spacing w:before="0" w:after="0"/>
        <w:jc w:val="left"/>
      </w:pPr>
    </w:p>
    <w:p w14:paraId="238E3567" w14:textId="77777777" w:rsidR="00010E2E" w:rsidRPr="008870C0" w:rsidRDefault="00010E2E">
      <w:pPr>
        <w:pStyle w:val="Rc"/>
        <w:ind w:left="0" w:firstLine="360"/>
        <w:rPr>
          <w:iCs/>
          <w:sz w:val="22"/>
          <w:szCs w:val="22"/>
          <w:lang w:eastAsia="en-US"/>
        </w:rPr>
      </w:pPr>
      <w:r w:rsidRPr="008870C0">
        <w:rPr>
          <w:rStyle w:val="EquationNoteChar"/>
          <w:rFonts w:ascii="Times New Roman" w:hAnsi="Times New Roman" w:cs="Times New Roman"/>
          <w:sz w:val="22"/>
          <w:szCs w:val="22"/>
        </w:rPr>
        <w:t>where:</w:t>
      </w:r>
    </w:p>
    <w:p w14:paraId="21A3744E" w14:textId="77777777" w:rsidR="00010E2E" w:rsidRPr="008870C0" w:rsidRDefault="00010E2E">
      <w:pPr>
        <w:pStyle w:val="definition"/>
        <w:ind w:left="720"/>
        <w:rPr>
          <w:sz w:val="22"/>
          <w:szCs w:val="22"/>
        </w:rPr>
      </w:pPr>
      <w:r w:rsidRPr="008870C0">
        <w:rPr>
          <w:b/>
          <w:i/>
          <w:sz w:val="22"/>
          <w:szCs w:val="22"/>
        </w:rPr>
        <w:t>E</w:t>
      </w:r>
      <w:r w:rsidRPr="008870C0">
        <w:rPr>
          <w:b/>
          <w:i/>
          <w:sz w:val="22"/>
          <w:szCs w:val="22"/>
          <w:vertAlign w:val="subscript"/>
        </w:rPr>
        <w:t xml:space="preserve">j </w:t>
      </w:r>
      <w:r w:rsidRPr="008870C0">
        <w:rPr>
          <w:rStyle w:val="EquationNoteChar"/>
          <w:rFonts w:ascii="Times New Roman" w:hAnsi="Times New Roman" w:cs="Times New Roman"/>
          <w:sz w:val="22"/>
          <w:szCs w:val="22"/>
        </w:rPr>
        <w:t>is the fugitive emissions of methane (j) from crude oil refined and stored in tanks (i)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16B19D8B" w14:textId="77777777" w:rsidR="00010E2E" w:rsidRPr="008870C0" w:rsidRDefault="00010E2E">
      <w:pPr>
        <w:pStyle w:val="definition"/>
        <w:ind w:left="720"/>
        <w:rPr>
          <w:sz w:val="22"/>
          <w:szCs w:val="22"/>
        </w:rPr>
      </w:pPr>
      <w:r w:rsidRPr="008870C0">
        <w:rPr>
          <w:b/>
          <w:i/>
          <w:sz w:val="22"/>
          <w:szCs w:val="22"/>
        </w:rPr>
        <w:t>∑</w:t>
      </w:r>
      <w:r w:rsidRPr="008870C0">
        <w:rPr>
          <w:b/>
          <w:i/>
          <w:sz w:val="22"/>
          <w:szCs w:val="22"/>
          <w:vertAlign w:val="subscript"/>
        </w:rPr>
        <w:t>i</w:t>
      </w:r>
      <w:r w:rsidRPr="008870C0">
        <w:rPr>
          <w:sz w:val="22"/>
          <w:szCs w:val="22"/>
          <w:vertAlign w:val="subscript"/>
        </w:rPr>
        <w:t xml:space="preserve"> </w:t>
      </w:r>
      <w:r w:rsidRPr="008870C0">
        <w:rPr>
          <w:rStyle w:val="EquationNoteChar"/>
          <w:rFonts w:ascii="Times New Roman" w:hAnsi="Times New Roman" w:cs="Times New Roman"/>
          <w:sz w:val="22"/>
          <w:szCs w:val="22"/>
        </w:rPr>
        <w:t>is the sum of emissions of methane (j) released during refining and from storage tanks.</w:t>
      </w:r>
    </w:p>
    <w:p w14:paraId="36F5A2BB" w14:textId="77777777" w:rsidR="00010E2E" w:rsidRPr="008870C0" w:rsidRDefault="00010E2E">
      <w:pPr>
        <w:pStyle w:val="definition"/>
        <w:ind w:left="720"/>
        <w:rPr>
          <w:sz w:val="22"/>
          <w:szCs w:val="22"/>
        </w:rPr>
      </w:pPr>
      <w:r w:rsidRPr="008870C0">
        <w:rPr>
          <w:b/>
          <w:i/>
          <w:sz w:val="22"/>
          <w:szCs w:val="22"/>
        </w:rPr>
        <w:t>Q</w:t>
      </w:r>
      <w:r w:rsidRPr="008870C0">
        <w:rPr>
          <w:sz w:val="22"/>
          <w:szCs w:val="22"/>
          <w:vertAlign w:val="subscript"/>
        </w:rPr>
        <w:t xml:space="preserve">i </w:t>
      </w:r>
      <w:r w:rsidRPr="008870C0">
        <w:rPr>
          <w:rStyle w:val="EquationNoteChar"/>
          <w:rFonts w:ascii="Times New Roman" w:hAnsi="Times New Roman" w:cs="Times New Roman"/>
          <w:sz w:val="22"/>
          <w:szCs w:val="22"/>
        </w:rPr>
        <w:t>is the quantity of crude oil (i) refined or stored in tanks (tonnes).</w:t>
      </w:r>
    </w:p>
    <w:p w14:paraId="0870B37B" w14:textId="18DB7A66" w:rsidR="00656706" w:rsidRDefault="00010E2E" w:rsidP="00870C44">
      <w:pPr>
        <w:pStyle w:val="definition"/>
        <w:ind w:left="720"/>
        <w:rPr>
          <w:sz w:val="22"/>
          <w:szCs w:val="22"/>
        </w:rPr>
      </w:pPr>
      <w:r w:rsidRPr="008870C0">
        <w:rPr>
          <w:b/>
          <w:i/>
          <w:sz w:val="22"/>
          <w:szCs w:val="22"/>
        </w:rPr>
        <w:t>EF</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emission factor for tonnes of methane (j) (tonnes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tonne of crude oil refined and crude oil stored in tanks).</w:t>
      </w:r>
      <w:r w:rsidRPr="008870C0">
        <w:rPr>
          <w:sz w:val="22"/>
          <w:szCs w:val="22"/>
        </w:rPr>
        <w:t xml:space="preserve">  </w:t>
      </w:r>
    </w:p>
    <w:bookmarkEnd w:id="66"/>
    <w:p w14:paraId="791CD884" w14:textId="77777777" w:rsidR="00D76245" w:rsidRDefault="00D76245" w:rsidP="00656706"/>
    <w:p w14:paraId="62AB3B6F" w14:textId="77777777" w:rsidR="00D76245" w:rsidRDefault="0081582C" w:rsidP="00C23E3B">
      <w:pPr>
        <w:pStyle w:val="Caption"/>
      </w:pPr>
      <w:bookmarkStart w:id="67" w:name="_Toc391646698"/>
      <w:bookmarkStart w:id="68" w:name="_Toc485728121"/>
      <w:r>
        <w:t xml:space="preserve">Table </w:t>
      </w:r>
      <w:r w:rsidR="00DC52E0">
        <w:fldChar w:fldCharType="begin"/>
      </w:r>
      <w:r>
        <w:instrText xml:space="preserve"> SEQ Table \* ARABIC </w:instrText>
      </w:r>
      <w:r w:rsidR="00DC52E0">
        <w:fldChar w:fldCharType="separate"/>
      </w:r>
      <w:r w:rsidR="004A1330">
        <w:rPr>
          <w:noProof/>
        </w:rPr>
        <w:t>13</w:t>
      </w:r>
      <w:r w:rsidR="00DC52E0">
        <w:fldChar w:fldCharType="end"/>
      </w:r>
      <w:r w:rsidR="00010E2E">
        <w:t>: Oil refining and storage emission factors</w:t>
      </w:r>
      <w:bookmarkEnd w:id="67"/>
      <w:bookmarkEnd w:id="6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6"/>
        <w:gridCol w:w="5403"/>
      </w:tblGrid>
      <w:tr w:rsidR="00010E2E" w14:paraId="4C5EC71B" w14:textId="77777777" w:rsidTr="00382DF3">
        <w:trPr>
          <w:cantSplit/>
        </w:trPr>
        <w:tc>
          <w:tcPr>
            <w:tcW w:w="2836" w:type="dxa"/>
            <w:vMerge w:val="restart"/>
            <w:shd w:val="pct15" w:color="auto" w:fill="auto"/>
            <w:vAlign w:val="center"/>
          </w:tcPr>
          <w:p w14:paraId="5E13F859" w14:textId="77777777" w:rsidR="00010E2E" w:rsidRDefault="00010E2E" w:rsidP="00382DF3">
            <w:pPr>
              <w:pStyle w:val="Table"/>
              <w:keepNext/>
              <w:jc w:val="center"/>
              <w:rPr>
                <w:b/>
                <w:bCs/>
              </w:rPr>
            </w:pPr>
            <w:r>
              <w:rPr>
                <w:b/>
                <w:bCs/>
              </w:rPr>
              <w:t>Operation or process source</w:t>
            </w:r>
          </w:p>
        </w:tc>
        <w:tc>
          <w:tcPr>
            <w:tcW w:w="5528" w:type="dxa"/>
            <w:shd w:val="pct15" w:color="auto" w:fill="auto"/>
            <w:vAlign w:val="center"/>
          </w:tcPr>
          <w:p w14:paraId="3F2B652B" w14:textId="77777777" w:rsidR="00010E2E" w:rsidRDefault="00010E2E" w:rsidP="00382DF3">
            <w:pPr>
              <w:pStyle w:val="TableCentre"/>
              <w:rPr>
                <w:b/>
                <w:bCs/>
              </w:rPr>
            </w:pPr>
            <w:r>
              <w:rPr>
                <w:b/>
                <w:bCs/>
              </w:rPr>
              <w:t>Emission factor  (</w:t>
            </w:r>
            <w:r>
              <w:rPr>
                <w:rFonts w:ascii="Times New Roman" w:hAnsi="Times New Roman" w:cs="Times New Roman"/>
                <w:b/>
                <w:i/>
                <w:sz w:val="20"/>
              </w:rPr>
              <w:t>EF</w:t>
            </w:r>
            <w:r>
              <w:rPr>
                <w:rFonts w:ascii="Times New Roman" w:hAnsi="Times New Roman" w:cs="Times New Roman"/>
                <w:b/>
                <w:i/>
                <w:sz w:val="20"/>
                <w:vertAlign w:val="subscript"/>
              </w:rPr>
              <w:t>ij</w:t>
            </w:r>
            <w:r>
              <w:rPr>
                <w:b/>
                <w:bCs/>
              </w:rPr>
              <w:t>)</w:t>
            </w:r>
          </w:p>
          <w:p w14:paraId="7ED4FF9B" w14:textId="77777777" w:rsidR="00010E2E" w:rsidRDefault="00010E2E" w:rsidP="00382DF3">
            <w:pPr>
              <w:pStyle w:val="TableCentre"/>
              <w:rPr>
                <w:b/>
                <w:bCs/>
              </w:rPr>
            </w:pPr>
            <w:r>
              <w:rPr>
                <w:b/>
                <w:bCs/>
              </w:rPr>
              <w:t>(tonnes CO</w:t>
            </w:r>
            <w:r>
              <w:rPr>
                <w:rStyle w:val="Subscript"/>
                <w:b/>
                <w:bCs/>
              </w:rPr>
              <w:t>2</w:t>
            </w:r>
            <w:r>
              <w:rPr>
                <w:b/>
                <w:bCs/>
              </w:rPr>
              <w:t>-e/tonne of oil refined or stored  )</w:t>
            </w:r>
          </w:p>
        </w:tc>
      </w:tr>
      <w:tr w:rsidR="00010E2E" w14:paraId="4DED3AAE" w14:textId="77777777" w:rsidTr="00382DF3">
        <w:trPr>
          <w:cantSplit/>
        </w:trPr>
        <w:tc>
          <w:tcPr>
            <w:tcW w:w="2836" w:type="dxa"/>
            <w:vMerge/>
            <w:shd w:val="pct15" w:color="auto" w:fill="auto"/>
          </w:tcPr>
          <w:p w14:paraId="6B0942EE" w14:textId="77777777" w:rsidR="00010E2E" w:rsidRDefault="00010E2E">
            <w:pPr>
              <w:pStyle w:val="Table"/>
              <w:rPr>
                <w:rFonts w:eastAsia="MS Mincho"/>
                <w:b/>
                <w:bCs/>
              </w:rPr>
            </w:pPr>
          </w:p>
        </w:tc>
        <w:tc>
          <w:tcPr>
            <w:tcW w:w="5528" w:type="dxa"/>
            <w:shd w:val="pct15" w:color="auto" w:fill="auto"/>
          </w:tcPr>
          <w:p w14:paraId="5D59826B" w14:textId="77777777" w:rsidR="00010E2E" w:rsidRDefault="00010E2E">
            <w:pPr>
              <w:pStyle w:val="TableCentre"/>
              <w:rPr>
                <w:rFonts w:eastAsia="MS Mincho"/>
                <w:b/>
                <w:bCs/>
              </w:rPr>
            </w:pPr>
            <w:r>
              <w:rPr>
                <w:rFonts w:eastAsia="MS Mincho"/>
                <w:b/>
                <w:bCs/>
              </w:rPr>
              <w:t>CH</w:t>
            </w:r>
            <w:r>
              <w:rPr>
                <w:rStyle w:val="Subscript"/>
                <w:rFonts w:eastAsia="MS Mincho"/>
                <w:b/>
                <w:bCs/>
              </w:rPr>
              <w:t>4</w:t>
            </w:r>
          </w:p>
        </w:tc>
      </w:tr>
      <w:tr w:rsidR="00C42F1B" w14:paraId="737C4C42" w14:textId="77777777" w:rsidTr="00382DF3">
        <w:tc>
          <w:tcPr>
            <w:tcW w:w="2836" w:type="dxa"/>
          </w:tcPr>
          <w:p w14:paraId="20F11010" w14:textId="77777777" w:rsidR="00C42F1B" w:rsidRDefault="00C42F1B">
            <w:pPr>
              <w:pStyle w:val="Table"/>
            </w:pPr>
            <w:r>
              <w:t xml:space="preserve">Crude oil refining </w:t>
            </w:r>
          </w:p>
        </w:tc>
        <w:tc>
          <w:tcPr>
            <w:tcW w:w="5528" w:type="dxa"/>
          </w:tcPr>
          <w:p w14:paraId="5B01EA09" w14:textId="77777777" w:rsidR="00C42F1B" w:rsidRDefault="00C42F1B">
            <w:pPr>
              <w:pStyle w:val="TableCentre"/>
              <w:rPr>
                <w:sz w:val="18"/>
                <w:szCs w:val="18"/>
                <w:highlight w:val="yellow"/>
              </w:rPr>
            </w:pPr>
            <w:r>
              <w:rPr>
                <w:sz w:val="18"/>
                <w:szCs w:val="18"/>
              </w:rPr>
              <w:t>8.5 x 10</w:t>
            </w:r>
            <w:r>
              <w:rPr>
                <w:sz w:val="18"/>
                <w:szCs w:val="18"/>
                <w:vertAlign w:val="superscript"/>
              </w:rPr>
              <w:noBreakHyphen/>
              <w:t>4</w:t>
            </w:r>
            <w:r>
              <w:rPr>
                <w:sz w:val="18"/>
                <w:szCs w:val="18"/>
              </w:rPr>
              <w:t xml:space="preserve"> </w:t>
            </w:r>
          </w:p>
        </w:tc>
      </w:tr>
      <w:tr w:rsidR="00C42F1B" w14:paraId="324BD3AD" w14:textId="77777777" w:rsidTr="00382DF3">
        <w:tc>
          <w:tcPr>
            <w:tcW w:w="2836" w:type="dxa"/>
          </w:tcPr>
          <w:p w14:paraId="02867CE3" w14:textId="77777777" w:rsidR="00C42F1B" w:rsidRDefault="00C42F1B">
            <w:pPr>
              <w:pStyle w:val="Table"/>
            </w:pPr>
            <w:r>
              <w:t>Crude oil storage</w:t>
            </w:r>
          </w:p>
        </w:tc>
        <w:tc>
          <w:tcPr>
            <w:tcW w:w="5528" w:type="dxa"/>
          </w:tcPr>
          <w:p w14:paraId="7C71BC25" w14:textId="77777777" w:rsidR="00C42F1B" w:rsidRDefault="00C42F1B">
            <w:pPr>
              <w:pStyle w:val="TableCentre"/>
              <w:rPr>
                <w:sz w:val="18"/>
                <w:szCs w:val="18"/>
                <w:highlight w:val="yellow"/>
              </w:rPr>
            </w:pPr>
            <w:r>
              <w:rPr>
                <w:sz w:val="18"/>
                <w:szCs w:val="18"/>
              </w:rPr>
              <w:t>1.5 x 10</w:t>
            </w:r>
            <w:r>
              <w:rPr>
                <w:sz w:val="18"/>
                <w:szCs w:val="18"/>
                <w:vertAlign w:val="superscript"/>
              </w:rPr>
              <w:noBreakHyphen/>
              <w:t>4</w:t>
            </w:r>
            <w:r>
              <w:rPr>
                <w:sz w:val="18"/>
                <w:szCs w:val="18"/>
              </w:rPr>
              <w:t xml:space="preserve"> </w:t>
            </w:r>
          </w:p>
        </w:tc>
      </w:tr>
    </w:tbl>
    <w:p w14:paraId="2204648C" w14:textId="77777777" w:rsidR="00010E2E" w:rsidRDefault="00010E2E">
      <w:pPr>
        <w:pStyle w:val="TableNote"/>
      </w:pPr>
      <w:r>
        <w:t>Source: National Greenhouse and Energy Reporting (Measurement) Determination 2008 (Section 3.63)</w:t>
      </w:r>
      <w:r w:rsidR="00554938">
        <w:t>.</w:t>
      </w:r>
    </w:p>
    <w:p w14:paraId="1D921A64" w14:textId="77777777" w:rsidR="00010E2E" w:rsidRDefault="00010E2E">
      <w:pPr>
        <w:pStyle w:val="Heading5"/>
        <w:numPr>
          <w:ilvl w:val="0"/>
          <w:numId w:val="0"/>
        </w:numPr>
        <w:ind w:firstLine="360"/>
        <w:rPr>
          <w:rFonts w:ascii="Arial" w:hAnsi="Arial"/>
          <w:bCs/>
          <w:i w:val="0"/>
          <w:u w:val="single"/>
        </w:rPr>
      </w:pPr>
      <w:bookmarkStart w:id="69" w:name="_Toc185914386"/>
    </w:p>
    <w:p w14:paraId="090B2567" w14:textId="77777777" w:rsidR="00010E2E" w:rsidRPr="00110D48" w:rsidRDefault="000B79B3">
      <w:pPr>
        <w:pStyle w:val="Heading5"/>
        <w:numPr>
          <w:ilvl w:val="0"/>
          <w:numId w:val="0"/>
        </w:numPr>
        <w:ind w:firstLine="360"/>
        <w:rPr>
          <w:rFonts w:ascii="Arial" w:hAnsi="Arial"/>
          <w:bCs/>
          <w:u w:val="single"/>
        </w:rPr>
      </w:pPr>
      <w:r w:rsidRPr="000B79B3">
        <w:rPr>
          <w:rFonts w:ascii="Arial" w:hAnsi="Arial"/>
          <w:bCs/>
          <w:u w:val="single"/>
        </w:rPr>
        <w:t>Crude oil refining (combustion of catalyst coke for non-energy purposes)</w:t>
      </w:r>
    </w:p>
    <w:p w14:paraId="0BA6A74E" w14:textId="77777777" w:rsidR="00D76245" w:rsidRDefault="00D76245" w:rsidP="00C23E3B">
      <w:pPr>
        <w:pStyle w:val="Caption"/>
      </w:pPr>
    </w:p>
    <w:p w14:paraId="136D085F" w14:textId="77777777" w:rsidR="00010E2E" w:rsidRDefault="0082790E">
      <w:pPr>
        <w:pStyle w:val="BodyText"/>
        <w:ind w:left="0"/>
        <w:jc w:val="center"/>
        <w:rPr>
          <w:rStyle w:val="EquationNoteChar"/>
          <w:szCs w:val="24"/>
        </w:rPr>
      </w:pPr>
      <w:r>
        <w:rPr>
          <w:rFonts w:ascii="Arial" w:hAnsi="Arial" w:cs="Arial"/>
          <w:noProof/>
          <w:sz w:val="18"/>
          <w:szCs w:val="24"/>
          <w:lang w:eastAsia="en-AU"/>
        </w:rPr>
        <w:drawing>
          <wp:inline distT="0" distB="0" distL="0" distR="0" wp14:anchorId="045CDA14" wp14:editId="7926D29B">
            <wp:extent cx="1466850" cy="219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5"/>
                    <a:srcRect/>
                    <a:stretch>
                      <a:fillRect/>
                    </a:stretch>
                  </pic:blipFill>
                  <pic:spPr bwMode="auto">
                    <a:xfrm>
                      <a:off x="0" y="0"/>
                      <a:ext cx="1466850" cy="219075"/>
                    </a:xfrm>
                    <a:prstGeom prst="rect">
                      <a:avLst/>
                    </a:prstGeom>
                    <a:noFill/>
                    <a:ln w="9525">
                      <a:noFill/>
                      <a:miter lim="800000"/>
                      <a:headEnd/>
                      <a:tailEnd/>
                    </a:ln>
                  </pic:spPr>
                </pic:pic>
              </a:graphicData>
            </a:graphic>
          </wp:inline>
        </w:drawing>
      </w:r>
    </w:p>
    <w:p w14:paraId="58E6DE5B" w14:textId="77777777" w:rsidR="00010E2E" w:rsidRPr="008870C0" w:rsidRDefault="00010E2E">
      <w:pPr>
        <w:pStyle w:val="BodyText"/>
        <w:ind w:left="0" w:firstLine="360"/>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2BED2B97" w14:textId="77777777" w:rsidR="00010E2E" w:rsidRPr="008870C0" w:rsidRDefault="00010E2E">
      <w:pPr>
        <w:pStyle w:val="BodyText"/>
        <w:spacing w:after="80"/>
        <w:ind w:left="720"/>
        <w:rPr>
          <w:sz w:val="22"/>
          <w:szCs w:val="22"/>
        </w:rPr>
      </w:pPr>
      <w:r w:rsidRPr="008870C0">
        <w:rPr>
          <w:b/>
          <w:i/>
          <w:sz w:val="22"/>
          <w:szCs w:val="22"/>
        </w:rPr>
        <w:t>E</w:t>
      </w:r>
      <w:r w:rsidRPr="008870C0">
        <w:rPr>
          <w:b/>
          <w:i/>
          <w:sz w:val="22"/>
          <w:szCs w:val="22"/>
          <w:vertAlign w:val="subscript"/>
        </w:rPr>
        <w:t>i</w:t>
      </w:r>
      <w:r w:rsidRPr="008870C0">
        <w:rPr>
          <w:sz w:val="22"/>
          <w:szCs w:val="22"/>
        </w:rPr>
        <w:t xml:space="preserve"> </w:t>
      </w:r>
      <w:r w:rsidRPr="008870C0">
        <w:rPr>
          <w:rStyle w:val="EquationNoteChar"/>
          <w:rFonts w:ascii="Times New Roman" w:hAnsi="Times New Roman" w:cs="Times New Roman"/>
          <w:sz w:val="22"/>
          <w:szCs w:val="22"/>
        </w:rPr>
        <w:t>is the fugitive emissions during the year from deliberate releases from process vents, system upsets and accidents in the crude oil refining measured in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t xml:space="preserve"> e tonnes.</w:t>
      </w:r>
    </w:p>
    <w:p w14:paraId="44AE143A" w14:textId="77777777" w:rsidR="00010E2E" w:rsidRPr="008870C0" w:rsidRDefault="00010E2E">
      <w:pPr>
        <w:pStyle w:val="BodyText"/>
        <w:spacing w:after="80"/>
        <w:ind w:left="720"/>
        <w:rPr>
          <w:sz w:val="22"/>
          <w:szCs w:val="22"/>
        </w:rPr>
      </w:pPr>
      <w:r w:rsidRPr="008870C0">
        <w:rPr>
          <w:b/>
          <w:i/>
          <w:sz w:val="22"/>
          <w:szCs w:val="22"/>
        </w:rPr>
        <w:t>Q</w:t>
      </w:r>
      <w:r w:rsidRPr="008870C0">
        <w:rPr>
          <w:b/>
          <w:i/>
          <w:sz w:val="22"/>
          <w:szCs w:val="22"/>
          <w:vertAlign w:val="subscript"/>
        </w:rPr>
        <w:t>i</w:t>
      </w:r>
      <w:r w:rsidRPr="008870C0">
        <w:rPr>
          <w:sz w:val="22"/>
          <w:szCs w:val="22"/>
        </w:rPr>
        <w:t xml:space="preserve"> </w:t>
      </w:r>
      <w:r w:rsidRPr="008870C0">
        <w:rPr>
          <w:rStyle w:val="EquationNoteChar"/>
          <w:rFonts w:ascii="Times New Roman" w:hAnsi="Times New Roman" w:cs="Times New Roman"/>
          <w:sz w:val="22"/>
          <w:szCs w:val="22"/>
        </w:rPr>
        <w:t>is the quantity of refinery coke (i) burnt to restore the activity of the catalyst of the crude oil refinery (and not used for energy) during the year measured in tonnes.</w:t>
      </w:r>
    </w:p>
    <w:p w14:paraId="654ABCC6" w14:textId="77777777" w:rsidR="00010E2E" w:rsidRPr="008870C0" w:rsidRDefault="00010E2E">
      <w:pPr>
        <w:pStyle w:val="BodyText"/>
        <w:spacing w:after="80"/>
        <w:ind w:left="720"/>
        <w:rPr>
          <w:sz w:val="22"/>
          <w:szCs w:val="22"/>
        </w:rPr>
      </w:pPr>
      <w:r w:rsidRPr="008870C0">
        <w:rPr>
          <w:b/>
          <w:i/>
          <w:sz w:val="22"/>
          <w:szCs w:val="22"/>
        </w:rPr>
        <w:t>CCF</w:t>
      </w:r>
      <w:r w:rsidRPr="008870C0">
        <w:rPr>
          <w:b/>
          <w:i/>
          <w:sz w:val="22"/>
          <w:szCs w:val="22"/>
          <w:vertAlign w:val="subscript"/>
        </w:rPr>
        <w:t>i</w:t>
      </w:r>
      <w:r w:rsidRPr="008870C0">
        <w:rPr>
          <w:sz w:val="22"/>
          <w:szCs w:val="22"/>
        </w:rPr>
        <w:t xml:space="preserve"> </w:t>
      </w:r>
      <w:r w:rsidRPr="008870C0">
        <w:rPr>
          <w:rStyle w:val="EquationNoteChar"/>
          <w:rFonts w:ascii="Times New Roman" w:hAnsi="Times New Roman" w:cs="Times New Roman"/>
          <w:sz w:val="22"/>
          <w:szCs w:val="22"/>
        </w:rPr>
        <w:t>is the carbon content factor for refinery coke (i). See Appendix 3.</w:t>
      </w:r>
    </w:p>
    <w:p w14:paraId="4699ED46" w14:textId="7854C765" w:rsidR="00010E2E" w:rsidRDefault="00010E2E" w:rsidP="00656706">
      <w:pPr>
        <w:pStyle w:val="BodyText"/>
        <w:spacing w:after="80"/>
        <w:ind w:left="720"/>
      </w:pPr>
      <w:r w:rsidRPr="008870C0">
        <w:rPr>
          <w:b/>
          <w:i/>
          <w:sz w:val="22"/>
          <w:szCs w:val="22"/>
        </w:rPr>
        <w:t>3.664</w:t>
      </w:r>
      <w:r w:rsidRPr="008870C0">
        <w:rPr>
          <w:i/>
          <w:sz w:val="22"/>
          <w:szCs w:val="22"/>
        </w:rPr>
        <w:t xml:space="preserve"> </w:t>
      </w:r>
      <w:r w:rsidRPr="008870C0">
        <w:rPr>
          <w:rStyle w:val="EquationNoteChar"/>
          <w:rFonts w:ascii="Times New Roman" w:hAnsi="Times New Roman" w:cs="Times New Roman"/>
          <w:sz w:val="22"/>
          <w:szCs w:val="22"/>
        </w:rPr>
        <w:t>is the conversion factor to convert an amount of carbon in tonnes to an amount of carbon dioxide in tonnes.</w:t>
      </w:r>
    </w:p>
    <w:p w14:paraId="1A307D29" w14:textId="77777777" w:rsidR="00F31DAA" w:rsidRDefault="00F31DAA" w:rsidP="00656706">
      <w:pPr>
        <w:pStyle w:val="BodyText"/>
        <w:ind w:left="0"/>
      </w:pPr>
    </w:p>
    <w:p w14:paraId="513E427E" w14:textId="77777777" w:rsidR="00010E2E" w:rsidRPr="00110D48" w:rsidRDefault="000B79B3">
      <w:pPr>
        <w:pStyle w:val="Heading5"/>
        <w:numPr>
          <w:ilvl w:val="0"/>
          <w:numId w:val="0"/>
        </w:numPr>
        <w:ind w:firstLine="360"/>
        <w:rPr>
          <w:rFonts w:ascii="Arial" w:hAnsi="Arial"/>
          <w:bCs/>
          <w:u w:val="single"/>
        </w:rPr>
      </w:pPr>
      <w:r w:rsidRPr="000B79B3">
        <w:rPr>
          <w:rFonts w:ascii="Arial" w:hAnsi="Arial"/>
          <w:bCs/>
          <w:u w:val="single"/>
        </w:rPr>
        <w:t>Crude oil refining (flared emissions)</w:t>
      </w:r>
    </w:p>
    <w:p w14:paraId="5C89C93E" w14:textId="77777777" w:rsidR="00010E2E" w:rsidRDefault="00010E2E">
      <w:pPr>
        <w:pStyle w:val="BodyText"/>
        <w:tabs>
          <w:tab w:val="left" w:pos="0"/>
          <w:tab w:val="left" w:pos="2250"/>
        </w:tabs>
        <w:spacing w:before="120" w:after="0" w:line="312" w:lineRule="auto"/>
        <w:ind w:left="0"/>
        <w:jc w:val="center"/>
        <w:rPr>
          <w:rFonts w:ascii="Arial" w:hAnsi="Arial" w:cs="Arial"/>
          <w:bCs/>
        </w:rPr>
      </w:pPr>
      <w:r>
        <w:rPr>
          <w:bCs/>
          <w:sz w:val="24"/>
          <w:szCs w:val="24"/>
        </w:rPr>
        <w:t>E</w:t>
      </w:r>
      <w:r>
        <w:rPr>
          <w:rFonts w:ascii="Times New Roman Bold" w:hAnsi="Times New Roman Bold"/>
          <w:bCs/>
          <w:sz w:val="24"/>
          <w:szCs w:val="24"/>
          <w:vertAlign w:val="subscript"/>
        </w:rPr>
        <w:t>ij</w:t>
      </w:r>
      <w:r>
        <w:rPr>
          <w:bCs/>
          <w:sz w:val="24"/>
          <w:szCs w:val="24"/>
        </w:rPr>
        <w:t xml:space="preserve"> = Q</w:t>
      </w:r>
      <w:r>
        <w:rPr>
          <w:rFonts w:ascii="Times New Roman Bold" w:hAnsi="Times New Roman Bold"/>
          <w:bCs/>
          <w:sz w:val="24"/>
          <w:szCs w:val="24"/>
          <w:vertAlign w:val="subscript"/>
        </w:rPr>
        <w:t>i</w:t>
      </w:r>
      <w:r>
        <w:rPr>
          <w:bCs/>
          <w:sz w:val="24"/>
          <w:szCs w:val="24"/>
        </w:rPr>
        <w:t xml:space="preserve"> x EF</w:t>
      </w:r>
      <w:r>
        <w:rPr>
          <w:rFonts w:ascii="Times New Roman Bold" w:hAnsi="Times New Roman Bold"/>
          <w:bCs/>
          <w:sz w:val="24"/>
          <w:szCs w:val="24"/>
          <w:vertAlign w:val="subscript"/>
        </w:rPr>
        <w:t>ij</w:t>
      </w:r>
    </w:p>
    <w:p w14:paraId="2CFA37D3" w14:textId="77777777" w:rsidR="00010E2E" w:rsidRPr="008870C0" w:rsidRDefault="00010E2E">
      <w:pPr>
        <w:pStyle w:val="Rc"/>
        <w:ind w:left="0" w:firstLine="360"/>
        <w:rPr>
          <w:sz w:val="22"/>
          <w:szCs w:val="22"/>
        </w:rPr>
      </w:pPr>
      <w:r w:rsidRPr="008870C0">
        <w:rPr>
          <w:rStyle w:val="EquationNoteChar"/>
          <w:rFonts w:ascii="Times New Roman" w:hAnsi="Times New Roman" w:cs="Times New Roman"/>
          <w:sz w:val="22"/>
          <w:szCs w:val="22"/>
        </w:rPr>
        <w:t>wher</w:t>
      </w:r>
      <w:r w:rsidRPr="008870C0">
        <w:rPr>
          <w:sz w:val="22"/>
          <w:szCs w:val="22"/>
        </w:rPr>
        <w:t>e:</w:t>
      </w:r>
    </w:p>
    <w:p w14:paraId="163C6D80" w14:textId="77777777" w:rsidR="00010E2E" w:rsidRPr="008870C0" w:rsidRDefault="00010E2E">
      <w:pPr>
        <w:pStyle w:val="definition"/>
        <w:spacing w:before="0" w:after="80"/>
        <w:ind w:left="720"/>
        <w:rPr>
          <w:rStyle w:val="EquationNoteChar"/>
          <w:rFonts w:ascii="Times New Roman" w:hAnsi="Times New Roman" w:cs="Times New Roman"/>
          <w:sz w:val="22"/>
          <w:szCs w:val="22"/>
        </w:rPr>
      </w:pPr>
      <w:r w:rsidRPr="008870C0">
        <w:rPr>
          <w:b/>
          <w:i/>
          <w:sz w:val="22"/>
          <w:szCs w:val="22"/>
        </w:rPr>
        <w:t>E</w:t>
      </w:r>
      <w:r w:rsidRPr="008870C0">
        <w:rPr>
          <w:b/>
          <w:i/>
          <w:sz w:val="22"/>
          <w:szCs w:val="22"/>
          <w:vertAlign w:val="subscript"/>
          <w:lang w:eastAsia="en-US"/>
        </w:rPr>
        <w:t>ij</w:t>
      </w:r>
      <w:r w:rsidRPr="008870C0">
        <w:rPr>
          <w:sz w:val="22"/>
          <w:szCs w:val="22"/>
        </w:rPr>
        <w:t xml:space="preserve"> </w:t>
      </w:r>
      <w:r w:rsidRPr="008870C0">
        <w:rPr>
          <w:rStyle w:val="EquationNoteChar"/>
          <w:rFonts w:ascii="Times New Roman" w:hAnsi="Times New Roman" w:cs="Times New Roman"/>
          <w:sz w:val="22"/>
          <w:szCs w:val="22"/>
        </w:rPr>
        <w:t>is the fugitive emissions of gas type (j) from a fuel type (i) flared in crude oil refining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274184CB" w14:textId="77777777" w:rsidR="00010E2E" w:rsidRPr="008870C0" w:rsidRDefault="00010E2E">
      <w:pPr>
        <w:pStyle w:val="definition"/>
        <w:spacing w:before="0" w:after="80"/>
        <w:ind w:left="720"/>
        <w:rPr>
          <w:sz w:val="22"/>
          <w:szCs w:val="22"/>
        </w:rPr>
      </w:pPr>
      <w:r w:rsidRPr="008870C0">
        <w:rPr>
          <w:b/>
          <w:i/>
          <w:sz w:val="22"/>
          <w:szCs w:val="22"/>
        </w:rPr>
        <w:t>Q</w:t>
      </w:r>
      <w:r w:rsidRPr="008870C0">
        <w:rPr>
          <w:b/>
          <w:i/>
          <w:sz w:val="22"/>
          <w:szCs w:val="22"/>
          <w:vertAlign w:val="subscript"/>
        </w:rPr>
        <w:t xml:space="preserve">i </w:t>
      </w:r>
      <w:r w:rsidRPr="008870C0">
        <w:rPr>
          <w:rStyle w:val="EquationNoteChar"/>
          <w:rFonts w:ascii="Times New Roman" w:hAnsi="Times New Roman" w:cs="Times New Roman"/>
          <w:sz w:val="22"/>
          <w:szCs w:val="22"/>
        </w:rPr>
        <w:t>is the quantity of fuel type (i) flared (tonnes).</w:t>
      </w:r>
    </w:p>
    <w:p w14:paraId="1790298E" w14:textId="77777777" w:rsidR="00010E2E" w:rsidRPr="008870C0" w:rsidRDefault="00010E2E">
      <w:pPr>
        <w:pStyle w:val="BodyText"/>
        <w:spacing w:after="80"/>
        <w:ind w:left="717"/>
        <w:jc w:val="both"/>
        <w:rPr>
          <w:rStyle w:val="EquationNoteChar"/>
          <w:rFonts w:ascii="Times New Roman" w:hAnsi="Times New Roman" w:cs="Times New Roman"/>
          <w:sz w:val="22"/>
          <w:szCs w:val="22"/>
        </w:rPr>
      </w:pPr>
      <w:r w:rsidRPr="008870C0">
        <w:rPr>
          <w:b/>
          <w:i/>
          <w:sz w:val="22"/>
          <w:szCs w:val="22"/>
        </w:rPr>
        <w:t>EF</w:t>
      </w:r>
      <w:r w:rsidRPr="008870C0">
        <w:rPr>
          <w:b/>
          <w:i/>
          <w:sz w:val="22"/>
          <w:szCs w:val="22"/>
          <w:vertAlign w:val="subscript"/>
        </w:rPr>
        <w:t xml:space="preserve">ij </w:t>
      </w:r>
      <w:r w:rsidRPr="008870C0">
        <w:rPr>
          <w:rStyle w:val="EquationNoteChar"/>
          <w:rFonts w:ascii="Times New Roman" w:hAnsi="Times New Roman" w:cs="Times New Roman"/>
          <w:sz w:val="22"/>
          <w:szCs w:val="22"/>
        </w:rPr>
        <w:t>is the emission factor for gas type (j) of fuel type (i) flared (tonnes of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 xml:space="preserve">e per tonne flared) </w:t>
      </w:r>
    </w:p>
    <w:p w14:paraId="1096DCD8" w14:textId="77777777" w:rsidR="00010E2E" w:rsidRDefault="00010E2E">
      <w:pPr>
        <w:pStyle w:val="BodyText"/>
      </w:pPr>
    </w:p>
    <w:p w14:paraId="06A2FD0D" w14:textId="77777777" w:rsidR="00D76245" w:rsidRDefault="0081582C" w:rsidP="00C23E3B">
      <w:pPr>
        <w:pStyle w:val="Caption"/>
      </w:pPr>
      <w:bookmarkStart w:id="70" w:name="_Toc391646699"/>
      <w:bookmarkStart w:id="71" w:name="_Toc485728122"/>
      <w:bookmarkEnd w:id="69"/>
      <w:r>
        <w:t xml:space="preserve">Table </w:t>
      </w:r>
      <w:r w:rsidR="00DC52E0">
        <w:fldChar w:fldCharType="begin"/>
      </w:r>
      <w:r>
        <w:instrText xml:space="preserve"> SEQ Table \* ARABIC </w:instrText>
      </w:r>
      <w:r w:rsidR="00DC52E0">
        <w:fldChar w:fldCharType="separate"/>
      </w:r>
      <w:r w:rsidR="004A1330">
        <w:rPr>
          <w:noProof/>
        </w:rPr>
        <w:t>14</w:t>
      </w:r>
      <w:r w:rsidR="00DC52E0">
        <w:fldChar w:fldCharType="end"/>
      </w:r>
      <w:r w:rsidR="00010E2E">
        <w:t>: Refinery gas flaring emission factors</w:t>
      </w:r>
      <w:bookmarkEnd w:id="70"/>
      <w:bookmarkEnd w:id="7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1725"/>
        <w:gridCol w:w="1724"/>
        <w:gridCol w:w="1725"/>
      </w:tblGrid>
      <w:tr w:rsidR="00010E2E" w14:paraId="3747E6D7" w14:textId="77777777" w:rsidTr="00382DF3">
        <w:trPr>
          <w:cantSplit/>
        </w:trPr>
        <w:tc>
          <w:tcPr>
            <w:tcW w:w="1657" w:type="dxa"/>
            <w:vMerge w:val="restart"/>
            <w:shd w:val="pct15" w:color="auto" w:fill="auto"/>
            <w:vAlign w:val="center"/>
          </w:tcPr>
          <w:p w14:paraId="35D28024" w14:textId="77777777" w:rsidR="00010E2E" w:rsidRDefault="00010E2E" w:rsidP="00382DF3">
            <w:pPr>
              <w:pStyle w:val="Table"/>
              <w:jc w:val="center"/>
              <w:rPr>
                <w:b/>
                <w:bCs/>
              </w:rPr>
            </w:pPr>
            <w:r>
              <w:rPr>
                <w:b/>
                <w:szCs w:val="16"/>
              </w:rPr>
              <w:t>Fuel type (</w:t>
            </w:r>
            <w:r>
              <w:rPr>
                <w:b/>
                <w:i/>
                <w:szCs w:val="16"/>
              </w:rPr>
              <w:t>i</w:t>
            </w:r>
            <w:r>
              <w:rPr>
                <w:b/>
                <w:szCs w:val="16"/>
              </w:rPr>
              <w:t>)</w:t>
            </w:r>
          </w:p>
        </w:tc>
        <w:tc>
          <w:tcPr>
            <w:tcW w:w="5174" w:type="dxa"/>
            <w:gridSpan w:val="3"/>
            <w:shd w:val="pct15" w:color="auto" w:fill="auto"/>
            <w:vAlign w:val="center"/>
          </w:tcPr>
          <w:p w14:paraId="678AA331" w14:textId="77777777" w:rsidR="00010E2E" w:rsidRDefault="00010E2E" w:rsidP="00382DF3">
            <w:pPr>
              <w:pStyle w:val="TableCentre"/>
              <w:rPr>
                <w:b/>
                <w:bCs/>
              </w:rPr>
            </w:pPr>
            <w:r>
              <w:rPr>
                <w:b/>
                <w:bCs/>
              </w:rPr>
              <w:t>Emission factor  (</w:t>
            </w:r>
            <w:r>
              <w:rPr>
                <w:rFonts w:ascii="Times New Roman" w:hAnsi="Times New Roman" w:cs="Times New Roman"/>
                <w:b/>
                <w:i/>
                <w:sz w:val="20"/>
              </w:rPr>
              <w:t>EF</w:t>
            </w:r>
            <w:r>
              <w:rPr>
                <w:rFonts w:ascii="Times New Roman" w:hAnsi="Times New Roman" w:cs="Times New Roman"/>
                <w:b/>
                <w:i/>
                <w:sz w:val="20"/>
                <w:vertAlign w:val="subscript"/>
              </w:rPr>
              <w:t>ij</w:t>
            </w:r>
            <w:r>
              <w:rPr>
                <w:b/>
                <w:bCs/>
              </w:rPr>
              <w:t>)</w:t>
            </w:r>
          </w:p>
          <w:p w14:paraId="4CA37EE5" w14:textId="77777777" w:rsidR="00010E2E" w:rsidRDefault="00010E2E" w:rsidP="00382DF3">
            <w:pPr>
              <w:pStyle w:val="TableCentre"/>
              <w:rPr>
                <w:b/>
                <w:bCs/>
              </w:rPr>
            </w:pPr>
            <w:r>
              <w:rPr>
                <w:b/>
                <w:bCs/>
              </w:rPr>
              <w:t>(tonnes CO</w:t>
            </w:r>
            <w:r>
              <w:rPr>
                <w:rStyle w:val="Subscript"/>
                <w:b/>
                <w:bCs/>
              </w:rPr>
              <w:t>2</w:t>
            </w:r>
            <w:r>
              <w:rPr>
                <w:b/>
                <w:bCs/>
              </w:rPr>
              <w:t>-e/tonnes flared)</w:t>
            </w:r>
          </w:p>
        </w:tc>
      </w:tr>
      <w:tr w:rsidR="00010E2E" w14:paraId="45146E23" w14:textId="77777777" w:rsidTr="00382DF3">
        <w:trPr>
          <w:cantSplit/>
        </w:trPr>
        <w:tc>
          <w:tcPr>
            <w:tcW w:w="1657" w:type="dxa"/>
            <w:vMerge/>
            <w:shd w:val="pct15" w:color="auto" w:fill="auto"/>
            <w:vAlign w:val="center"/>
          </w:tcPr>
          <w:p w14:paraId="5C6FA32A" w14:textId="77777777" w:rsidR="00010E2E" w:rsidRDefault="00010E2E" w:rsidP="00382DF3">
            <w:pPr>
              <w:pStyle w:val="Table"/>
              <w:jc w:val="center"/>
              <w:rPr>
                <w:b/>
                <w:bCs/>
              </w:rPr>
            </w:pPr>
          </w:p>
        </w:tc>
        <w:tc>
          <w:tcPr>
            <w:tcW w:w="1725" w:type="dxa"/>
            <w:shd w:val="pct15" w:color="auto" w:fill="auto"/>
            <w:vAlign w:val="center"/>
          </w:tcPr>
          <w:p w14:paraId="41D37306" w14:textId="77777777" w:rsidR="00010E2E" w:rsidRDefault="00010E2E" w:rsidP="00382DF3">
            <w:pPr>
              <w:pStyle w:val="TableCentre"/>
              <w:rPr>
                <w:b/>
                <w:bCs/>
              </w:rPr>
            </w:pPr>
            <w:r>
              <w:rPr>
                <w:b/>
                <w:bCs/>
              </w:rPr>
              <w:t>CO</w:t>
            </w:r>
            <w:r>
              <w:rPr>
                <w:rStyle w:val="Subscript"/>
                <w:b/>
                <w:bCs/>
              </w:rPr>
              <w:t>2</w:t>
            </w:r>
          </w:p>
        </w:tc>
        <w:tc>
          <w:tcPr>
            <w:tcW w:w="1724" w:type="dxa"/>
            <w:shd w:val="pct15" w:color="auto" w:fill="auto"/>
            <w:vAlign w:val="center"/>
          </w:tcPr>
          <w:p w14:paraId="67F0952E" w14:textId="77777777" w:rsidR="00010E2E" w:rsidRDefault="00010E2E" w:rsidP="00382DF3">
            <w:pPr>
              <w:pStyle w:val="TableCentre"/>
              <w:rPr>
                <w:b/>
                <w:bCs/>
              </w:rPr>
            </w:pPr>
            <w:r>
              <w:rPr>
                <w:b/>
                <w:bCs/>
              </w:rPr>
              <w:t>CH</w:t>
            </w:r>
            <w:r>
              <w:rPr>
                <w:rStyle w:val="Subscript"/>
                <w:b/>
                <w:bCs/>
              </w:rPr>
              <w:t>4</w:t>
            </w:r>
          </w:p>
        </w:tc>
        <w:tc>
          <w:tcPr>
            <w:tcW w:w="1725" w:type="dxa"/>
            <w:shd w:val="pct15" w:color="auto" w:fill="auto"/>
            <w:vAlign w:val="center"/>
          </w:tcPr>
          <w:p w14:paraId="1397E40C" w14:textId="77777777" w:rsidR="00010E2E" w:rsidRDefault="00010E2E" w:rsidP="00382DF3">
            <w:pPr>
              <w:pStyle w:val="TableCentre"/>
              <w:rPr>
                <w:b/>
                <w:bCs/>
              </w:rPr>
            </w:pPr>
            <w:r>
              <w:rPr>
                <w:b/>
                <w:bCs/>
              </w:rPr>
              <w:t>N</w:t>
            </w:r>
            <w:r>
              <w:rPr>
                <w:rStyle w:val="Subscript"/>
                <w:b/>
                <w:bCs/>
              </w:rPr>
              <w:t>2</w:t>
            </w:r>
            <w:r>
              <w:rPr>
                <w:b/>
                <w:bCs/>
              </w:rPr>
              <w:t>O</w:t>
            </w:r>
          </w:p>
        </w:tc>
      </w:tr>
      <w:tr w:rsidR="00010E2E" w14:paraId="54688D49" w14:textId="77777777" w:rsidTr="00382DF3">
        <w:trPr>
          <w:trHeight w:val="427"/>
        </w:trPr>
        <w:tc>
          <w:tcPr>
            <w:tcW w:w="1657" w:type="dxa"/>
            <w:vAlign w:val="center"/>
          </w:tcPr>
          <w:p w14:paraId="3BD1FD05" w14:textId="77777777" w:rsidR="00010E2E" w:rsidRDefault="00010E2E" w:rsidP="00382DF3">
            <w:pPr>
              <w:pStyle w:val="Table"/>
              <w:jc w:val="center"/>
            </w:pPr>
            <w:r>
              <w:t>Gas flared</w:t>
            </w:r>
          </w:p>
        </w:tc>
        <w:tc>
          <w:tcPr>
            <w:tcW w:w="1725" w:type="dxa"/>
            <w:vAlign w:val="center"/>
          </w:tcPr>
          <w:p w14:paraId="01E48D86" w14:textId="77777777" w:rsidR="00010E2E" w:rsidRDefault="00010E2E" w:rsidP="00382DF3">
            <w:pPr>
              <w:pStyle w:val="TableCentre"/>
            </w:pPr>
            <w:r>
              <w:t>2.7</w:t>
            </w:r>
          </w:p>
        </w:tc>
        <w:tc>
          <w:tcPr>
            <w:tcW w:w="1724" w:type="dxa"/>
            <w:vAlign w:val="center"/>
          </w:tcPr>
          <w:p w14:paraId="381605F4" w14:textId="77777777" w:rsidR="00010E2E" w:rsidRDefault="00010E2E" w:rsidP="00382DF3">
            <w:pPr>
              <w:pStyle w:val="TableCentre"/>
            </w:pPr>
            <w:r>
              <w:t>0.1</w:t>
            </w:r>
          </w:p>
        </w:tc>
        <w:tc>
          <w:tcPr>
            <w:tcW w:w="1725" w:type="dxa"/>
            <w:vAlign w:val="center"/>
          </w:tcPr>
          <w:p w14:paraId="3FEF24EE" w14:textId="77777777" w:rsidR="00010E2E" w:rsidRDefault="00010E2E" w:rsidP="00382DF3">
            <w:pPr>
              <w:pStyle w:val="TableCentre"/>
            </w:pPr>
            <w:r>
              <w:t>0.03</w:t>
            </w:r>
          </w:p>
        </w:tc>
      </w:tr>
    </w:tbl>
    <w:p w14:paraId="4A0106A8" w14:textId="77777777" w:rsidR="00010E2E" w:rsidRDefault="00010E2E">
      <w:pPr>
        <w:pStyle w:val="TableNote"/>
      </w:pPr>
      <w:bookmarkStart w:id="72" w:name="_Toc185914387"/>
      <w:r>
        <w:t>Source: National Greenhouse and Energy Reporting (Measurement) Determination 20</w:t>
      </w:r>
      <w:r w:rsidR="00615AF0">
        <w:t>08</w:t>
      </w:r>
      <w:r>
        <w:t xml:space="preserve"> (Section 3.67)</w:t>
      </w:r>
      <w:r w:rsidR="00554938">
        <w:t>.</w:t>
      </w:r>
    </w:p>
    <w:p w14:paraId="24692C68" w14:textId="77777777" w:rsidR="00D76245" w:rsidRDefault="00D76245" w:rsidP="00C23E3B">
      <w:pPr>
        <w:pStyle w:val="Caption"/>
      </w:pPr>
    </w:p>
    <w:p w14:paraId="71D94F4B" w14:textId="77777777" w:rsidR="00010E2E" w:rsidRDefault="00DB323C" w:rsidP="00DB323C">
      <w:pPr>
        <w:pStyle w:val="Heading4"/>
        <w:numPr>
          <w:ilvl w:val="0"/>
          <w:numId w:val="0"/>
        </w:numPr>
        <w:rPr>
          <w:rFonts w:ascii="Arial" w:hAnsi="Arial"/>
          <w:bCs/>
          <w:i/>
          <w:u w:val="single"/>
        </w:rPr>
      </w:pPr>
      <w:r>
        <w:rPr>
          <w:rFonts w:ascii="Arial" w:hAnsi="Arial"/>
          <w:bCs/>
          <w:i/>
          <w:u w:val="single"/>
        </w:rPr>
        <w:t>2.4.2.6</w:t>
      </w:r>
      <w:r>
        <w:rPr>
          <w:rFonts w:ascii="Arial" w:hAnsi="Arial"/>
          <w:bCs/>
          <w:i/>
          <w:u w:val="single"/>
        </w:rPr>
        <w:tab/>
      </w:r>
      <w:r w:rsidR="00010E2E">
        <w:rPr>
          <w:rFonts w:ascii="Arial" w:hAnsi="Arial"/>
          <w:bCs/>
          <w:i/>
          <w:u w:val="single"/>
        </w:rPr>
        <w:t>Natural gas production and processing (other than emissions that are vented or flared)</w:t>
      </w:r>
    </w:p>
    <w:p w14:paraId="38C3F552" w14:textId="77777777" w:rsidR="008870C0" w:rsidRDefault="008870C0">
      <w:pPr>
        <w:spacing w:line="312" w:lineRule="auto"/>
        <w:ind w:left="0"/>
        <w:rPr>
          <w:rFonts w:ascii="Arial" w:hAnsi="Arial"/>
        </w:rPr>
      </w:pPr>
    </w:p>
    <w:p w14:paraId="50A7150B" w14:textId="77777777" w:rsidR="001363EF" w:rsidRDefault="000B79B3">
      <w:pPr>
        <w:spacing w:line="312" w:lineRule="auto"/>
        <w:ind w:left="0"/>
        <w:rPr>
          <w:rFonts w:ascii="Arial" w:hAnsi="Arial"/>
        </w:rPr>
      </w:pPr>
      <w:r w:rsidRPr="000B79B3">
        <w:rPr>
          <w:rFonts w:ascii="Arial" w:hAnsi="Arial"/>
        </w:rPr>
        <w:t xml:space="preserve">Fugitive leakage emissions of methane may occur in natural gas production from sources such as the unintentional equipment leaks from valves, flanges, pump seals, compressor seals, relief valves, sampling connections, process drains, open-ended lines, casing, tanks and other leakage sources from pressurised equipment not classed as a vent. </w:t>
      </w:r>
    </w:p>
    <w:p w14:paraId="34DF2110" w14:textId="77777777" w:rsidR="001363EF" w:rsidRDefault="001363EF">
      <w:pPr>
        <w:spacing w:line="312" w:lineRule="auto"/>
        <w:ind w:left="0"/>
        <w:rPr>
          <w:rFonts w:ascii="Arial" w:hAnsi="Arial"/>
        </w:rPr>
      </w:pPr>
    </w:p>
    <w:p w14:paraId="6F042306" w14:textId="77777777" w:rsidR="001363EF" w:rsidRDefault="000B79B3">
      <w:pPr>
        <w:spacing w:line="312" w:lineRule="auto"/>
        <w:ind w:left="0"/>
        <w:rPr>
          <w:rFonts w:ascii="Arial" w:hAnsi="Arial"/>
        </w:rPr>
      </w:pPr>
      <w:r w:rsidRPr="000B79B3">
        <w:rPr>
          <w:rFonts w:ascii="Arial" w:hAnsi="Arial"/>
        </w:rPr>
        <w:t>The venting of carbon dioxide and methane extracted from raw gas and flaring of unusable gas produced at various stages of processing should be separately accounted for under venting and flaring.</w:t>
      </w:r>
    </w:p>
    <w:p w14:paraId="0CC09093" w14:textId="77777777" w:rsidR="001363EF" w:rsidRDefault="001363EF">
      <w:pPr>
        <w:spacing w:line="312" w:lineRule="auto"/>
        <w:ind w:left="0"/>
        <w:rPr>
          <w:rFonts w:ascii="Arial" w:hAnsi="Arial"/>
        </w:rPr>
      </w:pPr>
    </w:p>
    <w:p w14:paraId="52770063" w14:textId="77777777" w:rsidR="001363EF" w:rsidRDefault="000B79B3">
      <w:pPr>
        <w:spacing w:line="312" w:lineRule="auto"/>
        <w:ind w:left="0"/>
        <w:rPr>
          <w:rFonts w:ascii="Arial" w:hAnsi="Arial"/>
        </w:rPr>
      </w:pPr>
      <w:r w:rsidRPr="000B79B3">
        <w:rPr>
          <w:rFonts w:ascii="Arial" w:hAnsi="Arial"/>
        </w:rPr>
        <w:t>Other sources of emissions arising from natural gas production and processing, such as from the combustion of fuels for energy, are not described in this chapter and must be estimated using the Methods described in other chapters.</w:t>
      </w:r>
    </w:p>
    <w:p w14:paraId="3A56BD84" w14:textId="77777777" w:rsidR="001363EF" w:rsidRDefault="001363EF">
      <w:pPr>
        <w:ind w:left="0"/>
        <w:rPr>
          <w:lang w:eastAsia="en-AU"/>
        </w:rPr>
      </w:pPr>
    </w:p>
    <w:p w14:paraId="2CB14BD8" w14:textId="77777777" w:rsidR="001363EF" w:rsidRDefault="001363EF">
      <w:pPr>
        <w:ind w:left="0"/>
        <w:rPr>
          <w:lang w:eastAsia="en-AU"/>
        </w:rPr>
      </w:pPr>
    </w:p>
    <w:p w14:paraId="28B75D9C" w14:textId="77777777" w:rsidR="001363EF" w:rsidRDefault="001363EF">
      <w:pPr>
        <w:ind w:left="0"/>
        <w:rPr>
          <w:lang w:eastAsia="en-AU"/>
        </w:rPr>
      </w:pPr>
    </w:p>
    <w:p w14:paraId="1D8EEFBB" w14:textId="77777777" w:rsidR="00010E2E" w:rsidRDefault="00CA4FB8">
      <w:pPr>
        <w:ind w:left="0"/>
        <w:jc w:val="center"/>
        <w:rPr>
          <w:lang w:eastAsia="en-AU"/>
        </w:rPr>
      </w:pPr>
      <w:r>
        <w:rPr>
          <w:position w:val="-16"/>
        </w:rPr>
        <w:pict w14:anchorId="616A7DFE">
          <v:shape id="_x0000_i1034" type="#_x0000_t75" style="width:203.25pt;height:19.5pt">
            <v:imagedata r:id="rId36" o:title=""/>
          </v:shape>
        </w:pict>
      </w:r>
    </w:p>
    <w:p w14:paraId="0F8FAC68" w14:textId="77777777" w:rsidR="00010E2E" w:rsidRDefault="00010E2E">
      <w:pPr>
        <w:pStyle w:val="Rc"/>
        <w:ind w:left="0"/>
      </w:pPr>
    </w:p>
    <w:p w14:paraId="15D5D299" w14:textId="77777777" w:rsidR="00010E2E" w:rsidRPr="008870C0" w:rsidRDefault="00010E2E">
      <w:pPr>
        <w:pStyle w:val="Rc"/>
        <w:ind w:left="0" w:firstLine="360"/>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46FCEFA1" w14:textId="77777777" w:rsidR="00010E2E" w:rsidRPr="008870C0" w:rsidRDefault="00010E2E">
      <w:pPr>
        <w:pStyle w:val="definition"/>
        <w:ind w:left="720"/>
        <w:rPr>
          <w:sz w:val="22"/>
          <w:szCs w:val="22"/>
        </w:rPr>
      </w:pPr>
      <w:r w:rsidRPr="008870C0">
        <w:rPr>
          <w:b/>
          <w:i/>
          <w:sz w:val="22"/>
          <w:szCs w:val="22"/>
        </w:rPr>
        <w:t>E</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fugitive emissions of methane (j)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7081C83B" w14:textId="77777777" w:rsidR="00010E2E" w:rsidRPr="008870C0" w:rsidRDefault="00010E2E">
      <w:pPr>
        <w:pStyle w:val="definition"/>
        <w:ind w:left="720"/>
        <w:rPr>
          <w:sz w:val="22"/>
          <w:szCs w:val="22"/>
        </w:rPr>
      </w:pPr>
      <w:r w:rsidRPr="008870C0">
        <w:rPr>
          <w:b/>
          <w:i/>
          <w:sz w:val="22"/>
          <w:szCs w:val="22"/>
        </w:rPr>
        <w:t>Σ</w:t>
      </w:r>
      <w:r w:rsidRPr="008870C0">
        <w:rPr>
          <w:b/>
          <w:i/>
          <w:sz w:val="22"/>
          <w:szCs w:val="22"/>
          <w:vertAlign w:val="subscript"/>
        </w:rPr>
        <w:t>k</w:t>
      </w:r>
      <w:r w:rsidRPr="008870C0">
        <w:rPr>
          <w:sz w:val="22"/>
          <w:szCs w:val="22"/>
          <w:vertAlign w:val="subscript"/>
        </w:rPr>
        <w:t xml:space="preserve"> </w:t>
      </w:r>
      <w:r w:rsidRPr="008870C0">
        <w:rPr>
          <w:rStyle w:val="EquationNoteChar"/>
          <w:rFonts w:ascii="Times New Roman" w:hAnsi="Times New Roman" w:cs="Times New Roman"/>
          <w:sz w:val="22"/>
          <w:szCs w:val="22"/>
        </w:rPr>
        <w:t>is the total emissions of methane (j),  by summing up the emissions released from each equipment type (k) specified in Table 1</w:t>
      </w:r>
      <w:r w:rsidR="005443A8" w:rsidRPr="008870C0">
        <w:rPr>
          <w:rStyle w:val="EquationNoteChar"/>
          <w:rFonts w:ascii="Times New Roman" w:hAnsi="Times New Roman" w:cs="Times New Roman"/>
          <w:sz w:val="22"/>
          <w:szCs w:val="22"/>
        </w:rPr>
        <w:t>4</w:t>
      </w:r>
      <w:r w:rsidRPr="008870C0">
        <w:rPr>
          <w:rStyle w:val="EquationNoteChar"/>
          <w:rFonts w:ascii="Times New Roman" w:hAnsi="Times New Roman" w:cs="Times New Roman"/>
          <w:sz w:val="22"/>
          <w:szCs w:val="22"/>
        </w:rPr>
        <w:t xml:space="preserve">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r w:rsidRPr="008870C0">
        <w:rPr>
          <w:sz w:val="22"/>
          <w:szCs w:val="22"/>
        </w:rPr>
        <w:t xml:space="preserve"> </w:t>
      </w:r>
    </w:p>
    <w:p w14:paraId="3DEB69FB"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ik</w:t>
      </w:r>
      <w:r w:rsidRPr="008870C0">
        <w:rPr>
          <w:sz w:val="22"/>
          <w:szCs w:val="22"/>
          <w:vertAlign w:val="subscript"/>
        </w:rPr>
        <w:t xml:space="preserve"> </w:t>
      </w:r>
      <w:r w:rsidRPr="008870C0">
        <w:rPr>
          <w:rStyle w:val="EquationNoteChar"/>
          <w:rFonts w:ascii="Times New Roman" w:hAnsi="Times New Roman" w:cs="Times New Roman"/>
          <w:sz w:val="22"/>
          <w:szCs w:val="22"/>
        </w:rPr>
        <w:t>is the quantities of natural gas that pass through each equipment type (k) (tonnes).</w:t>
      </w:r>
    </w:p>
    <w:p w14:paraId="0B4DA76A" w14:textId="77777777" w:rsidR="00010E2E" w:rsidRPr="008870C0" w:rsidRDefault="00010E2E">
      <w:pPr>
        <w:pStyle w:val="definition"/>
        <w:ind w:left="720"/>
        <w:rPr>
          <w:sz w:val="22"/>
          <w:szCs w:val="22"/>
        </w:rPr>
      </w:pPr>
      <w:r w:rsidRPr="008870C0">
        <w:rPr>
          <w:b/>
          <w:i/>
          <w:sz w:val="22"/>
          <w:szCs w:val="22"/>
        </w:rPr>
        <w:t>EF</w:t>
      </w:r>
      <w:r w:rsidRPr="008870C0">
        <w:rPr>
          <w:b/>
          <w:i/>
          <w:sz w:val="22"/>
          <w:szCs w:val="22"/>
          <w:vertAlign w:val="subscript"/>
        </w:rPr>
        <w:t>ijk</w:t>
      </w:r>
      <w:r w:rsidRPr="008870C0">
        <w:rPr>
          <w:rStyle w:val="EquationNoteChar"/>
          <w:rFonts w:ascii="Times New Roman" w:hAnsi="Times New Roman" w:cs="Times New Roman"/>
          <w:sz w:val="22"/>
          <w:szCs w:val="22"/>
        </w:rPr>
        <w:t xml:space="preserve"> is the emission factor for methane (j)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 per tonne of natural gas that passes through each equipment type (k))</w:t>
      </w:r>
      <w:r w:rsidR="00AA792D" w:rsidRPr="008870C0">
        <w:rPr>
          <w:rStyle w:val="EquationNoteChar"/>
          <w:rFonts w:ascii="Times New Roman" w:hAnsi="Times New Roman" w:cs="Times New Roman"/>
          <w:sz w:val="22"/>
          <w:szCs w:val="22"/>
        </w:rPr>
        <w:t xml:space="preserve"> as shown in Table 1</w:t>
      </w:r>
      <w:r w:rsidR="005443A8" w:rsidRPr="008870C0">
        <w:rPr>
          <w:rStyle w:val="EquationNoteChar"/>
          <w:rFonts w:ascii="Times New Roman" w:hAnsi="Times New Roman" w:cs="Times New Roman"/>
          <w:sz w:val="22"/>
          <w:szCs w:val="22"/>
        </w:rPr>
        <w:t>4</w:t>
      </w:r>
      <w:r w:rsidRPr="008870C0">
        <w:rPr>
          <w:rStyle w:val="EquationNoteChar"/>
          <w:rFonts w:ascii="Times New Roman" w:hAnsi="Times New Roman" w:cs="Times New Roman"/>
          <w:sz w:val="22"/>
          <w:szCs w:val="22"/>
        </w:rPr>
        <w:t xml:space="preserve">.  </w:t>
      </w:r>
    </w:p>
    <w:p w14:paraId="3D1C5032"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i</w:t>
      </w:r>
      <w:r w:rsidRPr="008870C0">
        <w:rPr>
          <w:sz w:val="22"/>
          <w:szCs w:val="22"/>
        </w:rPr>
        <w:t xml:space="preserve"> </w:t>
      </w:r>
      <w:r w:rsidRPr="008870C0">
        <w:rPr>
          <w:rStyle w:val="EquationNoteChar"/>
          <w:rFonts w:ascii="Times New Roman" w:hAnsi="Times New Roman" w:cs="Times New Roman"/>
          <w:sz w:val="22"/>
          <w:szCs w:val="22"/>
        </w:rPr>
        <w:t>is the total quantity of natural gas (i) that passes through the natural gas production and processing measured in tonnes.</w:t>
      </w:r>
    </w:p>
    <w:p w14:paraId="023D5AF8" w14:textId="77777777" w:rsidR="00352445" w:rsidRPr="008870C0" w:rsidRDefault="00010E2E" w:rsidP="00352445">
      <w:pPr>
        <w:pStyle w:val="definition"/>
        <w:spacing w:before="0"/>
        <w:ind w:left="720"/>
        <w:rPr>
          <w:rStyle w:val="EquationNoteChar"/>
          <w:rFonts w:ascii="Times New Roman" w:hAnsi="Times New Roman" w:cs="Times New Roman"/>
          <w:sz w:val="22"/>
          <w:szCs w:val="22"/>
        </w:rPr>
      </w:pPr>
      <w:r w:rsidRPr="008870C0">
        <w:rPr>
          <w:b/>
          <w:i/>
          <w:sz w:val="22"/>
          <w:szCs w:val="22"/>
        </w:rPr>
        <w:t>EF</w:t>
      </w:r>
      <w:r w:rsidRPr="008870C0">
        <w:rPr>
          <w:b/>
          <w:i/>
          <w:sz w:val="22"/>
          <w:szCs w:val="22"/>
          <w:vertAlign w:val="subscript"/>
        </w:rPr>
        <w:t>(l) ij</w:t>
      </w:r>
      <w:r w:rsidRPr="008870C0">
        <w:rPr>
          <w:b/>
          <w:i/>
          <w:sz w:val="22"/>
          <w:szCs w:val="22"/>
        </w:rPr>
        <w:t xml:space="preserve"> </w:t>
      </w:r>
      <w:r w:rsidRPr="008870C0">
        <w:rPr>
          <w:rStyle w:val="EquationNoteChar"/>
          <w:rFonts w:ascii="Times New Roman" w:hAnsi="Times New Roman" w:cs="Times New Roman"/>
          <w:sz w:val="22"/>
          <w:szCs w:val="22"/>
        </w:rPr>
        <w:t>is 1.</w:t>
      </w:r>
      <w:r w:rsidR="00967EAF">
        <w:rPr>
          <w:rStyle w:val="EquationNoteChar"/>
          <w:rFonts w:ascii="Times New Roman" w:hAnsi="Times New Roman" w:cs="Times New Roman"/>
          <w:sz w:val="22"/>
          <w:szCs w:val="22"/>
        </w:rPr>
        <w:t>2</w:t>
      </w:r>
      <w:r w:rsidRPr="008870C0">
        <w:rPr>
          <w:rStyle w:val="EquationNoteChar"/>
          <w:rFonts w:ascii="Times New Roman" w:hAnsi="Times New Roman" w:cs="Times New Roman"/>
          <w:sz w:val="22"/>
          <w:szCs w:val="22"/>
        </w:rPr>
        <w:t xml:space="preserve"> x 10</w:t>
      </w:r>
      <w:r w:rsidRPr="008870C0">
        <w:rPr>
          <w:rStyle w:val="EquationNoteChar"/>
          <w:rFonts w:ascii="Times New Roman" w:hAnsi="Times New Roman" w:cs="Times New Roman"/>
          <w:sz w:val="22"/>
          <w:szCs w:val="22"/>
          <w:vertAlign w:val="superscript"/>
        </w:rPr>
        <w:noBreakHyphen/>
        <w:t>3</w:t>
      </w:r>
      <w:r w:rsidRPr="008870C0">
        <w:rPr>
          <w:rStyle w:val="EquationNoteChar"/>
          <w:rFonts w:ascii="Times New Roman" w:hAnsi="Times New Roman" w:cs="Times New Roman"/>
          <w:sz w:val="22"/>
          <w:szCs w:val="22"/>
        </w:rPr>
        <w:t>, which is the emission factor for methane (j) from general leaks in the natural gas production and processing,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 per tonne of natural gas throughput).</w:t>
      </w:r>
      <w:r w:rsidRPr="008870C0">
        <w:rPr>
          <w:sz w:val="22"/>
          <w:szCs w:val="22"/>
        </w:rPr>
        <w:t xml:space="preserve"> </w:t>
      </w:r>
      <w:r w:rsidR="00352445" w:rsidRPr="008870C0">
        <w:rPr>
          <w:sz w:val="22"/>
          <w:szCs w:val="22"/>
        </w:rPr>
        <w:t>G</w:t>
      </w:r>
      <w:r w:rsidR="00352445" w:rsidRPr="008870C0">
        <w:rPr>
          <w:rStyle w:val="EquationNoteChar"/>
          <w:rFonts w:ascii="Times New Roman" w:hAnsi="Times New Roman" w:cs="Times New Roman"/>
          <w:sz w:val="22"/>
          <w:szCs w:val="22"/>
        </w:rPr>
        <w:t xml:space="preserve">eneral leaks in the crude oil production comprises the emissions (other than vent emissions) from equipment </w:t>
      </w:r>
      <w:r w:rsidR="004215E9">
        <w:rPr>
          <w:rStyle w:val="EquationNoteChar"/>
          <w:rFonts w:ascii="Times New Roman" w:hAnsi="Times New Roman" w:cs="Times New Roman"/>
          <w:sz w:val="22"/>
          <w:szCs w:val="22"/>
        </w:rPr>
        <w:t xml:space="preserve">listed in sections 5.4.3, 5.6.4, 5.6.5 </w:t>
      </w:r>
      <w:r w:rsidR="00352445" w:rsidRPr="008870C0">
        <w:rPr>
          <w:rStyle w:val="EquationNoteChar"/>
          <w:rFonts w:ascii="Times New Roman" w:hAnsi="Times New Roman" w:cs="Times New Roman"/>
          <w:sz w:val="22"/>
          <w:szCs w:val="22"/>
        </w:rPr>
        <w:t xml:space="preserve">and 6.1.2 of the API Compendium, </w:t>
      </w:r>
    </w:p>
    <w:p w14:paraId="06D7968B" w14:textId="77777777" w:rsidR="001363EF" w:rsidRDefault="001363EF">
      <w:pPr>
        <w:pStyle w:val="BodyText"/>
        <w:ind w:left="0"/>
      </w:pPr>
    </w:p>
    <w:p w14:paraId="52FF6C9C" w14:textId="77777777" w:rsidR="0020202E" w:rsidRDefault="0020202E">
      <w:pPr>
        <w:ind w:left="0"/>
        <w:rPr>
          <w:rFonts w:ascii="Arial" w:hAnsi="Arial"/>
        </w:rPr>
      </w:pPr>
      <w:bookmarkStart w:id="73" w:name="_Toc391646700"/>
      <w:bookmarkStart w:id="74" w:name="_Toc485728123"/>
      <w:bookmarkEnd w:id="72"/>
      <w:r>
        <w:br w:type="page"/>
      </w:r>
    </w:p>
    <w:p w14:paraId="17B6F9B0" w14:textId="2D633BF2" w:rsidR="00D76245" w:rsidRDefault="0081582C" w:rsidP="00C23E3B">
      <w:pPr>
        <w:pStyle w:val="Caption"/>
      </w:pPr>
      <w:r>
        <w:t xml:space="preserve">Table </w:t>
      </w:r>
      <w:r w:rsidR="00DC52E0">
        <w:fldChar w:fldCharType="begin"/>
      </w:r>
      <w:r>
        <w:instrText xml:space="preserve"> SEQ Table \* ARABIC </w:instrText>
      </w:r>
      <w:r w:rsidR="00DC52E0">
        <w:fldChar w:fldCharType="separate"/>
      </w:r>
      <w:r w:rsidR="004A1330">
        <w:rPr>
          <w:noProof/>
        </w:rPr>
        <w:t>15</w:t>
      </w:r>
      <w:r w:rsidR="00DC52E0">
        <w:fldChar w:fldCharType="end"/>
      </w:r>
      <w:r w:rsidR="00010E2E">
        <w:t>: Natural gas production and processing (other than emissions that are vented or flared) emission factors</w:t>
      </w:r>
      <w:bookmarkEnd w:id="73"/>
      <w:bookmarkEnd w:id="74"/>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2835"/>
      </w:tblGrid>
      <w:tr w:rsidR="00010E2E" w14:paraId="756B0B6D" w14:textId="77777777" w:rsidTr="00382DF3">
        <w:trPr>
          <w:cantSplit/>
        </w:trPr>
        <w:tc>
          <w:tcPr>
            <w:tcW w:w="4395" w:type="dxa"/>
            <w:vMerge w:val="restart"/>
            <w:shd w:val="pct15" w:color="auto" w:fill="auto"/>
            <w:vAlign w:val="center"/>
          </w:tcPr>
          <w:p w14:paraId="61959F55" w14:textId="77777777" w:rsidR="00010E2E" w:rsidRDefault="00010E2E" w:rsidP="00382DF3">
            <w:pPr>
              <w:pStyle w:val="Table"/>
              <w:jc w:val="center"/>
              <w:rPr>
                <w:b/>
                <w:bCs/>
              </w:rPr>
            </w:pPr>
            <w:r>
              <w:rPr>
                <w:b/>
                <w:bCs/>
              </w:rPr>
              <w:t xml:space="preserve">Equipment type </w:t>
            </w:r>
            <w:r>
              <w:rPr>
                <w:b/>
                <w:bCs/>
                <w:i/>
              </w:rPr>
              <w:t>(k)</w:t>
            </w:r>
          </w:p>
        </w:tc>
        <w:tc>
          <w:tcPr>
            <w:tcW w:w="2835" w:type="dxa"/>
            <w:shd w:val="pct15" w:color="auto" w:fill="auto"/>
            <w:vAlign w:val="center"/>
          </w:tcPr>
          <w:p w14:paraId="440E58A2" w14:textId="77777777" w:rsidR="00010E2E" w:rsidRDefault="00010E2E" w:rsidP="00382DF3">
            <w:pPr>
              <w:pStyle w:val="TableCentre"/>
              <w:rPr>
                <w:b/>
                <w:bCs/>
              </w:rPr>
            </w:pPr>
            <w:r>
              <w:rPr>
                <w:b/>
                <w:bCs/>
              </w:rPr>
              <w:t xml:space="preserve">Emission factor </w:t>
            </w:r>
            <w:r>
              <w:rPr>
                <w:rFonts w:ascii="Times New Roman" w:hAnsi="Times New Roman" w:cs="Times New Roman"/>
                <w:b/>
                <w:i/>
                <w:sz w:val="20"/>
              </w:rPr>
              <w:t>EF</w:t>
            </w:r>
            <w:r>
              <w:rPr>
                <w:rFonts w:ascii="Times New Roman" w:hAnsi="Times New Roman" w:cs="Times New Roman"/>
                <w:b/>
                <w:i/>
                <w:sz w:val="20"/>
                <w:vertAlign w:val="subscript"/>
              </w:rPr>
              <w:t>ijk</w:t>
            </w:r>
            <w:r>
              <w:rPr>
                <w:b/>
                <w:bCs/>
              </w:rPr>
              <w:br/>
              <w:t>(tonnes CO</w:t>
            </w:r>
            <w:r>
              <w:rPr>
                <w:rStyle w:val="Subscript"/>
                <w:b/>
                <w:bCs/>
              </w:rPr>
              <w:t>2</w:t>
            </w:r>
            <w:r>
              <w:rPr>
                <w:b/>
                <w:bCs/>
              </w:rPr>
              <w:t>-e/tonnes throughput)</w:t>
            </w:r>
          </w:p>
        </w:tc>
      </w:tr>
      <w:tr w:rsidR="00010E2E" w14:paraId="2AB16B0A" w14:textId="77777777">
        <w:trPr>
          <w:cantSplit/>
        </w:trPr>
        <w:tc>
          <w:tcPr>
            <w:tcW w:w="4395" w:type="dxa"/>
            <w:vMerge/>
            <w:shd w:val="pct15" w:color="auto" w:fill="auto"/>
          </w:tcPr>
          <w:p w14:paraId="26A246DD" w14:textId="77777777" w:rsidR="00010E2E" w:rsidRDefault="00010E2E">
            <w:pPr>
              <w:pStyle w:val="Table"/>
              <w:rPr>
                <w:b/>
                <w:bCs/>
              </w:rPr>
            </w:pPr>
          </w:p>
        </w:tc>
        <w:tc>
          <w:tcPr>
            <w:tcW w:w="2835" w:type="dxa"/>
            <w:shd w:val="pct15" w:color="auto" w:fill="auto"/>
          </w:tcPr>
          <w:p w14:paraId="3A856646" w14:textId="77777777" w:rsidR="00010E2E" w:rsidRDefault="00010E2E">
            <w:pPr>
              <w:pStyle w:val="TableCentre"/>
              <w:rPr>
                <w:b/>
                <w:bCs/>
              </w:rPr>
            </w:pPr>
            <w:r>
              <w:rPr>
                <w:b/>
                <w:bCs/>
              </w:rPr>
              <w:t>CH</w:t>
            </w:r>
            <w:r>
              <w:rPr>
                <w:rStyle w:val="Subscript"/>
                <w:b/>
                <w:bCs/>
              </w:rPr>
              <w:t>4</w:t>
            </w:r>
          </w:p>
        </w:tc>
      </w:tr>
      <w:tr w:rsidR="00C42F1B" w14:paraId="74953DB5" w14:textId="77777777">
        <w:trPr>
          <w:trHeight w:val="336"/>
        </w:trPr>
        <w:tc>
          <w:tcPr>
            <w:tcW w:w="4395" w:type="dxa"/>
          </w:tcPr>
          <w:p w14:paraId="73642FC7" w14:textId="77777777" w:rsidR="00C42F1B" w:rsidRDefault="00C42F1B">
            <w:pPr>
              <w:pStyle w:val="Table"/>
            </w:pPr>
            <w:r>
              <w:t xml:space="preserve">   Internal floating tank</w:t>
            </w:r>
          </w:p>
        </w:tc>
        <w:tc>
          <w:tcPr>
            <w:tcW w:w="2835" w:type="dxa"/>
          </w:tcPr>
          <w:p w14:paraId="6589DAA1" w14:textId="77777777" w:rsidR="00C42F1B" w:rsidRDefault="00C42F1B">
            <w:pPr>
              <w:pStyle w:val="TableCentre"/>
            </w:pPr>
            <w:r>
              <w:t>1.0 x10</w:t>
            </w:r>
            <w:r>
              <w:rPr>
                <w:rStyle w:val="Superscript"/>
              </w:rPr>
              <w:t>-</w:t>
            </w:r>
            <w:r w:rsidR="00967EAF">
              <w:rPr>
                <w:rStyle w:val="Superscript"/>
              </w:rPr>
              <w:t>7</w:t>
            </w:r>
          </w:p>
        </w:tc>
      </w:tr>
      <w:tr w:rsidR="00C42F1B" w14:paraId="1E232807" w14:textId="77777777">
        <w:tc>
          <w:tcPr>
            <w:tcW w:w="4395" w:type="dxa"/>
          </w:tcPr>
          <w:p w14:paraId="1C6D4630" w14:textId="77777777" w:rsidR="00C42F1B" w:rsidRDefault="00C42F1B">
            <w:pPr>
              <w:pStyle w:val="Table"/>
            </w:pPr>
            <w:r>
              <w:tab/>
              <w:t>Fixed roof tank</w:t>
            </w:r>
          </w:p>
        </w:tc>
        <w:tc>
          <w:tcPr>
            <w:tcW w:w="2835" w:type="dxa"/>
          </w:tcPr>
          <w:p w14:paraId="272A559D" w14:textId="77777777" w:rsidR="00C42F1B" w:rsidRDefault="00C42F1B">
            <w:pPr>
              <w:pStyle w:val="TableCentre"/>
            </w:pPr>
            <w:r>
              <w:t>5.0 x 10</w:t>
            </w:r>
            <w:r>
              <w:rPr>
                <w:rStyle w:val="Superscript"/>
              </w:rPr>
              <w:t>-6</w:t>
            </w:r>
          </w:p>
        </w:tc>
      </w:tr>
      <w:tr w:rsidR="00C42F1B" w14:paraId="521C6F05" w14:textId="77777777">
        <w:tc>
          <w:tcPr>
            <w:tcW w:w="4395" w:type="dxa"/>
          </w:tcPr>
          <w:p w14:paraId="45C34CAA" w14:textId="77777777" w:rsidR="00C42F1B" w:rsidRDefault="00C42F1B">
            <w:pPr>
              <w:pStyle w:val="Table"/>
            </w:pPr>
            <w:r>
              <w:tab/>
              <w:t>Floating tank</w:t>
            </w:r>
          </w:p>
        </w:tc>
        <w:tc>
          <w:tcPr>
            <w:tcW w:w="2835" w:type="dxa"/>
          </w:tcPr>
          <w:p w14:paraId="7060F178" w14:textId="77777777" w:rsidR="00C42F1B" w:rsidRDefault="00C42F1B">
            <w:pPr>
              <w:pStyle w:val="TableCentre"/>
            </w:pPr>
            <w:r>
              <w:t>3.8 x 10</w:t>
            </w:r>
            <w:r>
              <w:rPr>
                <w:rStyle w:val="Superscript"/>
              </w:rPr>
              <w:t>-6</w:t>
            </w:r>
          </w:p>
        </w:tc>
      </w:tr>
    </w:tbl>
    <w:p w14:paraId="27DBF859" w14:textId="00E70410" w:rsidR="00010E2E" w:rsidRDefault="00010E2E">
      <w:pPr>
        <w:pStyle w:val="TableNote"/>
      </w:pPr>
      <w:r>
        <w:t>Source: National Greenhouse and Energy Reporting</w:t>
      </w:r>
      <w:r w:rsidR="00615AF0">
        <w:t xml:space="preserve"> (Measurement) Determination </w:t>
      </w:r>
      <w:r w:rsidR="00FD1A7A">
        <w:t xml:space="preserve">2008 </w:t>
      </w:r>
      <w:r w:rsidR="00FD1A7A">
        <w:rPr>
          <w:i/>
          <w:iCs/>
          <w:lang w:eastAsia="en-AU"/>
        </w:rPr>
        <w:t>(</w:t>
      </w:r>
      <w:r>
        <w:t>Section 3.72)</w:t>
      </w:r>
      <w:r w:rsidR="00554938">
        <w:t>.</w:t>
      </w:r>
    </w:p>
    <w:p w14:paraId="3CD32687" w14:textId="399393A8" w:rsidR="00010E2E" w:rsidRDefault="00DB323C" w:rsidP="00DB323C">
      <w:pPr>
        <w:pStyle w:val="Heading4"/>
        <w:numPr>
          <w:ilvl w:val="0"/>
          <w:numId w:val="0"/>
        </w:numPr>
        <w:rPr>
          <w:rFonts w:ascii="Arial" w:hAnsi="Arial"/>
          <w:bCs/>
          <w:i/>
          <w:u w:val="single"/>
        </w:rPr>
      </w:pPr>
      <w:r>
        <w:rPr>
          <w:rFonts w:ascii="Arial" w:hAnsi="Arial"/>
          <w:bCs/>
          <w:i/>
          <w:u w:val="single"/>
        </w:rPr>
        <w:t>2.4.2.7</w:t>
      </w:r>
      <w:r>
        <w:rPr>
          <w:rFonts w:ascii="Arial" w:hAnsi="Arial"/>
          <w:bCs/>
          <w:i/>
          <w:u w:val="single"/>
        </w:rPr>
        <w:tab/>
      </w:r>
      <w:r w:rsidR="00010E2E">
        <w:rPr>
          <w:rFonts w:ascii="Arial" w:hAnsi="Arial"/>
          <w:bCs/>
          <w:i/>
          <w:u w:val="single"/>
        </w:rPr>
        <w:t xml:space="preserve">Natural </w:t>
      </w:r>
      <w:r w:rsidR="00FD1A7A">
        <w:rPr>
          <w:rFonts w:ascii="Arial" w:hAnsi="Arial"/>
          <w:bCs/>
          <w:i/>
          <w:u w:val="single"/>
        </w:rPr>
        <w:t>gas transmission</w:t>
      </w:r>
    </w:p>
    <w:p w14:paraId="0B79EBBA" w14:textId="77777777" w:rsidR="00010E2E" w:rsidRDefault="00010E2E">
      <w:pPr>
        <w:spacing w:before="120" w:line="312" w:lineRule="auto"/>
        <w:ind w:left="0"/>
        <w:rPr>
          <w:rFonts w:ascii="Arial" w:hAnsi="Arial" w:cs="Arial"/>
        </w:rPr>
      </w:pPr>
      <w:r>
        <w:rPr>
          <w:rFonts w:ascii="Arial" w:hAnsi="Arial" w:cs="Arial"/>
        </w:rPr>
        <w:t>Transmission mains are defined as high-pressure pipelines greater than 1050 kilopascals, as used in the Energy Supply Association of Australia natural gas statistics.</w:t>
      </w:r>
    </w:p>
    <w:p w14:paraId="5F54FA83" w14:textId="77777777" w:rsidR="00010E2E" w:rsidRDefault="00010E2E">
      <w:pPr>
        <w:pStyle w:val="BodyText"/>
        <w:ind w:left="0"/>
        <w:rPr>
          <w:rFonts w:ascii="Arial" w:hAnsi="Arial"/>
          <w:b/>
          <w:bCs/>
        </w:rPr>
      </w:pPr>
    </w:p>
    <w:p w14:paraId="5A1B596B" w14:textId="77777777" w:rsidR="00010E2E" w:rsidRDefault="00CA4FB8">
      <w:pPr>
        <w:pStyle w:val="Formula"/>
      </w:pPr>
      <w:r>
        <w:rPr>
          <w:position w:val="-16"/>
        </w:rPr>
        <w:pict w14:anchorId="4D705283">
          <v:shape id="_x0000_i1035" type="#_x0000_t75" style="width:84.75pt;height:19.5pt">
            <v:imagedata r:id="rId37" o:title=""/>
          </v:shape>
        </w:pict>
      </w:r>
    </w:p>
    <w:p w14:paraId="664231F0" w14:textId="77777777" w:rsidR="00010E2E" w:rsidRPr="008870C0" w:rsidRDefault="00010E2E">
      <w:pPr>
        <w:pStyle w:val="Rc"/>
        <w:ind w:left="0" w:firstLine="360"/>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1482BCC0" w14:textId="77777777" w:rsidR="00010E2E" w:rsidRPr="008870C0" w:rsidRDefault="00010E2E">
      <w:pPr>
        <w:pStyle w:val="definition"/>
        <w:ind w:left="720"/>
        <w:rPr>
          <w:sz w:val="22"/>
          <w:szCs w:val="22"/>
        </w:rPr>
      </w:pPr>
      <w:r w:rsidRPr="008870C0">
        <w:rPr>
          <w:b/>
          <w:i/>
          <w:sz w:val="22"/>
          <w:szCs w:val="22"/>
        </w:rPr>
        <w:t>E</w:t>
      </w:r>
      <w:r w:rsidRPr="008870C0">
        <w:rPr>
          <w:b/>
          <w:i/>
          <w:sz w:val="22"/>
          <w:szCs w:val="22"/>
          <w:vertAlign w:val="subscript"/>
        </w:rPr>
        <w:t xml:space="preserve">ij </w:t>
      </w:r>
      <w:r w:rsidRPr="008870C0">
        <w:rPr>
          <w:rStyle w:val="EquationNoteChar"/>
          <w:rFonts w:ascii="Times New Roman" w:hAnsi="Times New Roman" w:cs="Times New Roman"/>
          <w:sz w:val="22"/>
          <w:szCs w:val="22"/>
        </w:rPr>
        <w:t>is the fugitive emissions of gas type (j) from natural gas transmission through a system of pipelines of length (i)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768FCF30"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 xml:space="preserve">i </w:t>
      </w:r>
      <w:r w:rsidRPr="008870C0">
        <w:rPr>
          <w:rStyle w:val="EquationNoteChar"/>
          <w:rFonts w:ascii="Times New Roman" w:hAnsi="Times New Roman" w:cs="Times New Roman"/>
          <w:sz w:val="22"/>
          <w:szCs w:val="22"/>
        </w:rPr>
        <w:t>is the length of the system of pipelines (i) (kilometres).</w:t>
      </w:r>
    </w:p>
    <w:p w14:paraId="060C628C" w14:textId="77777777" w:rsidR="00010E2E" w:rsidRPr="008870C0" w:rsidRDefault="00010E2E">
      <w:pPr>
        <w:pStyle w:val="definition"/>
        <w:ind w:left="720"/>
        <w:rPr>
          <w:sz w:val="22"/>
          <w:szCs w:val="22"/>
        </w:rPr>
      </w:pPr>
      <w:r w:rsidRPr="008870C0">
        <w:rPr>
          <w:b/>
          <w:i/>
          <w:sz w:val="22"/>
          <w:szCs w:val="22"/>
        </w:rPr>
        <w:t>EF</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emission factor for gas type (j),  (tonnes of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emissions per kilometre of pipeline (i)).</w:t>
      </w:r>
    </w:p>
    <w:p w14:paraId="242D3CF3" w14:textId="77777777" w:rsidR="00010E2E" w:rsidRDefault="00010E2E">
      <w:pPr>
        <w:pStyle w:val="BodyText"/>
      </w:pPr>
    </w:p>
    <w:p w14:paraId="7687F092" w14:textId="77777777" w:rsidR="00D76245" w:rsidRDefault="0081582C" w:rsidP="00C23E3B">
      <w:pPr>
        <w:pStyle w:val="Caption"/>
      </w:pPr>
      <w:bookmarkStart w:id="75" w:name="_Toc391646701"/>
      <w:bookmarkStart w:id="76" w:name="_Toc485728124"/>
      <w:r>
        <w:t xml:space="preserve">Table </w:t>
      </w:r>
      <w:r w:rsidR="00DC52E0">
        <w:fldChar w:fldCharType="begin"/>
      </w:r>
      <w:r>
        <w:instrText xml:space="preserve"> SEQ Table \* ARABIC </w:instrText>
      </w:r>
      <w:r w:rsidR="00DC52E0">
        <w:fldChar w:fldCharType="separate"/>
      </w:r>
      <w:r w:rsidR="004A1330">
        <w:rPr>
          <w:noProof/>
        </w:rPr>
        <w:t>16</w:t>
      </w:r>
      <w:r w:rsidR="00DC52E0">
        <w:fldChar w:fldCharType="end"/>
      </w:r>
      <w:r w:rsidR="00010E2E">
        <w:t>: Natural gas transmission emission factors</w:t>
      </w:r>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0"/>
        <w:gridCol w:w="2230"/>
        <w:gridCol w:w="2268"/>
      </w:tblGrid>
      <w:tr w:rsidR="00010E2E" w14:paraId="37A9F6B1" w14:textId="77777777" w:rsidTr="003B4E81">
        <w:trPr>
          <w:cantSplit/>
        </w:trPr>
        <w:tc>
          <w:tcPr>
            <w:tcW w:w="2590" w:type="dxa"/>
            <w:vMerge w:val="restart"/>
            <w:shd w:val="pct15" w:color="auto" w:fill="auto"/>
            <w:vAlign w:val="center"/>
          </w:tcPr>
          <w:p w14:paraId="5824F704" w14:textId="77777777" w:rsidR="00010E2E" w:rsidRDefault="00010E2E" w:rsidP="00382DF3">
            <w:pPr>
              <w:pStyle w:val="Table"/>
              <w:jc w:val="center"/>
              <w:rPr>
                <w:b/>
                <w:bCs/>
              </w:rPr>
            </w:pPr>
            <w:r>
              <w:rPr>
                <w:b/>
                <w:bCs/>
              </w:rPr>
              <w:t>Operation or process source</w:t>
            </w:r>
          </w:p>
        </w:tc>
        <w:tc>
          <w:tcPr>
            <w:tcW w:w="4498" w:type="dxa"/>
            <w:gridSpan w:val="2"/>
            <w:shd w:val="pct15" w:color="auto" w:fill="auto"/>
            <w:vAlign w:val="center"/>
          </w:tcPr>
          <w:p w14:paraId="1D253689" w14:textId="77777777" w:rsidR="00010E2E" w:rsidRDefault="00010E2E" w:rsidP="00382DF3">
            <w:pPr>
              <w:pStyle w:val="TableCentre"/>
              <w:rPr>
                <w:b/>
                <w:bCs/>
              </w:rPr>
            </w:pPr>
            <w:r>
              <w:rPr>
                <w:b/>
                <w:bCs/>
              </w:rPr>
              <w:t>Emission factor (tonnes CO</w:t>
            </w:r>
            <w:r>
              <w:rPr>
                <w:rStyle w:val="Subscript"/>
                <w:b/>
                <w:bCs/>
              </w:rPr>
              <w:t>2</w:t>
            </w:r>
            <w:r>
              <w:rPr>
                <w:b/>
                <w:bCs/>
              </w:rPr>
              <w:t>-e/km pipeline length)</w:t>
            </w:r>
          </w:p>
        </w:tc>
      </w:tr>
      <w:tr w:rsidR="00010E2E" w14:paraId="44B1A426" w14:textId="77777777" w:rsidTr="003B4E81">
        <w:trPr>
          <w:cantSplit/>
        </w:trPr>
        <w:tc>
          <w:tcPr>
            <w:tcW w:w="2590" w:type="dxa"/>
            <w:vMerge/>
            <w:shd w:val="pct15" w:color="auto" w:fill="auto"/>
            <w:vAlign w:val="center"/>
          </w:tcPr>
          <w:p w14:paraId="0E69C4BD" w14:textId="77777777" w:rsidR="00010E2E" w:rsidRDefault="00010E2E" w:rsidP="00382DF3">
            <w:pPr>
              <w:pStyle w:val="Table"/>
              <w:jc w:val="center"/>
              <w:rPr>
                <w:b/>
                <w:bCs/>
              </w:rPr>
            </w:pPr>
          </w:p>
        </w:tc>
        <w:tc>
          <w:tcPr>
            <w:tcW w:w="2230" w:type="dxa"/>
            <w:shd w:val="pct15" w:color="auto" w:fill="auto"/>
            <w:vAlign w:val="center"/>
          </w:tcPr>
          <w:p w14:paraId="0AAD315F" w14:textId="77777777" w:rsidR="00010E2E" w:rsidRDefault="00010E2E" w:rsidP="00382DF3">
            <w:pPr>
              <w:pStyle w:val="TableCentre"/>
              <w:rPr>
                <w:b/>
                <w:bCs/>
              </w:rPr>
            </w:pPr>
            <w:r>
              <w:rPr>
                <w:b/>
                <w:bCs/>
              </w:rPr>
              <w:t>CO</w:t>
            </w:r>
            <w:r>
              <w:rPr>
                <w:rStyle w:val="Subscript"/>
                <w:b/>
                <w:bCs/>
              </w:rPr>
              <w:t>2</w:t>
            </w:r>
          </w:p>
        </w:tc>
        <w:tc>
          <w:tcPr>
            <w:tcW w:w="2268" w:type="dxa"/>
            <w:shd w:val="pct15" w:color="auto" w:fill="auto"/>
            <w:vAlign w:val="center"/>
          </w:tcPr>
          <w:p w14:paraId="314BD185" w14:textId="77777777" w:rsidR="00010E2E" w:rsidRDefault="00010E2E" w:rsidP="00382DF3">
            <w:pPr>
              <w:pStyle w:val="TableCentre"/>
              <w:rPr>
                <w:b/>
                <w:bCs/>
              </w:rPr>
            </w:pPr>
            <w:r>
              <w:rPr>
                <w:b/>
                <w:bCs/>
              </w:rPr>
              <w:t>CH</w:t>
            </w:r>
            <w:r>
              <w:rPr>
                <w:rStyle w:val="Subscript"/>
                <w:b/>
                <w:bCs/>
              </w:rPr>
              <w:t>4</w:t>
            </w:r>
          </w:p>
        </w:tc>
      </w:tr>
      <w:tr w:rsidR="00010E2E" w14:paraId="4DB31355" w14:textId="77777777" w:rsidTr="003B4E81">
        <w:trPr>
          <w:trHeight w:val="521"/>
        </w:trPr>
        <w:tc>
          <w:tcPr>
            <w:tcW w:w="2590" w:type="dxa"/>
            <w:vAlign w:val="center"/>
          </w:tcPr>
          <w:p w14:paraId="6DF30E8F" w14:textId="77777777" w:rsidR="00010E2E" w:rsidRDefault="00010E2E" w:rsidP="00382DF3">
            <w:pPr>
              <w:pStyle w:val="Table"/>
              <w:jc w:val="center"/>
            </w:pPr>
            <w:r>
              <w:t>Natural gas transmission</w:t>
            </w:r>
          </w:p>
        </w:tc>
        <w:tc>
          <w:tcPr>
            <w:tcW w:w="2230" w:type="dxa"/>
            <w:vAlign w:val="center"/>
          </w:tcPr>
          <w:p w14:paraId="20826C1A" w14:textId="77777777" w:rsidR="00010E2E" w:rsidRDefault="00010E2E" w:rsidP="00382DF3">
            <w:pPr>
              <w:pStyle w:val="TableCentre"/>
            </w:pPr>
            <w:r>
              <w:t>0.02</w:t>
            </w:r>
          </w:p>
        </w:tc>
        <w:tc>
          <w:tcPr>
            <w:tcW w:w="2268" w:type="dxa"/>
            <w:vAlign w:val="center"/>
          </w:tcPr>
          <w:p w14:paraId="4679E781" w14:textId="77777777" w:rsidR="00010E2E" w:rsidRDefault="00C42F1B" w:rsidP="00382DF3">
            <w:pPr>
              <w:pStyle w:val="TableCentre"/>
            </w:pPr>
            <w:r>
              <w:t>10.4</w:t>
            </w:r>
          </w:p>
        </w:tc>
      </w:tr>
    </w:tbl>
    <w:p w14:paraId="69F98B0E" w14:textId="77777777" w:rsidR="00010E2E" w:rsidRDefault="00010E2E">
      <w:pPr>
        <w:pStyle w:val="TableNote"/>
      </w:pPr>
      <w:r>
        <w:t>Source: National Greenhouse and Energy Reporting</w:t>
      </w:r>
      <w:r w:rsidR="00615AF0">
        <w:t xml:space="preserve"> (Measurement) Determination 2008</w:t>
      </w:r>
      <w:r>
        <w:t xml:space="preserve"> (Section 3.76)</w:t>
      </w:r>
      <w:r w:rsidR="00554938">
        <w:t>.</w:t>
      </w:r>
    </w:p>
    <w:p w14:paraId="2558767F" w14:textId="77777777" w:rsidR="00010E2E" w:rsidRDefault="00010E2E">
      <w:pPr>
        <w:pStyle w:val="TableNote"/>
        <w:rPr>
          <w:szCs w:val="16"/>
        </w:rPr>
      </w:pPr>
    </w:p>
    <w:p w14:paraId="4DC6BAE1" w14:textId="77777777" w:rsidR="00010E2E" w:rsidRDefault="00010E2E">
      <w:pPr>
        <w:pStyle w:val="Text"/>
        <w:pBdr>
          <w:top w:val="single" w:sz="4" w:space="1" w:color="auto"/>
          <w:left w:val="single" w:sz="4" w:space="4" w:color="auto"/>
          <w:bottom w:val="single" w:sz="4" w:space="1" w:color="auto"/>
          <w:right w:val="single" w:sz="4" w:space="7" w:color="auto"/>
        </w:pBdr>
        <w:rPr>
          <w:b/>
          <w:sz w:val="22"/>
          <w:szCs w:val="22"/>
        </w:rPr>
      </w:pPr>
      <w:r>
        <w:rPr>
          <w:b/>
          <w:sz w:val="22"/>
          <w:szCs w:val="22"/>
        </w:rPr>
        <w:t>Example</w:t>
      </w:r>
    </w:p>
    <w:p w14:paraId="5BFC3449" w14:textId="77777777" w:rsidR="00010E2E" w:rsidRDefault="00010E2E">
      <w:pPr>
        <w:pStyle w:val="Text"/>
        <w:pBdr>
          <w:top w:val="single" w:sz="4" w:space="1" w:color="auto"/>
          <w:left w:val="single" w:sz="4" w:space="4" w:color="auto"/>
          <w:bottom w:val="single" w:sz="4" w:space="1" w:color="auto"/>
          <w:right w:val="single" w:sz="4" w:space="7" w:color="auto"/>
        </w:pBdr>
        <w:rPr>
          <w:rFonts w:ascii="Arial" w:hAnsi="Arial" w:cs="Arial"/>
          <w:sz w:val="18"/>
          <w:szCs w:val="18"/>
        </w:rPr>
      </w:pPr>
      <w:r>
        <w:rPr>
          <w:rFonts w:ascii="Arial" w:hAnsi="Arial" w:cs="Arial"/>
          <w:sz w:val="18"/>
          <w:szCs w:val="18"/>
        </w:rPr>
        <w:t>A company has a network of natural gas transmission pipelines with a total length of 3600 km, over a year. Emissions are estimated as follows:</w:t>
      </w:r>
    </w:p>
    <w:p w14:paraId="756EB998" w14:textId="77777777" w:rsidR="00010E2E" w:rsidRDefault="00024AB8">
      <w:pPr>
        <w:pStyle w:val="Text"/>
        <w:pBdr>
          <w:top w:val="single" w:sz="4" w:space="1" w:color="auto"/>
          <w:left w:val="single" w:sz="4" w:space="4" w:color="auto"/>
          <w:bottom w:val="single" w:sz="4" w:space="1" w:color="auto"/>
          <w:right w:val="single" w:sz="4" w:space="7" w:color="auto"/>
        </w:pBdr>
        <w:rPr>
          <w:sz w:val="22"/>
          <w:szCs w:val="22"/>
          <w:highlight w:val="yellow"/>
        </w:rPr>
      </w:pPr>
      <w:r>
        <w:rPr>
          <w:noProof/>
          <w:lang w:eastAsia="en-AU"/>
        </w:rPr>
        <mc:AlternateContent>
          <mc:Choice Requires="wps">
            <w:drawing>
              <wp:anchor distT="0" distB="0" distL="114300" distR="114300" simplePos="0" relativeHeight="251670528" behindDoc="0" locked="0" layoutInCell="1" allowOverlap="1" wp14:anchorId="691A523D" wp14:editId="31D1E885">
                <wp:simplePos x="0" y="0"/>
                <wp:positionH relativeFrom="column">
                  <wp:posOffset>1371600</wp:posOffset>
                </wp:positionH>
                <wp:positionV relativeFrom="paragraph">
                  <wp:posOffset>41910</wp:posOffset>
                </wp:positionV>
                <wp:extent cx="2400300" cy="457200"/>
                <wp:effectExtent l="0" t="0" r="19050" b="190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w="9525">
                          <a:solidFill>
                            <a:srgbClr val="000000"/>
                          </a:solidFill>
                          <a:miter lim="800000"/>
                          <a:headEnd/>
                          <a:tailEnd/>
                        </a:ln>
                      </wps:spPr>
                      <wps:txbx>
                        <w:txbxContent>
                          <w:p w14:paraId="7CF4218D" w14:textId="77777777" w:rsidR="00990E77" w:rsidRDefault="00990E77">
                            <w:pPr>
                              <w:pStyle w:val="Formula"/>
                            </w:pPr>
                            <w:r>
                              <w:t>E</w:t>
                            </w:r>
                            <w:r>
                              <w:rPr>
                                <w:vertAlign w:val="subscript"/>
                              </w:rPr>
                              <w:t>ij</w:t>
                            </w:r>
                            <w:r>
                              <w:t xml:space="preserve"> = Q</w:t>
                            </w:r>
                            <w:r>
                              <w:rPr>
                                <w:vertAlign w:val="subscript"/>
                              </w:rPr>
                              <w:t xml:space="preserve">i </w:t>
                            </w:r>
                            <w:r>
                              <w:sym w:font="Symbol" w:char="F0B4"/>
                            </w:r>
                            <w:r>
                              <w:t xml:space="preserve"> EF</w:t>
                            </w:r>
                            <w:r>
                              <w:rPr>
                                <w:vertAlign w:val="subscript"/>
                              </w:rPr>
                              <w:t>ij</w:t>
                            </w:r>
                          </w:p>
                          <w:p w14:paraId="3CB80AA5" w14:textId="77777777" w:rsidR="00990E77" w:rsidRDefault="00990E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A523D" id="Text Box 7" o:spid="_x0000_s1029" type="#_x0000_t202" style="position:absolute;margin-left:108pt;margin-top:3.3pt;width:18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">
                <v:textbox>
                  <w:txbxContent>
                    <w:p w14:paraId="7CF4218D" w14:textId="77777777" w:rsidR="00990E77" w:rsidRDefault="00990E77">
                      <w:pPr>
                        <w:pStyle w:val="Formula"/>
                      </w:pPr>
                      <w:r>
                        <w:t>E</w:t>
                      </w:r>
                      <w:r>
                        <w:rPr>
                          <w:vertAlign w:val="subscript"/>
                        </w:rPr>
                        <w:t>ij</w:t>
                      </w:r>
                      <w:r>
                        <w:t xml:space="preserve"> = Q</w:t>
                      </w:r>
                      <w:r>
                        <w:rPr>
                          <w:vertAlign w:val="subscript"/>
                        </w:rPr>
                        <w:t xml:space="preserve">i </w:t>
                      </w:r>
                      <w:r>
                        <w:sym w:font="Symbol" w:char="F0B4"/>
                      </w:r>
                      <w:r>
                        <w:t xml:space="preserve"> EF</w:t>
                      </w:r>
                      <w:r>
                        <w:rPr>
                          <w:vertAlign w:val="subscript"/>
                        </w:rPr>
                        <w:t>ij</w:t>
                      </w:r>
                    </w:p>
                    <w:p w14:paraId="3CB80AA5" w14:textId="77777777" w:rsidR="00990E77" w:rsidRDefault="00990E77"/>
                  </w:txbxContent>
                </v:textbox>
              </v:shape>
            </w:pict>
          </mc:Fallback>
        </mc:AlternateContent>
      </w:r>
    </w:p>
    <w:p w14:paraId="33D2FDB2" w14:textId="77777777" w:rsidR="00010E2E" w:rsidRDefault="00010E2E">
      <w:pPr>
        <w:pStyle w:val="Text"/>
        <w:pBdr>
          <w:top w:val="single" w:sz="4" w:space="1" w:color="auto"/>
          <w:left w:val="single" w:sz="4" w:space="4" w:color="auto"/>
          <w:bottom w:val="single" w:sz="4" w:space="1" w:color="auto"/>
          <w:right w:val="single" w:sz="4" w:space="7" w:color="auto"/>
        </w:pBdr>
        <w:rPr>
          <w:sz w:val="18"/>
          <w:szCs w:val="18"/>
        </w:rPr>
      </w:pPr>
      <w:r>
        <w:rPr>
          <w:sz w:val="18"/>
          <w:szCs w:val="18"/>
        </w:rPr>
        <w:t>where:</w:t>
      </w:r>
    </w:p>
    <w:p w14:paraId="405B6AB5" w14:textId="77777777" w:rsidR="00010E2E" w:rsidRDefault="00010E2E">
      <w:pPr>
        <w:pStyle w:val="Text"/>
        <w:pBdr>
          <w:top w:val="single" w:sz="4" w:space="1" w:color="auto"/>
          <w:left w:val="single" w:sz="4" w:space="4" w:color="auto"/>
          <w:bottom w:val="single" w:sz="4" w:space="1" w:color="auto"/>
          <w:right w:val="single" w:sz="4" w:space="7" w:color="auto"/>
        </w:pBdr>
        <w:rPr>
          <w:sz w:val="18"/>
          <w:szCs w:val="18"/>
        </w:rPr>
      </w:pPr>
      <w:r>
        <w:rPr>
          <w:sz w:val="18"/>
          <w:szCs w:val="18"/>
        </w:rPr>
        <w:t>E</w:t>
      </w:r>
      <w:r>
        <w:rPr>
          <w:sz w:val="18"/>
          <w:szCs w:val="18"/>
          <w:vertAlign w:val="subscript"/>
        </w:rPr>
        <w:t xml:space="preserve">ij </w:t>
      </w:r>
      <w:r>
        <w:rPr>
          <w:rFonts w:ascii="Arial" w:hAnsi="Arial" w:cs="Arial"/>
          <w:sz w:val="18"/>
          <w:szCs w:val="18"/>
        </w:rPr>
        <w:t>is the emissions measured in CO</w:t>
      </w:r>
      <w:r w:rsidRPr="00FE7726">
        <w:rPr>
          <w:rFonts w:ascii="Arial" w:hAnsi="Arial" w:cs="Arial"/>
          <w:sz w:val="18"/>
          <w:szCs w:val="18"/>
          <w:vertAlign w:val="subscript"/>
        </w:rPr>
        <w:t>2</w:t>
      </w:r>
      <w:r w:rsidR="00FE7726">
        <w:rPr>
          <w:rFonts w:ascii="Arial" w:hAnsi="Arial" w:cs="Arial"/>
          <w:sz w:val="18"/>
          <w:szCs w:val="18"/>
        </w:rPr>
        <w:t>-</w:t>
      </w:r>
      <w:r>
        <w:rPr>
          <w:rFonts w:ascii="Arial" w:hAnsi="Arial" w:cs="Arial"/>
          <w:sz w:val="18"/>
          <w:szCs w:val="18"/>
        </w:rPr>
        <w:t>e tonnes of gas type (j), being either carbon dioxide or methane, released from natural gas transmission through a system of pipelines of length (i)  (CO</w:t>
      </w:r>
      <w:r w:rsidRPr="00FE7726">
        <w:rPr>
          <w:rFonts w:ascii="Arial" w:hAnsi="Arial" w:cs="Arial"/>
          <w:sz w:val="18"/>
          <w:szCs w:val="18"/>
          <w:vertAlign w:val="subscript"/>
        </w:rPr>
        <w:t>2</w:t>
      </w:r>
      <w:r>
        <w:rPr>
          <w:rFonts w:ascii="Arial" w:hAnsi="Arial" w:cs="Arial"/>
          <w:sz w:val="18"/>
          <w:szCs w:val="18"/>
        </w:rPr>
        <w:t>-e tonnes).</w:t>
      </w:r>
    </w:p>
    <w:p w14:paraId="0E1981D1" w14:textId="77777777" w:rsidR="00010E2E" w:rsidRDefault="00010E2E">
      <w:pPr>
        <w:pStyle w:val="Text"/>
        <w:pBdr>
          <w:top w:val="single" w:sz="4" w:space="1" w:color="auto"/>
          <w:left w:val="single" w:sz="4" w:space="4" w:color="auto"/>
          <w:bottom w:val="single" w:sz="4" w:space="1" w:color="auto"/>
          <w:right w:val="single" w:sz="4" w:space="7" w:color="auto"/>
        </w:pBdr>
        <w:rPr>
          <w:sz w:val="18"/>
          <w:szCs w:val="18"/>
        </w:rPr>
      </w:pPr>
      <w:r>
        <w:rPr>
          <w:sz w:val="18"/>
          <w:szCs w:val="18"/>
        </w:rPr>
        <w:t>Q</w:t>
      </w:r>
      <w:r>
        <w:rPr>
          <w:sz w:val="18"/>
          <w:szCs w:val="18"/>
          <w:vertAlign w:val="subscript"/>
        </w:rPr>
        <w:t>i</w:t>
      </w:r>
      <w:r>
        <w:rPr>
          <w:sz w:val="18"/>
          <w:szCs w:val="18"/>
        </w:rPr>
        <w:t xml:space="preserve"> </w:t>
      </w:r>
      <w:r>
        <w:rPr>
          <w:rFonts w:ascii="Arial" w:hAnsi="Arial" w:cs="Arial"/>
          <w:sz w:val="18"/>
          <w:szCs w:val="18"/>
        </w:rPr>
        <w:t>is the length of the system of pipelines (i) (kilometres). In this case pipeline length is 3600 km.</w:t>
      </w:r>
    </w:p>
    <w:p w14:paraId="0395DD29" w14:textId="77777777" w:rsidR="00010E2E" w:rsidRDefault="00010E2E">
      <w:pPr>
        <w:pStyle w:val="Text"/>
        <w:pBdr>
          <w:top w:val="single" w:sz="4" w:space="1" w:color="auto"/>
          <w:left w:val="single" w:sz="4" w:space="4" w:color="auto"/>
          <w:bottom w:val="single" w:sz="4" w:space="1" w:color="auto"/>
          <w:right w:val="single" w:sz="4" w:space="7" w:color="auto"/>
        </w:pBdr>
        <w:rPr>
          <w:sz w:val="18"/>
          <w:szCs w:val="18"/>
        </w:rPr>
      </w:pPr>
      <w:r>
        <w:rPr>
          <w:sz w:val="18"/>
          <w:szCs w:val="18"/>
        </w:rPr>
        <w:t>EF</w:t>
      </w:r>
      <w:r>
        <w:rPr>
          <w:sz w:val="18"/>
          <w:szCs w:val="18"/>
          <w:vertAlign w:val="subscript"/>
        </w:rPr>
        <w:t xml:space="preserve">ij </w:t>
      </w:r>
      <w:r>
        <w:rPr>
          <w:rFonts w:ascii="Arial" w:hAnsi="Arial" w:cs="Arial"/>
          <w:sz w:val="18"/>
          <w:szCs w:val="18"/>
        </w:rPr>
        <w:t xml:space="preserve">is the emission factor for gas type (j) being 0.02 for carbon dioxide and </w:t>
      </w:r>
      <w:r w:rsidR="00C42F1B">
        <w:rPr>
          <w:rFonts w:ascii="Arial" w:hAnsi="Arial" w:cs="Arial"/>
          <w:sz w:val="18"/>
          <w:szCs w:val="18"/>
        </w:rPr>
        <w:t>10.4</w:t>
      </w:r>
      <w:r>
        <w:rPr>
          <w:rFonts w:ascii="Arial" w:hAnsi="Arial" w:cs="Arial"/>
          <w:sz w:val="18"/>
          <w:szCs w:val="18"/>
        </w:rPr>
        <w:t xml:space="preserve"> for methane (tonnes of CO2-e emissions per kilometre of pipeline (i)). See Table </w:t>
      </w:r>
      <w:r w:rsidR="005443A8">
        <w:rPr>
          <w:rFonts w:ascii="Arial" w:hAnsi="Arial" w:cs="Arial"/>
          <w:sz w:val="18"/>
          <w:szCs w:val="18"/>
        </w:rPr>
        <w:t>15</w:t>
      </w:r>
      <w:r>
        <w:rPr>
          <w:rFonts w:ascii="Arial" w:hAnsi="Arial" w:cs="Arial"/>
          <w:sz w:val="18"/>
          <w:szCs w:val="18"/>
        </w:rPr>
        <w:t>.</w:t>
      </w:r>
    </w:p>
    <w:p w14:paraId="27522425" w14:textId="77777777" w:rsidR="00010E2E" w:rsidRDefault="00010E2E">
      <w:pPr>
        <w:pStyle w:val="Text"/>
        <w:pBdr>
          <w:top w:val="single" w:sz="4" w:space="1" w:color="auto"/>
          <w:left w:val="single" w:sz="4" w:space="4" w:color="auto"/>
          <w:bottom w:val="single" w:sz="4" w:space="1" w:color="auto"/>
          <w:right w:val="single" w:sz="4" w:space="7" w:color="auto"/>
        </w:pBdr>
        <w:rPr>
          <w:rFonts w:ascii="Arial" w:hAnsi="Arial" w:cs="Arial"/>
          <w:sz w:val="18"/>
          <w:szCs w:val="18"/>
        </w:rPr>
      </w:pPr>
      <w:r>
        <w:rPr>
          <w:rFonts w:ascii="Arial" w:hAnsi="Arial" w:cs="Arial"/>
          <w:sz w:val="18"/>
          <w:szCs w:val="18"/>
        </w:rPr>
        <w:t>Therefore, to estimate greenhouse gas emissions (carbon dioxide and methane) in CO</w:t>
      </w:r>
      <w:r w:rsidRPr="00FE7726">
        <w:rPr>
          <w:rFonts w:ascii="Arial" w:hAnsi="Arial" w:cs="Arial"/>
          <w:sz w:val="18"/>
          <w:szCs w:val="18"/>
          <w:vertAlign w:val="subscript"/>
        </w:rPr>
        <w:t>2</w:t>
      </w:r>
      <w:r>
        <w:rPr>
          <w:rFonts w:ascii="Arial" w:hAnsi="Arial" w:cs="Arial"/>
          <w:sz w:val="18"/>
          <w:szCs w:val="18"/>
        </w:rPr>
        <w:t>-e tonnes:</w:t>
      </w:r>
    </w:p>
    <w:p w14:paraId="15416667" w14:textId="77777777" w:rsidR="00010E2E" w:rsidRDefault="00010E2E">
      <w:pPr>
        <w:pStyle w:val="Text"/>
        <w:pBdr>
          <w:top w:val="single" w:sz="4" w:space="1" w:color="auto"/>
          <w:left w:val="single" w:sz="4" w:space="4" w:color="auto"/>
          <w:bottom w:val="single" w:sz="4" w:space="1" w:color="auto"/>
          <w:right w:val="single" w:sz="4" w:space="7" w:color="auto"/>
        </w:pBdr>
        <w:rPr>
          <w:rFonts w:ascii="Arial" w:hAnsi="Arial" w:cs="Arial"/>
          <w:sz w:val="18"/>
          <w:szCs w:val="18"/>
        </w:rPr>
      </w:pPr>
      <w:r>
        <w:rPr>
          <w:rFonts w:ascii="Arial" w:hAnsi="Arial" w:cs="Arial"/>
          <w:sz w:val="18"/>
          <w:szCs w:val="18"/>
        </w:rPr>
        <w:t xml:space="preserve">Emissions of carbon dioxide: </w:t>
      </w:r>
    </w:p>
    <w:p w14:paraId="0902316C" w14:textId="77777777" w:rsidR="00010E2E" w:rsidRDefault="00010E2E">
      <w:pPr>
        <w:pStyle w:val="Text"/>
        <w:pBdr>
          <w:top w:val="single" w:sz="4" w:space="1" w:color="auto"/>
          <w:left w:val="single" w:sz="4" w:space="4" w:color="auto"/>
          <w:bottom w:val="single" w:sz="4" w:space="1" w:color="auto"/>
          <w:right w:val="single" w:sz="4" w:space="7" w:color="auto"/>
        </w:pBdr>
        <w:ind w:firstLine="360"/>
        <w:rPr>
          <w:rFonts w:ascii="Arial" w:hAnsi="Arial" w:cs="Arial"/>
          <w:sz w:val="18"/>
          <w:szCs w:val="18"/>
        </w:rPr>
      </w:pPr>
      <w:r>
        <w:rPr>
          <w:rFonts w:ascii="Arial" w:hAnsi="Arial" w:cs="Arial"/>
          <w:sz w:val="18"/>
          <w:szCs w:val="18"/>
        </w:rPr>
        <w:t>= 3600 x 0.02</w:t>
      </w:r>
    </w:p>
    <w:p w14:paraId="342EB1F6" w14:textId="77777777" w:rsidR="00010E2E" w:rsidRDefault="00010E2E">
      <w:pPr>
        <w:pStyle w:val="Text"/>
        <w:pBdr>
          <w:top w:val="single" w:sz="4" w:space="1" w:color="auto"/>
          <w:left w:val="single" w:sz="4" w:space="4" w:color="auto"/>
          <w:bottom w:val="single" w:sz="4" w:space="1" w:color="auto"/>
          <w:right w:val="single" w:sz="4" w:space="7" w:color="auto"/>
        </w:pBdr>
        <w:ind w:firstLine="360"/>
        <w:rPr>
          <w:rFonts w:ascii="Arial" w:hAnsi="Arial" w:cs="Arial"/>
          <w:sz w:val="18"/>
          <w:szCs w:val="18"/>
        </w:rPr>
      </w:pPr>
      <w:r>
        <w:rPr>
          <w:rFonts w:ascii="Arial" w:hAnsi="Arial" w:cs="Arial"/>
          <w:sz w:val="18"/>
          <w:szCs w:val="18"/>
        </w:rPr>
        <w:t>= 72 t CO</w:t>
      </w:r>
      <w:r w:rsidRPr="00FE7726">
        <w:rPr>
          <w:rFonts w:ascii="Arial" w:hAnsi="Arial" w:cs="Arial"/>
          <w:sz w:val="18"/>
          <w:szCs w:val="18"/>
          <w:vertAlign w:val="subscript"/>
        </w:rPr>
        <w:t>2</w:t>
      </w:r>
      <w:r>
        <w:rPr>
          <w:rFonts w:ascii="Arial" w:hAnsi="Arial" w:cs="Arial"/>
          <w:sz w:val="18"/>
          <w:szCs w:val="18"/>
        </w:rPr>
        <w:t>-e</w:t>
      </w:r>
    </w:p>
    <w:p w14:paraId="7E6DE6E8" w14:textId="77777777" w:rsidR="00010E2E" w:rsidRDefault="00010E2E">
      <w:pPr>
        <w:pStyle w:val="Text"/>
        <w:pBdr>
          <w:top w:val="single" w:sz="4" w:space="1" w:color="auto"/>
          <w:left w:val="single" w:sz="4" w:space="4" w:color="auto"/>
          <w:bottom w:val="single" w:sz="4" w:space="1" w:color="auto"/>
          <w:right w:val="single" w:sz="4" w:space="7" w:color="auto"/>
        </w:pBdr>
        <w:rPr>
          <w:rFonts w:ascii="Arial" w:hAnsi="Arial" w:cs="Arial"/>
          <w:sz w:val="18"/>
          <w:szCs w:val="18"/>
        </w:rPr>
      </w:pPr>
      <w:r>
        <w:rPr>
          <w:rFonts w:ascii="Arial" w:hAnsi="Arial" w:cs="Arial"/>
          <w:sz w:val="18"/>
          <w:szCs w:val="18"/>
        </w:rPr>
        <w:t>Emissions of methane</w:t>
      </w:r>
    </w:p>
    <w:p w14:paraId="5940497E" w14:textId="77777777" w:rsidR="00C42F1B" w:rsidRDefault="00C42F1B" w:rsidP="00C42F1B">
      <w:pPr>
        <w:pStyle w:val="Text"/>
        <w:pBdr>
          <w:top w:val="single" w:sz="4" w:space="1" w:color="auto"/>
          <w:left w:val="single" w:sz="4" w:space="4" w:color="auto"/>
          <w:bottom w:val="single" w:sz="4" w:space="1" w:color="auto"/>
          <w:right w:val="single" w:sz="4" w:space="7" w:color="auto"/>
        </w:pBdr>
        <w:ind w:firstLine="360"/>
        <w:rPr>
          <w:rFonts w:ascii="Arial" w:hAnsi="Arial" w:cs="Arial"/>
          <w:sz w:val="18"/>
          <w:szCs w:val="18"/>
        </w:rPr>
      </w:pPr>
      <w:r>
        <w:rPr>
          <w:rFonts w:ascii="Arial" w:hAnsi="Arial" w:cs="Arial"/>
          <w:sz w:val="18"/>
          <w:szCs w:val="18"/>
        </w:rPr>
        <w:t>= 3,600 x 10.4</w:t>
      </w:r>
    </w:p>
    <w:p w14:paraId="12504051" w14:textId="77777777" w:rsidR="00C42F1B" w:rsidRDefault="00C42F1B" w:rsidP="00C42F1B">
      <w:pPr>
        <w:pStyle w:val="Text"/>
        <w:pBdr>
          <w:top w:val="single" w:sz="4" w:space="1" w:color="auto"/>
          <w:left w:val="single" w:sz="4" w:space="4" w:color="auto"/>
          <w:bottom w:val="single" w:sz="4" w:space="1" w:color="auto"/>
          <w:right w:val="single" w:sz="4" w:space="7" w:color="auto"/>
        </w:pBdr>
        <w:ind w:firstLine="360"/>
        <w:rPr>
          <w:rFonts w:ascii="Arial" w:hAnsi="Arial" w:cs="Arial"/>
          <w:sz w:val="18"/>
          <w:szCs w:val="18"/>
        </w:rPr>
      </w:pPr>
      <w:r>
        <w:rPr>
          <w:rFonts w:ascii="Arial" w:hAnsi="Arial" w:cs="Arial"/>
          <w:sz w:val="18"/>
          <w:szCs w:val="18"/>
        </w:rPr>
        <w:t>= 37,440 t CO</w:t>
      </w:r>
      <w:r w:rsidRPr="00FE7726">
        <w:rPr>
          <w:rFonts w:ascii="Arial" w:hAnsi="Arial" w:cs="Arial"/>
          <w:sz w:val="18"/>
          <w:szCs w:val="18"/>
          <w:vertAlign w:val="subscript"/>
        </w:rPr>
        <w:t>2</w:t>
      </w:r>
      <w:r>
        <w:rPr>
          <w:rFonts w:ascii="Arial" w:hAnsi="Arial" w:cs="Arial"/>
          <w:sz w:val="18"/>
          <w:szCs w:val="18"/>
        </w:rPr>
        <w:t>-e</w:t>
      </w:r>
    </w:p>
    <w:p w14:paraId="2BC0193A" w14:textId="77777777" w:rsidR="00C42F1B" w:rsidRDefault="00C42F1B" w:rsidP="00C42F1B">
      <w:pPr>
        <w:pStyle w:val="Text"/>
        <w:pBdr>
          <w:top w:val="single" w:sz="4" w:space="1" w:color="auto"/>
          <w:left w:val="single" w:sz="4" w:space="4" w:color="auto"/>
          <w:bottom w:val="single" w:sz="4" w:space="1" w:color="auto"/>
          <w:right w:val="single" w:sz="4" w:space="7" w:color="auto"/>
        </w:pBdr>
        <w:rPr>
          <w:rFonts w:ascii="Arial" w:hAnsi="Arial" w:cs="Arial"/>
          <w:sz w:val="18"/>
          <w:szCs w:val="18"/>
        </w:rPr>
      </w:pPr>
      <w:r>
        <w:rPr>
          <w:rFonts w:ascii="Arial" w:hAnsi="Arial" w:cs="Arial"/>
          <w:sz w:val="18"/>
          <w:szCs w:val="18"/>
        </w:rPr>
        <w:t xml:space="preserve">Total scope 1 GHG emissions  </w:t>
      </w:r>
      <w:r>
        <w:rPr>
          <w:rFonts w:ascii="Arial" w:hAnsi="Arial" w:cs="Arial"/>
          <w:sz w:val="18"/>
          <w:szCs w:val="18"/>
        </w:rPr>
        <w:tab/>
        <w:t xml:space="preserve">= 72 + 37,440 </w:t>
      </w:r>
    </w:p>
    <w:p w14:paraId="03948996" w14:textId="77777777" w:rsidR="00C42F1B" w:rsidRDefault="00C42F1B" w:rsidP="00C42F1B">
      <w:pPr>
        <w:pStyle w:val="Text"/>
        <w:pBdr>
          <w:top w:val="single" w:sz="4" w:space="1" w:color="auto"/>
          <w:left w:val="single" w:sz="4" w:space="4" w:color="auto"/>
          <w:bottom w:val="single" w:sz="4" w:space="1" w:color="auto"/>
          <w:right w:val="single" w:sz="4" w:space="7" w:color="auto"/>
        </w:pBdr>
        <w:ind w:firstLine="360"/>
        <w:rPr>
          <w:rFonts w:ascii="Arial" w:hAnsi="Arial" w:cs="Arial"/>
          <w:sz w:val="18"/>
          <w:szCs w:val="18"/>
        </w:rPr>
      </w:pPr>
      <w:r>
        <w:rPr>
          <w:rFonts w:ascii="Arial" w:hAnsi="Arial" w:cs="Arial"/>
          <w:sz w:val="18"/>
          <w:szCs w:val="18"/>
        </w:rPr>
        <w:t>= 37,512 t CO</w:t>
      </w:r>
      <w:r w:rsidRPr="00FE7726">
        <w:rPr>
          <w:rFonts w:ascii="Arial" w:hAnsi="Arial" w:cs="Arial"/>
          <w:sz w:val="18"/>
          <w:szCs w:val="18"/>
          <w:vertAlign w:val="subscript"/>
        </w:rPr>
        <w:t>2</w:t>
      </w:r>
      <w:r>
        <w:rPr>
          <w:rFonts w:ascii="Arial" w:hAnsi="Arial" w:cs="Arial"/>
          <w:sz w:val="18"/>
          <w:szCs w:val="18"/>
        </w:rPr>
        <w:t>-e</w:t>
      </w:r>
    </w:p>
    <w:p w14:paraId="746EE5DA" w14:textId="77777777" w:rsidR="00010E2E" w:rsidRDefault="00010E2E">
      <w:pPr>
        <w:pStyle w:val="TableNote"/>
      </w:pPr>
    </w:p>
    <w:p w14:paraId="5D74DC65" w14:textId="77777777" w:rsidR="00010E2E" w:rsidRDefault="00DB323C" w:rsidP="00DB323C">
      <w:pPr>
        <w:pStyle w:val="Heading4"/>
        <w:numPr>
          <w:ilvl w:val="0"/>
          <w:numId w:val="0"/>
        </w:numPr>
        <w:rPr>
          <w:rFonts w:ascii="Arial" w:hAnsi="Arial"/>
          <w:bCs/>
          <w:i/>
          <w:u w:val="single"/>
        </w:rPr>
      </w:pPr>
      <w:bookmarkStart w:id="77" w:name="_Toc185914252"/>
      <w:r>
        <w:rPr>
          <w:rFonts w:ascii="Arial" w:hAnsi="Arial"/>
          <w:bCs/>
          <w:i/>
          <w:u w:val="single"/>
        </w:rPr>
        <w:t>2.4.2.8</w:t>
      </w:r>
      <w:r>
        <w:rPr>
          <w:rFonts w:ascii="Arial" w:hAnsi="Arial"/>
          <w:bCs/>
          <w:i/>
          <w:u w:val="single"/>
        </w:rPr>
        <w:tab/>
      </w:r>
      <w:r w:rsidR="00010E2E">
        <w:rPr>
          <w:rFonts w:ascii="Arial" w:hAnsi="Arial"/>
          <w:bCs/>
          <w:i/>
          <w:u w:val="single"/>
        </w:rPr>
        <w:t>Natural gas distribution</w:t>
      </w:r>
      <w:bookmarkEnd w:id="77"/>
    </w:p>
    <w:p w14:paraId="673806CD" w14:textId="77777777" w:rsidR="00010E2E" w:rsidRDefault="00010E2E">
      <w:pPr>
        <w:pStyle w:val="Text"/>
        <w:rPr>
          <w:rFonts w:ascii="Arial" w:hAnsi="Arial" w:cs="Arial"/>
        </w:rPr>
      </w:pPr>
      <w:r>
        <w:rPr>
          <w:rFonts w:ascii="Arial" w:hAnsi="Arial" w:cs="Arial"/>
        </w:rPr>
        <w:t>The boundary between natural gas transmission and distribution is generally taken to be the city gate regulator stations at which gas pressures are reduced from transmission pressures to sub-transmission pressures. For the purposes of this methodology, natural gas distribution comprises low, medium and high-pressure reticulation ≤ 1050 kilopascals.</w:t>
      </w:r>
      <w:r w:rsidR="00DD2190">
        <w:rPr>
          <w:rFonts w:ascii="Arial" w:hAnsi="Arial" w:cs="Arial"/>
        </w:rPr>
        <w:t xml:space="preserve"> </w:t>
      </w:r>
      <w:r>
        <w:rPr>
          <w:rFonts w:ascii="Arial" w:hAnsi="Arial" w:cs="Arial"/>
        </w:rPr>
        <w:t>Greenhouse gases emitted from utility pipeline systems are estima</w:t>
      </w:r>
      <w:r w:rsidR="00DD2190">
        <w:rPr>
          <w:rFonts w:ascii="Arial" w:hAnsi="Arial" w:cs="Arial"/>
        </w:rPr>
        <w:t>ted from the following equation.</w:t>
      </w:r>
    </w:p>
    <w:p w14:paraId="6B69C6D4" w14:textId="77777777" w:rsidR="00010E2E" w:rsidRDefault="00010E2E">
      <w:pPr>
        <w:pStyle w:val="Equation"/>
        <w:jc w:val="cente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 xml:space="preserve">j </w:t>
      </w:r>
      <w:r>
        <w:rPr>
          <w:rFonts w:ascii="Times New Roman" w:hAnsi="Times New Roman" w:cs="Times New Roman"/>
          <w:sz w:val="28"/>
          <w:szCs w:val="28"/>
        </w:rPr>
        <w:t xml:space="preserve">= S </w:t>
      </w:r>
      <w:r>
        <w:rPr>
          <w:rFonts w:ascii="Times New Roman" w:hAnsi="Times New Roman" w:cs="Times New Roman"/>
          <w:sz w:val="28"/>
          <w:szCs w:val="28"/>
        </w:rPr>
        <w:sym w:font="Symbol" w:char="F0B4"/>
      </w:r>
      <w:r>
        <w:rPr>
          <w:rFonts w:ascii="Times New Roman" w:hAnsi="Times New Roman" w:cs="Times New Roman"/>
          <w:sz w:val="28"/>
          <w:szCs w:val="28"/>
        </w:rPr>
        <w:t xml:space="preserve"> %UAG </w:t>
      </w:r>
      <w:r>
        <w:rPr>
          <w:rFonts w:ascii="Times New Roman" w:hAnsi="Times New Roman" w:cs="Times New Roman"/>
          <w:sz w:val="28"/>
          <w:szCs w:val="28"/>
        </w:rPr>
        <w:sym w:font="Symbol" w:char="F0B4"/>
      </w:r>
      <w:r>
        <w:rPr>
          <w:rFonts w:ascii="Times New Roman" w:hAnsi="Times New Roman" w:cs="Times New Roman"/>
          <w:sz w:val="28"/>
          <w:szCs w:val="28"/>
        </w:rPr>
        <w:t xml:space="preserve"> 0.55 </w:t>
      </w:r>
      <w:r>
        <w:rPr>
          <w:rFonts w:ascii="Times New Roman" w:hAnsi="Times New Roman" w:cs="Times New Roman"/>
          <w:sz w:val="28"/>
          <w:szCs w:val="28"/>
        </w:rPr>
        <w:sym w:font="Symbol" w:char="F0B4"/>
      </w:r>
      <w:r>
        <w:rPr>
          <w:rFonts w:ascii="Times New Roman" w:hAnsi="Times New Roman" w:cs="Times New Roman"/>
          <w:sz w:val="28"/>
          <w:szCs w:val="28"/>
        </w:rPr>
        <w:t xml:space="preserve"> C</w:t>
      </w:r>
      <w:r>
        <w:rPr>
          <w:rStyle w:val="Subscript"/>
          <w:rFonts w:ascii="Times New Roman" w:hAnsi="Times New Roman" w:cs="Times New Roman"/>
          <w:sz w:val="28"/>
          <w:szCs w:val="28"/>
        </w:rPr>
        <w:t>j</w:t>
      </w:r>
    </w:p>
    <w:p w14:paraId="53FDA37B" w14:textId="77777777" w:rsidR="00010E2E" w:rsidRPr="008870C0" w:rsidRDefault="00010E2E" w:rsidP="008870C0">
      <w:pPr>
        <w:pStyle w:val="EquationNote"/>
        <w:spacing w:before="0" w:after="120"/>
        <w:ind w:firstLine="0"/>
        <w:rPr>
          <w:rStyle w:val="EquationNoteChar"/>
          <w:rFonts w:ascii="Times New Roman" w:hAnsi="Times New Roman" w:cs="Times New Roman"/>
          <w:iCs/>
          <w:sz w:val="22"/>
          <w:szCs w:val="22"/>
        </w:rPr>
      </w:pPr>
      <w:r w:rsidRPr="008870C0">
        <w:rPr>
          <w:rStyle w:val="EquationNoteChar"/>
          <w:rFonts w:ascii="Times New Roman" w:hAnsi="Times New Roman" w:cs="Times New Roman"/>
          <w:iCs/>
          <w:sz w:val="22"/>
          <w:szCs w:val="22"/>
        </w:rPr>
        <w:t>where:</w:t>
      </w:r>
    </w:p>
    <w:p w14:paraId="44759840" w14:textId="77777777" w:rsidR="00010E2E" w:rsidRPr="008870C0" w:rsidRDefault="00010E2E" w:rsidP="008870C0">
      <w:pPr>
        <w:pStyle w:val="EquationNote"/>
        <w:spacing w:before="0" w:after="120"/>
        <w:ind w:left="720"/>
        <w:jc w:val="both"/>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w:t>
      </w:r>
      <w:r w:rsidRPr="008870C0">
        <w:rPr>
          <w:rFonts w:ascii="Times New Roman" w:hAnsi="Times New Roman" w:cs="Times New Roman"/>
          <w:b/>
          <w:i/>
          <w:sz w:val="22"/>
          <w:szCs w:val="22"/>
          <w:vertAlign w:val="subscript"/>
        </w:rPr>
        <w:t>j</w:t>
      </w:r>
      <w:r w:rsidRPr="008870C0">
        <w:rPr>
          <w:rFonts w:ascii="Times New Roman" w:hAnsi="Times New Roman" w:cs="Times New Roman"/>
          <w:sz w:val="22"/>
          <w:szCs w:val="22"/>
        </w:rPr>
        <w:t xml:space="preserve"> </w:t>
      </w:r>
      <w:r w:rsidRPr="008870C0">
        <w:rPr>
          <w:rStyle w:val="EquationNoteChar"/>
          <w:rFonts w:ascii="Times New Roman" w:hAnsi="Times New Roman" w:cs="Times New Roman"/>
          <w:iCs/>
          <w:sz w:val="22"/>
          <w:szCs w:val="22"/>
        </w:rPr>
        <w:t>is the greenhouse gas emitted from the gas distribution system in utility pipelines system (in tonnes CO</w:t>
      </w:r>
      <w:r w:rsidRPr="008870C0">
        <w:rPr>
          <w:rStyle w:val="EquationNoteChar"/>
          <w:rFonts w:ascii="Times New Roman" w:hAnsi="Times New Roman" w:cs="Times New Roman"/>
          <w:iCs/>
          <w:sz w:val="22"/>
          <w:szCs w:val="22"/>
          <w:vertAlign w:val="subscript"/>
        </w:rPr>
        <w:t>2</w:t>
      </w:r>
      <w:r w:rsidRPr="008870C0">
        <w:rPr>
          <w:rStyle w:val="EquationNoteChar"/>
          <w:rFonts w:ascii="Times New Roman" w:hAnsi="Times New Roman" w:cs="Times New Roman"/>
          <w:iCs/>
          <w:sz w:val="22"/>
          <w:szCs w:val="22"/>
        </w:rPr>
        <w:t>-e)</w:t>
      </w:r>
    </w:p>
    <w:p w14:paraId="6E5E9EAC" w14:textId="77777777" w:rsidR="00010E2E" w:rsidRPr="008870C0" w:rsidRDefault="00010E2E" w:rsidP="008870C0">
      <w:pPr>
        <w:pStyle w:val="EquationNote"/>
        <w:spacing w:before="0" w:after="120"/>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S</w:t>
      </w:r>
      <w:r w:rsidRPr="008870C0">
        <w:rPr>
          <w:rFonts w:ascii="Times New Roman" w:hAnsi="Times New Roman" w:cs="Times New Roman"/>
          <w:sz w:val="22"/>
          <w:szCs w:val="22"/>
        </w:rPr>
        <w:t xml:space="preserve"> </w:t>
      </w:r>
      <w:r w:rsidRPr="008870C0">
        <w:rPr>
          <w:rStyle w:val="EquationNoteChar"/>
          <w:rFonts w:ascii="Times New Roman" w:hAnsi="Times New Roman" w:cs="Times New Roman"/>
          <w:iCs/>
          <w:sz w:val="22"/>
          <w:szCs w:val="22"/>
        </w:rPr>
        <w:t>is the total gas utility sales from the pipeline system (in terajoules)</w:t>
      </w:r>
    </w:p>
    <w:p w14:paraId="3EFA1B01" w14:textId="77777777" w:rsidR="00010E2E" w:rsidRPr="008870C0" w:rsidRDefault="00010E2E" w:rsidP="008870C0">
      <w:pPr>
        <w:pStyle w:val="EquationNote"/>
        <w:spacing w:before="0" w:after="120"/>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%UAG</w:t>
      </w:r>
      <w:r w:rsidRPr="008870C0">
        <w:rPr>
          <w:rFonts w:ascii="Times New Roman" w:hAnsi="Times New Roman" w:cs="Times New Roman"/>
          <w:sz w:val="22"/>
          <w:szCs w:val="22"/>
        </w:rPr>
        <w:t xml:space="preserve"> </w:t>
      </w:r>
      <w:r w:rsidRPr="008870C0">
        <w:rPr>
          <w:rStyle w:val="EquationNoteChar"/>
          <w:rFonts w:ascii="Times New Roman" w:hAnsi="Times New Roman" w:cs="Times New Roman"/>
          <w:iCs/>
          <w:sz w:val="22"/>
          <w:szCs w:val="22"/>
        </w:rPr>
        <w:t>is the percentage of unaccounted for gas in a state’s pipeline system, relative to the amount issued annually by gas utilities (see Table 1</w:t>
      </w:r>
      <w:r w:rsidR="00D56BFE">
        <w:rPr>
          <w:rStyle w:val="EquationNoteChar"/>
          <w:rFonts w:ascii="Times New Roman" w:hAnsi="Times New Roman" w:cs="Times New Roman"/>
          <w:iCs/>
          <w:sz w:val="22"/>
          <w:szCs w:val="22"/>
        </w:rPr>
        <w:t>7</w:t>
      </w:r>
      <w:r w:rsidRPr="008870C0">
        <w:rPr>
          <w:rStyle w:val="EquationNoteChar"/>
          <w:rFonts w:ascii="Times New Roman" w:hAnsi="Times New Roman" w:cs="Times New Roman"/>
          <w:iCs/>
          <w:sz w:val="22"/>
          <w:szCs w:val="22"/>
        </w:rPr>
        <w:t>)</w:t>
      </w:r>
    </w:p>
    <w:p w14:paraId="1BEACC35" w14:textId="77777777" w:rsidR="00010E2E" w:rsidRPr="008870C0" w:rsidRDefault="00010E2E" w:rsidP="008870C0">
      <w:pPr>
        <w:pStyle w:val="EquationNote"/>
        <w:spacing w:before="0" w:after="120"/>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C</w:t>
      </w:r>
      <w:r w:rsidRPr="008870C0">
        <w:rPr>
          <w:rFonts w:ascii="Times New Roman" w:hAnsi="Times New Roman" w:cs="Times New Roman"/>
          <w:b/>
          <w:i/>
          <w:sz w:val="22"/>
          <w:szCs w:val="22"/>
          <w:vertAlign w:val="subscript"/>
        </w:rPr>
        <w:t>j</w:t>
      </w:r>
      <w:r w:rsidRPr="008870C0">
        <w:rPr>
          <w:rFonts w:ascii="Times New Roman" w:hAnsi="Times New Roman" w:cs="Times New Roman"/>
          <w:sz w:val="22"/>
          <w:szCs w:val="22"/>
        </w:rPr>
        <w:t xml:space="preserve"> </w:t>
      </w:r>
      <w:r w:rsidRPr="008870C0">
        <w:rPr>
          <w:rStyle w:val="EquationNoteChar"/>
          <w:rFonts w:ascii="Times New Roman" w:hAnsi="Times New Roman" w:cs="Times New Roman"/>
          <w:iCs/>
          <w:sz w:val="22"/>
          <w:szCs w:val="22"/>
        </w:rPr>
        <w:t>is the natural gas composition factor for natural gas supplied from the state pipeline system (in tonnes CO</w:t>
      </w:r>
      <w:r w:rsidRPr="008870C0">
        <w:rPr>
          <w:rStyle w:val="EquationNoteChar"/>
          <w:rFonts w:ascii="Times New Roman" w:hAnsi="Times New Roman" w:cs="Times New Roman"/>
          <w:iCs/>
          <w:sz w:val="22"/>
          <w:szCs w:val="22"/>
          <w:vertAlign w:val="subscript"/>
        </w:rPr>
        <w:t>2</w:t>
      </w:r>
      <w:r w:rsidRPr="008870C0">
        <w:rPr>
          <w:rStyle w:val="EquationNoteChar"/>
          <w:rFonts w:ascii="Times New Roman" w:hAnsi="Times New Roman" w:cs="Times New Roman"/>
          <w:iCs/>
          <w:sz w:val="22"/>
          <w:szCs w:val="22"/>
        </w:rPr>
        <w:t>-e per terajoule) (see Table 1</w:t>
      </w:r>
      <w:r w:rsidR="00D56BFE">
        <w:rPr>
          <w:rStyle w:val="EquationNoteChar"/>
          <w:rFonts w:ascii="Times New Roman" w:hAnsi="Times New Roman" w:cs="Times New Roman"/>
          <w:iCs/>
          <w:sz w:val="22"/>
          <w:szCs w:val="22"/>
        </w:rPr>
        <w:t>7</w:t>
      </w:r>
      <w:r w:rsidRPr="008870C0">
        <w:rPr>
          <w:rStyle w:val="EquationNoteChar"/>
          <w:rFonts w:ascii="Times New Roman" w:hAnsi="Times New Roman" w:cs="Times New Roman"/>
          <w:iCs/>
          <w:sz w:val="22"/>
          <w:szCs w:val="22"/>
        </w:rPr>
        <w:t>)</w:t>
      </w:r>
    </w:p>
    <w:p w14:paraId="19A8D4BD" w14:textId="77777777" w:rsidR="00443068" w:rsidRDefault="00010E2E" w:rsidP="008870C0">
      <w:pPr>
        <w:pStyle w:val="EquationNote"/>
        <w:spacing w:before="0" w:after="120"/>
        <w:ind w:left="720"/>
        <w:rPr>
          <w:rFonts w:ascii="Times New Roman" w:hAnsi="Times New Roman" w:cs="Times New Roman"/>
          <w:sz w:val="24"/>
          <w:szCs w:val="24"/>
        </w:rPr>
      </w:pPr>
      <w:r w:rsidRPr="008870C0">
        <w:rPr>
          <w:rFonts w:ascii="Times New Roman" w:hAnsi="Times New Roman" w:cs="Times New Roman"/>
          <w:sz w:val="22"/>
          <w:szCs w:val="22"/>
        </w:rPr>
        <w:tab/>
      </w:r>
      <w:r w:rsidRPr="008870C0">
        <w:rPr>
          <w:rStyle w:val="EquationNoteChar"/>
          <w:rFonts w:ascii="Times New Roman" w:hAnsi="Times New Roman" w:cs="Times New Roman"/>
          <w:b/>
          <w:i/>
          <w:iCs/>
          <w:sz w:val="22"/>
          <w:szCs w:val="22"/>
        </w:rPr>
        <w:t>0.55</w:t>
      </w:r>
      <w:r w:rsidRPr="008870C0">
        <w:rPr>
          <w:rStyle w:val="EquationNoteChar"/>
          <w:rFonts w:ascii="Times New Roman" w:hAnsi="Times New Roman" w:cs="Times New Roman"/>
          <w:iCs/>
          <w:sz w:val="22"/>
          <w:szCs w:val="22"/>
        </w:rPr>
        <w:t xml:space="preserve"> represents the portion of unaccounted for gas allocated as leakage</w:t>
      </w:r>
      <w:r>
        <w:rPr>
          <w:rFonts w:ascii="Times New Roman" w:hAnsi="Times New Roman" w:cs="Times New Roman"/>
          <w:sz w:val="24"/>
          <w:szCs w:val="24"/>
        </w:rPr>
        <w:t xml:space="preserve"> </w:t>
      </w:r>
    </w:p>
    <w:p w14:paraId="7CF61512" w14:textId="77777777" w:rsidR="008942FB" w:rsidRPr="00F94A77" w:rsidRDefault="008942FB" w:rsidP="00F94A77">
      <w:pPr>
        <w:ind w:left="0"/>
        <w:rPr>
          <w:sz w:val="24"/>
        </w:rPr>
      </w:pPr>
    </w:p>
    <w:p w14:paraId="07935F82" w14:textId="77777777" w:rsidR="00D76245" w:rsidRDefault="0081582C" w:rsidP="00C23E3B">
      <w:pPr>
        <w:pStyle w:val="Caption"/>
      </w:pPr>
      <w:bookmarkStart w:id="78" w:name="_Toc391646702"/>
      <w:bookmarkStart w:id="79" w:name="_Toc485728125"/>
      <w:r>
        <w:t xml:space="preserve">Table </w:t>
      </w:r>
      <w:r w:rsidR="00DC52E0">
        <w:fldChar w:fldCharType="begin"/>
      </w:r>
      <w:r>
        <w:instrText xml:space="preserve"> SEQ Table \* ARABIC </w:instrText>
      </w:r>
      <w:r w:rsidR="00DC52E0">
        <w:fldChar w:fldCharType="separate"/>
      </w:r>
      <w:r w:rsidR="004A1330">
        <w:rPr>
          <w:noProof/>
        </w:rPr>
        <w:t>17</w:t>
      </w:r>
      <w:r w:rsidR="00DC52E0">
        <w:fldChar w:fldCharType="end"/>
      </w:r>
      <w:r w:rsidR="00FE79D1">
        <w:t>: Natural gas leakage</w:t>
      </w:r>
      <w:r w:rsidR="00010E2E">
        <w:t xml:space="preserve"> factors</w:t>
      </w:r>
      <w:bookmarkEnd w:id="78"/>
      <w:bookmarkEnd w:id="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9"/>
        <w:gridCol w:w="2105"/>
        <w:gridCol w:w="2075"/>
        <w:gridCol w:w="2020"/>
      </w:tblGrid>
      <w:tr w:rsidR="00C42F1B" w14:paraId="221B0C37" w14:textId="77777777" w:rsidTr="00C42F1B">
        <w:trPr>
          <w:cantSplit/>
        </w:trPr>
        <w:tc>
          <w:tcPr>
            <w:tcW w:w="2049" w:type="dxa"/>
            <w:vMerge w:val="restart"/>
            <w:shd w:val="pct15" w:color="auto" w:fill="auto"/>
            <w:vAlign w:val="center"/>
          </w:tcPr>
          <w:p w14:paraId="3BC3BD64" w14:textId="77777777" w:rsidR="00C42F1B" w:rsidRDefault="00C42F1B" w:rsidP="00DD4FF2">
            <w:pPr>
              <w:pStyle w:val="Table"/>
              <w:jc w:val="center"/>
              <w:rPr>
                <w:b/>
                <w:bCs/>
              </w:rPr>
            </w:pPr>
            <w:r>
              <w:rPr>
                <w:b/>
                <w:bCs/>
              </w:rPr>
              <w:t>State</w:t>
            </w:r>
          </w:p>
        </w:tc>
        <w:tc>
          <w:tcPr>
            <w:tcW w:w="2143" w:type="dxa"/>
            <w:shd w:val="pct15" w:color="auto" w:fill="auto"/>
            <w:vAlign w:val="center"/>
          </w:tcPr>
          <w:p w14:paraId="5F4583E3" w14:textId="77777777" w:rsidR="00C42F1B" w:rsidRDefault="00C42F1B" w:rsidP="00DD4FF2">
            <w:pPr>
              <w:pStyle w:val="TableCentre"/>
              <w:rPr>
                <w:b/>
                <w:bCs/>
              </w:rPr>
            </w:pPr>
            <w:r>
              <w:rPr>
                <w:b/>
                <w:bCs/>
              </w:rPr>
              <w:t xml:space="preserve">Unaccounted for gas </w:t>
            </w:r>
            <w:r>
              <w:rPr>
                <w:b/>
                <w:bCs/>
                <w:i/>
              </w:rPr>
              <w:t>(%UAG)</w:t>
            </w:r>
          </w:p>
        </w:tc>
        <w:tc>
          <w:tcPr>
            <w:tcW w:w="4223" w:type="dxa"/>
            <w:gridSpan w:val="2"/>
            <w:shd w:val="pct15" w:color="auto" w:fill="auto"/>
            <w:vAlign w:val="center"/>
          </w:tcPr>
          <w:p w14:paraId="08E17E26" w14:textId="77777777" w:rsidR="00C42F1B" w:rsidRDefault="00C42F1B" w:rsidP="00C42F1B">
            <w:pPr>
              <w:pStyle w:val="TableCentre"/>
              <w:spacing w:before="0"/>
              <w:rPr>
                <w:b/>
                <w:bCs/>
              </w:rPr>
            </w:pPr>
            <w:r>
              <w:rPr>
                <w:b/>
                <w:bCs/>
              </w:rPr>
              <w:t>Natural gas composition factor (tonnes CO</w:t>
            </w:r>
            <w:r>
              <w:rPr>
                <w:rStyle w:val="Subscript"/>
                <w:b/>
                <w:bCs/>
              </w:rPr>
              <w:t>2</w:t>
            </w:r>
            <w:r>
              <w:rPr>
                <w:b/>
                <w:bCs/>
              </w:rPr>
              <w:t>-e/TJ)</w:t>
            </w:r>
          </w:p>
          <w:p w14:paraId="4DB133BF" w14:textId="77777777" w:rsidR="00C42F1B" w:rsidRDefault="00C42F1B" w:rsidP="00DD4FF2">
            <w:pPr>
              <w:pStyle w:val="TableCentre"/>
              <w:rPr>
                <w:b/>
                <w:bCs/>
                <w:i/>
              </w:rPr>
            </w:pPr>
            <w:r>
              <w:rPr>
                <w:b/>
                <w:bCs/>
                <w:i/>
              </w:rPr>
              <w:t>(C)</w:t>
            </w:r>
          </w:p>
        </w:tc>
      </w:tr>
      <w:tr w:rsidR="00C42F1B" w14:paraId="694E0C06" w14:textId="77777777" w:rsidTr="00C42F1B">
        <w:trPr>
          <w:cantSplit/>
        </w:trPr>
        <w:tc>
          <w:tcPr>
            <w:tcW w:w="2049" w:type="dxa"/>
            <w:vMerge/>
            <w:shd w:val="pct15" w:color="auto" w:fill="auto"/>
          </w:tcPr>
          <w:p w14:paraId="02B06E0E" w14:textId="77777777" w:rsidR="00C42F1B" w:rsidRDefault="00C42F1B">
            <w:pPr>
              <w:pStyle w:val="Table"/>
              <w:rPr>
                <w:b/>
                <w:bCs/>
              </w:rPr>
            </w:pPr>
          </w:p>
        </w:tc>
        <w:tc>
          <w:tcPr>
            <w:tcW w:w="2143" w:type="dxa"/>
            <w:shd w:val="pct15" w:color="auto" w:fill="auto"/>
          </w:tcPr>
          <w:p w14:paraId="457ABAEB" w14:textId="77777777" w:rsidR="00C42F1B" w:rsidRDefault="00C42F1B">
            <w:pPr>
              <w:pStyle w:val="TableCentre"/>
              <w:rPr>
                <w:b/>
                <w:bCs/>
              </w:rPr>
            </w:pPr>
            <w:r>
              <w:rPr>
                <w:b/>
                <w:bCs/>
              </w:rPr>
              <w:t>UAG</w:t>
            </w:r>
          </w:p>
        </w:tc>
        <w:tc>
          <w:tcPr>
            <w:tcW w:w="2139" w:type="dxa"/>
            <w:shd w:val="pct15" w:color="auto" w:fill="auto"/>
          </w:tcPr>
          <w:p w14:paraId="1061AD2E" w14:textId="77777777" w:rsidR="00C42F1B" w:rsidRDefault="00C42F1B">
            <w:pPr>
              <w:pStyle w:val="TableCentre"/>
              <w:rPr>
                <w:b/>
                <w:bCs/>
              </w:rPr>
            </w:pPr>
            <w:r>
              <w:rPr>
                <w:b/>
                <w:bCs/>
              </w:rPr>
              <w:t>CO</w:t>
            </w:r>
            <w:r>
              <w:rPr>
                <w:rStyle w:val="Subscript"/>
                <w:b/>
                <w:bCs/>
              </w:rPr>
              <w:t>2</w:t>
            </w:r>
          </w:p>
        </w:tc>
        <w:tc>
          <w:tcPr>
            <w:tcW w:w="2084" w:type="dxa"/>
            <w:shd w:val="pct15" w:color="auto" w:fill="auto"/>
          </w:tcPr>
          <w:p w14:paraId="0E3D8618" w14:textId="77777777" w:rsidR="00C42F1B" w:rsidRDefault="00C42F1B">
            <w:pPr>
              <w:pStyle w:val="TableCentre"/>
              <w:rPr>
                <w:b/>
                <w:bCs/>
              </w:rPr>
            </w:pPr>
            <w:r>
              <w:rPr>
                <w:b/>
                <w:bCs/>
              </w:rPr>
              <w:t>CH</w:t>
            </w:r>
            <w:r>
              <w:rPr>
                <w:rStyle w:val="Subscript"/>
                <w:b/>
                <w:bCs/>
              </w:rPr>
              <w:t>4</w:t>
            </w:r>
          </w:p>
        </w:tc>
      </w:tr>
      <w:tr w:rsidR="003776D9" w14:paraId="1B9DEB12" w14:textId="77777777" w:rsidTr="00C42F1B">
        <w:tc>
          <w:tcPr>
            <w:tcW w:w="2049" w:type="dxa"/>
          </w:tcPr>
          <w:p w14:paraId="7230430E" w14:textId="77777777" w:rsidR="003776D9" w:rsidRDefault="003776D9">
            <w:pPr>
              <w:pStyle w:val="Table"/>
            </w:pPr>
            <w:r>
              <w:t>NSW and ACT</w:t>
            </w:r>
          </w:p>
        </w:tc>
        <w:tc>
          <w:tcPr>
            <w:tcW w:w="2143" w:type="dxa"/>
          </w:tcPr>
          <w:p w14:paraId="40895A1C" w14:textId="77777777" w:rsidR="003776D9" w:rsidRDefault="003776D9" w:rsidP="007F78E8">
            <w:pPr>
              <w:pStyle w:val="TableCentre"/>
            </w:pPr>
            <w:r>
              <w:t>2.2</w:t>
            </w:r>
          </w:p>
        </w:tc>
        <w:tc>
          <w:tcPr>
            <w:tcW w:w="2139" w:type="dxa"/>
          </w:tcPr>
          <w:p w14:paraId="7052BEE8" w14:textId="77777777" w:rsidR="003776D9" w:rsidRDefault="003776D9" w:rsidP="007F78E8">
            <w:pPr>
              <w:pStyle w:val="TableCentre"/>
            </w:pPr>
            <w:r>
              <w:t>0.8</w:t>
            </w:r>
          </w:p>
        </w:tc>
        <w:tc>
          <w:tcPr>
            <w:tcW w:w="2084" w:type="dxa"/>
          </w:tcPr>
          <w:p w14:paraId="3172C936" w14:textId="77777777" w:rsidR="003776D9" w:rsidRDefault="003776D9" w:rsidP="007F78E8">
            <w:pPr>
              <w:pStyle w:val="TableCentre"/>
            </w:pPr>
            <w:r>
              <w:t>390</w:t>
            </w:r>
          </w:p>
        </w:tc>
      </w:tr>
      <w:tr w:rsidR="003776D9" w14:paraId="2B65519E" w14:textId="77777777" w:rsidTr="00C42F1B">
        <w:tc>
          <w:tcPr>
            <w:tcW w:w="2049" w:type="dxa"/>
          </w:tcPr>
          <w:p w14:paraId="144FCBD6" w14:textId="77777777" w:rsidR="003776D9" w:rsidRDefault="003776D9">
            <w:pPr>
              <w:pStyle w:val="Table"/>
            </w:pPr>
            <w:r>
              <w:t>VIC</w:t>
            </w:r>
          </w:p>
        </w:tc>
        <w:tc>
          <w:tcPr>
            <w:tcW w:w="2143" w:type="dxa"/>
          </w:tcPr>
          <w:p w14:paraId="544B905B" w14:textId="77777777" w:rsidR="003776D9" w:rsidRDefault="003776D9" w:rsidP="007F78E8">
            <w:pPr>
              <w:pStyle w:val="TableCentre"/>
            </w:pPr>
            <w:r>
              <w:t>3.0</w:t>
            </w:r>
          </w:p>
        </w:tc>
        <w:tc>
          <w:tcPr>
            <w:tcW w:w="2139" w:type="dxa"/>
          </w:tcPr>
          <w:p w14:paraId="71EDD510" w14:textId="77777777" w:rsidR="003776D9" w:rsidRDefault="003776D9" w:rsidP="007F78E8">
            <w:pPr>
              <w:pStyle w:val="TableCentre"/>
            </w:pPr>
            <w:r>
              <w:t>0.9</w:t>
            </w:r>
          </w:p>
        </w:tc>
        <w:tc>
          <w:tcPr>
            <w:tcW w:w="2084" w:type="dxa"/>
          </w:tcPr>
          <w:p w14:paraId="4C13B721" w14:textId="77777777" w:rsidR="003776D9" w:rsidRDefault="003776D9" w:rsidP="007F78E8">
            <w:pPr>
              <w:pStyle w:val="TableCentre"/>
            </w:pPr>
            <w:r>
              <w:t>388</w:t>
            </w:r>
          </w:p>
        </w:tc>
      </w:tr>
      <w:tr w:rsidR="003776D9" w14:paraId="1BBFD9E0" w14:textId="77777777" w:rsidTr="00C42F1B">
        <w:tc>
          <w:tcPr>
            <w:tcW w:w="2049" w:type="dxa"/>
          </w:tcPr>
          <w:p w14:paraId="68F8F210" w14:textId="77777777" w:rsidR="003776D9" w:rsidRDefault="003776D9">
            <w:pPr>
              <w:pStyle w:val="Table"/>
            </w:pPr>
            <w:r>
              <w:t>QLD</w:t>
            </w:r>
          </w:p>
        </w:tc>
        <w:tc>
          <w:tcPr>
            <w:tcW w:w="2143" w:type="dxa"/>
          </w:tcPr>
          <w:p w14:paraId="316B3D95" w14:textId="77777777" w:rsidR="003776D9" w:rsidRDefault="003776D9" w:rsidP="007F78E8">
            <w:pPr>
              <w:pStyle w:val="TableCentre"/>
            </w:pPr>
            <w:r>
              <w:t>1.7</w:t>
            </w:r>
          </w:p>
        </w:tc>
        <w:tc>
          <w:tcPr>
            <w:tcW w:w="2139" w:type="dxa"/>
          </w:tcPr>
          <w:p w14:paraId="7A265AF0" w14:textId="77777777" w:rsidR="003776D9" w:rsidRDefault="003776D9" w:rsidP="007F78E8">
            <w:pPr>
              <w:pStyle w:val="TableCentre"/>
            </w:pPr>
            <w:r>
              <w:t>0.8</w:t>
            </w:r>
          </w:p>
        </w:tc>
        <w:tc>
          <w:tcPr>
            <w:tcW w:w="2084" w:type="dxa"/>
          </w:tcPr>
          <w:p w14:paraId="2C7B92EA" w14:textId="77777777" w:rsidR="003776D9" w:rsidRDefault="003776D9" w:rsidP="007F78E8">
            <w:pPr>
              <w:pStyle w:val="TableCentre"/>
            </w:pPr>
            <w:r>
              <w:t>377</w:t>
            </w:r>
          </w:p>
        </w:tc>
      </w:tr>
      <w:tr w:rsidR="003776D9" w14:paraId="3A90E795" w14:textId="77777777" w:rsidTr="00C42F1B">
        <w:tc>
          <w:tcPr>
            <w:tcW w:w="2049" w:type="dxa"/>
          </w:tcPr>
          <w:p w14:paraId="2A162910" w14:textId="77777777" w:rsidR="003776D9" w:rsidRDefault="003776D9">
            <w:pPr>
              <w:pStyle w:val="Table"/>
            </w:pPr>
            <w:r>
              <w:t xml:space="preserve"> WA</w:t>
            </w:r>
          </w:p>
        </w:tc>
        <w:tc>
          <w:tcPr>
            <w:tcW w:w="2143" w:type="dxa"/>
          </w:tcPr>
          <w:p w14:paraId="2F32179E" w14:textId="77777777" w:rsidR="003776D9" w:rsidRDefault="003776D9" w:rsidP="007F78E8">
            <w:pPr>
              <w:pStyle w:val="TableCentre"/>
            </w:pPr>
            <w:r>
              <w:t>2.9</w:t>
            </w:r>
          </w:p>
        </w:tc>
        <w:tc>
          <w:tcPr>
            <w:tcW w:w="2139" w:type="dxa"/>
          </w:tcPr>
          <w:p w14:paraId="2FC0C2D8" w14:textId="77777777" w:rsidR="003776D9" w:rsidRDefault="003776D9" w:rsidP="007F78E8">
            <w:pPr>
              <w:pStyle w:val="TableCentre"/>
            </w:pPr>
            <w:r>
              <w:t>1.1</w:t>
            </w:r>
          </w:p>
        </w:tc>
        <w:tc>
          <w:tcPr>
            <w:tcW w:w="2084" w:type="dxa"/>
          </w:tcPr>
          <w:p w14:paraId="10FFA606" w14:textId="77777777" w:rsidR="003776D9" w:rsidRDefault="003776D9" w:rsidP="007F78E8">
            <w:pPr>
              <w:pStyle w:val="TableCentre"/>
            </w:pPr>
            <w:r>
              <w:t>364</w:t>
            </w:r>
          </w:p>
        </w:tc>
      </w:tr>
      <w:tr w:rsidR="003776D9" w14:paraId="536E6893" w14:textId="77777777" w:rsidTr="00C42F1B">
        <w:tc>
          <w:tcPr>
            <w:tcW w:w="2049" w:type="dxa"/>
          </w:tcPr>
          <w:p w14:paraId="641109D5" w14:textId="77777777" w:rsidR="003776D9" w:rsidRDefault="003776D9">
            <w:pPr>
              <w:pStyle w:val="Table"/>
            </w:pPr>
            <w:r>
              <w:t>SA</w:t>
            </w:r>
          </w:p>
        </w:tc>
        <w:tc>
          <w:tcPr>
            <w:tcW w:w="2143" w:type="dxa"/>
          </w:tcPr>
          <w:p w14:paraId="7CB30DE3" w14:textId="77777777" w:rsidR="003776D9" w:rsidRDefault="003776D9" w:rsidP="007F78E8">
            <w:pPr>
              <w:pStyle w:val="TableCentre"/>
            </w:pPr>
            <w:r>
              <w:t>4.9</w:t>
            </w:r>
          </w:p>
        </w:tc>
        <w:tc>
          <w:tcPr>
            <w:tcW w:w="2139" w:type="dxa"/>
          </w:tcPr>
          <w:p w14:paraId="7C28B1AD" w14:textId="77777777" w:rsidR="003776D9" w:rsidRDefault="003776D9" w:rsidP="007F78E8">
            <w:pPr>
              <w:pStyle w:val="TableCentre"/>
            </w:pPr>
            <w:r>
              <w:t>0.8</w:t>
            </w:r>
          </w:p>
        </w:tc>
        <w:tc>
          <w:tcPr>
            <w:tcW w:w="2084" w:type="dxa"/>
          </w:tcPr>
          <w:p w14:paraId="40352F8F" w14:textId="77777777" w:rsidR="003776D9" w:rsidRDefault="003776D9" w:rsidP="007F78E8">
            <w:pPr>
              <w:pStyle w:val="TableCentre"/>
            </w:pPr>
            <w:r>
              <w:t>390</w:t>
            </w:r>
          </w:p>
        </w:tc>
      </w:tr>
      <w:tr w:rsidR="003776D9" w14:paraId="2DFE70CD" w14:textId="77777777" w:rsidTr="00C42F1B">
        <w:tc>
          <w:tcPr>
            <w:tcW w:w="2049" w:type="dxa"/>
          </w:tcPr>
          <w:p w14:paraId="4DAEB142" w14:textId="77777777" w:rsidR="003776D9" w:rsidRDefault="003776D9">
            <w:pPr>
              <w:pStyle w:val="Table"/>
            </w:pPr>
            <w:r>
              <w:t>TAS</w:t>
            </w:r>
          </w:p>
        </w:tc>
        <w:tc>
          <w:tcPr>
            <w:tcW w:w="2143" w:type="dxa"/>
          </w:tcPr>
          <w:p w14:paraId="41D3135C" w14:textId="77777777" w:rsidR="003776D9" w:rsidRDefault="003776D9" w:rsidP="007F78E8">
            <w:pPr>
              <w:pStyle w:val="TableCentre"/>
            </w:pPr>
            <w:r>
              <w:t>0.2</w:t>
            </w:r>
          </w:p>
        </w:tc>
        <w:tc>
          <w:tcPr>
            <w:tcW w:w="2139" w:type="dxa"/>
          </w:tcPr>
          <w:p w14:paraId="599A76DA" w14:textId="77777777" w:rsidR="003776D9" w:rsidRDefault="003776D9" w:rsidP="007F78E8">
            <w:pPr>
              <w:pStyle w:val="TableCentre"/>
            </w:pPr>
            <w:r>
              <w:t>0.9</w:t>
            </w:r>
          </w:p>
        </w:tc>
        <w:tc>
          <w:tcPr>
            <w:tcW w:w="2084" w:type="dxa"/>
          </w:tcPr>
          <w:p w14:paraId="15CE7F83" w14:textId="77777777" w:rsidR="003776D9" w:rsidRDefault="003776D9" w:rsidP="007F78E8">
            <w:pPr>
              <w:pStyle w:val="TableCentre"/>
            </w:pPr>
            <w:r>
              <w:t>388</w:t>
            </w:r>
          </w:p>
        </w:tc>
      </w:tr>
      <w:tr w:rsidR="003776D9" w14:paraId="4FEF1EB0" w14:textId="77777777" w:rsidTr="00C42F1B">
        <w:tc>
          <w:tcPr>
            <w:tcW w:w="2049" w:type="dxa"/>
          </w:tcPr>
          <w:p w14:paraId="153A2265" w14:textId="77777777" w:rsidR="003776D9" w:rsidRDefault="003776D9">
            <w:pPr>
              <w:pStyle w:val="Table"/>
            </w:pPr>
            <w:r>
              <w:t xml:space="preserve"> NT</w:t>
            </w:r>
          </w:p>
        </w:tc>
        <w:tc>
          <w:tcPr>
            <w:tcW w:w="2143" w:type="dxa"/>
          </w:tcPr>
          <w:p w14:paraId="72463FD3" w14:textId="77777777" w:rsidR="003776D9" w:rsidRDefault="003776D9" w:rsidP="007F78E8">
            <w:pPr>
              <w:pStyle w:val="TableCentre"/>
            </w:pPr>
            <w:r>
              <w:t>2.2</w:t>
            </w:r>
          </w:p>
        </w:tc>
        <w:tc>
          <w:tcPr>
            <w:tcW w:w="2139" w:type="dxa"/>
          </w:tcPr>
          <w:p w14:paraId="0C0B7844" w14:textId="77777777" w:rsidR="003776D9" w:rsidRDefault="003776D9" w:rsidP="007F78E8">
            <w:pPr>
              <w:pStyle w:val="TableCentre"/>
            </w:pPr>
            <w:r>
              <w:t>0.0</w:t>
            </w:r>
          </w:p>
        </w:tc>
        <w:tc>
          <w:tcPr>
            <w:tcW w:w="2084" w:type="dxa"/>
          </w:tcPr>
          <w:p w14:paraId="2F1190DC" w14:textId="77777777" w:rsidR="003776D9" w:rsidRDefault="003776D9" w:rsidP="007F78E8">
            <w:pPr>
              <w:pStyle w:val="TableCentre"/>
            </w:pPr>
            <w:r>
              <w:t>314</w:t>
            </w:r>
          </w:p>
        </w:tc>
      </w:tr>
    </w:tbl>
    <w:p w14:paraId="23792CD1" w14:textId="77777777" w:rsidR="00010E2E" w:rsidRDefault="00010E2E">
      <w:pPr>
        <w:pStyle w:val="TableNote"/>
      </w:pPr>
      <w:r>
        <w:t xml:space="preserve">Source: National Greenhouse and Energy Reporting (Measurement) Determination </w:t>
      </w:r>
      <w:r w:rsidR="00FA3080">
        <w:t>2008</w:t>
      </w:r>
      <w:r>
        <w:t xml:space="preserve"> (Section 3.80)</w:t>
      </w:r>
      <w:r w:rsidR="00554938">
        <w:t>.</w:t>
      </w:r>
    </w:p>
    <w:p w14:paraId="7AB91075" w14:textId="77777777" w:rsidR="008942FB" w:rsidRDefault="008942FB">
      <w:pPr>
        <w:pStyle w:val="TableNote"/>
      </w:pPr>
    </w:p>
    <w:p w14:paraId="28B96419" w14:textId="77777777" w:rsidR="00010E2E" w:rsidRDefault="00DB323C" w:rsidP="00DB323C">
      <w:pPr>
        <w:pStyle w:val="Heading4"/>
        <w:numPr>
          <w:ilvl w:val="0"/>
          <w:numId w:val="0"/>
        </w:numPr>
        <w:rPr>
          <w:rFonts w:ascii="Arial" w:hAnsi="Arial"/>
          <w:bCs/>
          <w:i/>
          <w:u w:val="single"/>
        </w:rPr>
      </w:pPr>
      <w:bookmarkStart w:id="80" w:name="_Toc185914390"/>
      <w:r>
        <w:rPr>
          <w:rFonts w:ascii="Arial" w:hAnsi="Arial"/>
          <w:bCs/>
          <w:i/>
          <w:u w:val="single"/>
        </w:rPr>
        <w:t>2.4.2.9</w:t>
      </w:r>
      <w:r>
        <w:rPr>
          <w:rFonts w:ascii="Arial" w:hAnsi="Arial"/>
          <w:bCs/>
          <w:i/>
          <w:u w:val="single"/>
        </w:rPr>
        <w:tab/>
      </w:r>
      <w:r w:rsidR="00010E2E">
        <w:rPr>
          <w:rFonts w:ascii="Arial" w:hAnsi="Arial"/>
          <w:bCs/>
          <w:i/>
          <w:u w:val="single"/>
        </w:rPr>
        <w:t>Natural gas production and processing (emissions that are vented or flared)</w:t>
      </w:r>
    </w:p>
    <w:p w14:paraId="6B41D5D7" w14:textId="77777777" w:rsidR="00010E2E" w:rsidRDefault="00010E2E">
      <w:pPr>
        <w:pStyle w:val="BodyText"/>
      </w:pPr>
    </w:p>
    <w:p w14:paraId="57B5933D" w14:textId="73955225" w:rsidR="00010E2E" w:rsidRPr="001363EF" w:rsidRDefault="00010E2E" w:rsidP="008870C0">
      <w:pPr>
        <w:pStyle w:val="BodyText"/>
        <w:ind w:left="0"/>
        <w:rPr>
          <w:rFonts w:ascii="Arial" w:hAnsi="Arial"/>
          <w:bCs/>
          <w:i/>
          <w:u w:val="single"/>
        </w:rPr>
      </w:pPr>
      <w:r w:rsidRPr="001363EF">
        <w:rPr>
          <w:rFonts w:ascii="Arial" w:hAnsi="Arial"/>
          <w:bCs/>
          <w:i/>
          <w:u w:val="single"/>
        </w:rPr>
        <w:t xml:space="preserve">Natural </w:t>
      </w:r>
      <w:r w:rsidR="007C5A97" w:rsidRPr="001363EF">
        <w:rPr>
          <w:rFonts w:ascii="Arial" w:hAnsi="Arial"/>
          <w:bCs/>
          <w:i/>
          <w:u w:val="single"/>
        </w:rPr>
        <w:t>gas production</w:t>
      </w:r>
      <w:r w:rsidRPr="001363EF">
        <w:rPr>
          <w:rFonts w:ascii="Arial" w:hAnsi="Arial"/>
          <w:bCs/>
          <w:i/>
          <w:u w:val="single"/>
        </w:rPr>
        <w:t xml:space="preserve"> and </w:t>
      </w:r>
      <w:r w:rsidR="007C5A97" w:rsidRPr="001363EF">
        <w:rPr>
          <w:rFonts w:ascii="Arial" w:hAnsi="Arial"/>
          <w:bCs/>
          <w:i/>
          <w:u w:val="single"/>
        </w:rPr>
        <w:t>processing -</w:t>
      </w:r>
      <w:r w:rsidRPr="001363EF">
        <w:rPr>
          <w:rFonts w:ascii="Arial" w:hAnsi="Arial"/>
          <w:bCs/>
          <w:i/>
          <w:u w:val="single"/>
        </w:rPr>
        <w:t xml:space="preserve"> venting </w:t>
      </w:r>
    </w:p>
    <w:p w14:paraId="6BDE67FE" w14:textId="77777777" w:rsidR="001363EF" w:rsidRDefault="000B79B3">
      <w:pPr>
        <w:pStyle w:val="Text"/>
        <w:rPr>
          <w:rFonts w:ascii="Arial" w:hAnsi="Arial" w:cs="Arial"/>
        </w:rPr>
      </w:pPr>
      <w:r w:rsidRPr="000B79B3">
        <w:rPr>
          <w:rFonts w:ascii="Arial" w:hAnsi="Arial" w:cs="Arial"/>
        </w:rPr>
        <w:t>Venting refers to emissions that are the result of processes or equipment d</w:t>
      </w:r>
      <w:r w:rsidR="006B6B4C">
        <w:rPr>
          <w:rFonts w:ascii="Arial" w:hAnsi="Arial" w:cs="Arial"/>
        </w:rPr>
        <w:t xml:space="preserve">esign or operational practices. </w:t>
      </w:r>
      <w:r w:rsidRPr="000B79B3">
        <w:rPr>
          <w:rFonts w:ascii="Arial" w:hAnsi="Arial" w:cs="Arial"/>
        </w:rPr>
        <w:t>Venting at oil or gas processing facilities is mainly associated with the release of CO</w:t>
      </w:r>
      <w:r w:rsidRPr="000B79B3">
        <w:rPr>
          <w:rFonts w:ascii="Arial" w:hAnsi="Arial" w:cs="Arial"/>
          <w:vertAlign w:val="subscript"/>
        </w:rPr>
        <w:t>2</w:t>
      </w:r>
      <w:r w:rsidRPr="000B79B3">
        <w:rPr>
          <w:rFonts w:ascii="Arial" w:hAnsi="Arial" w:cs="Arial"/>
        </w:rPr>
        <w:t>, which is extracted from the raw gas stream in the course of gas processing. Because separation of the other components of the gas stream from the CO</w:t>
      </w:r>
      <w:r w:rsidRPr="004219A3">
        <w:rPr>
          <w:rFonts w:ascii="Arial" w:hAnsi="Arial" w:cs="Arial"/>
          <w:vertAlign w:val="subscript"/>
        </w:rPr>
        <w:t>2</w:t>
      </w:r>
      <w:r w:rsidRPr="000B79B3">
        <w:rPr>
          <w:rFonts w:ascii="Arial" w:hAnsi="Arial" w:cs="Arial"/>
        </w:rPr>
        <w:t xml:space="preserve"> is incomplete, the vented CO</w:t>
      </w:r>
      <w:r w:rsidRPr="000B79B3">
        <w:rPr>
          <w:rFonts w:ascii="Arial" w:hAnsi="Arial" w:cs="Arial"/>
          <w:vertAlign w:val="subscript"/>
        </w:rPr>
        <w:t>2</w:t>
      </w:r>
      <w:r w:rsidRPr="000B79B3">
        <w:rPr>
          <w:rFonts w:ascii="Arial" w:hAnsi="Arial" w:cs="Arial"/>
        </w:rPr>
        <w:t xml:space="preserve"> contains small quantities of methane.</w:t>
      </w:r>
    </w:p>
    <w:p w14:paraId="4E487D80" w14:textId="77777777" w:rsidR="00F94A77" w:rsidRDefault="00F94A77" w:rsidP="00916CB8">
      <w:pPr>
        <w:spacing w:line="312" w:lineRule="auto"/>
        <w:ind w:left="0"/>
        <w:rPr>
          <w:rFonts w:ascii="Arial" w:hAnsi="Arial"/>
        </w:rPr>
      </w:pPr>
    </w:p>
    <w:p w14:paraId="4E0365A6" w14:textId="77777777" w:rsidR="00916CB8" w:rsidRDefault="00916CB8" w:rsidP="00916CB8">
      <w:pPr>
        <w:spacing w:line="312" w:lineRule="auto"/>
        <w:ind w:left="0"/>
        <w:rPr>
          <w:rFonts w:ascii="Arial" w:hAnsi="Arial"/>
        </w:rPr>
      </w:pPr>
      <w:r>
        <w:rPr>
          <w:rFonts w:ascii="Arial" w:hAnsi="Arial"/>
        </w:rPr>
        <w:t>The API Compendium should be consulted in accordance with the list below for methodologies to estimate vented emissions for the respective emission processes:</w:t>
      </w:r>
    </w:p>
    <w:p w14:paraId="735F7C73" w14:textId="77777777" w:rsidR="00916CB8" w:rsidRPr="006248B3" w:rsidRDefault="00916CB8" w:rsidP="00916CB8">
      <w:pPr>
        <w:spacing w:line="312" w:lineRule="auto"/>
        <w:ind w:left="0"/>
        <w:rPr>
          <w:rFonts w:ascii="Arial" w:hAnsi="Arial"/>
        </w:rPr>
      </w:pPr>
      <w:r>
        <w:rPr>
          <w:rFonts w:ascii="Arial" w:hAnsi="Arial"/>
        </w:rPr>
        <w:t xml:space="preserve"> </w:t>
      </w:r>
    </w:p>
    <w:tbl>
      <w:tblPr>
        <w:tblW w:w="0" w:type="auto"/>
        <w:tblInd w:w="964" w:type="dxa"/>
        <w:tblLook w:val="04A0" w:firstRow="1" w:lastRow="0" w:firstColumn="1" w:lastColumn="0" w:noHBand="0" w:noVBand="1"/>
      </w:tblPr>
      <w:tblGrid>
        <w:gridCol w:w="681"/>
        <w:gridCol w:w="3566"/>
        <w:gridCol w:w="3096"/>
      </w:tblGrid>
      <w:tr w:rsidR="00916CB8" w:rsidRPr="000E686B" w14:paraId="0DDF6B09" w14:textId="77777777" w:rsidTr="00916CB8">
        <w:trPr>
          <w:tblHeader/>
        </w:trPr>
        <w:tc>
          <w:tcPr>
            <w:tcW w:w="704" w:type="dxa"/>
            <w:tcBorders>
              <w:bottom w:val="single" w:sz="4" w:space="0" w:color="auto"/>
            </w:tcBorders>
          </w:tcPr>
          <w:p w14:paraId="31363E3D" w14:textId="77777777" w:rsidR="00916CB8" w:rsidRPr="000E686B" w:rsidRDefault="00916CB8" w:rsidP="00916CB8">
            <w:pPr>
              <w:pStyle w:val="TableColHead"/>
              <w:rPr>
                <w:rFonts w:ascii="Times New Roman" w:hAnsi="Times New Roman"/>
                <w:color w:val="000000"/>
                <w:sz w:val="22"/>
                <w:szCs w:val="22"/>
              </w:rPr>
            </w:pPr>
          </w:p>
        </w:tc>
        <w:tc>
          <w:tcPr>
            <w:tcW w:w="3681" w:type="dxa"/>
            <w:tcBorders>
              <w:bottom w:val="single" w:sz="4" w:space="0" w:color="auto"/>
            </w:tcBorders>
          </w:tcPr>
          <w:p w14:paraId="08FE8ABF" w14:textId="77777777" w:rsidR="00916CB8" w:rsidRPr="000E686B" w:rsidRDefault="00916CB8" w:rsidP="00916CB8">
            <w:pPr>
              <w:pStyle w:val="TableColHead"/>
              <w:rPr>
                <w:rFonts w:ascii="Times New Roman" w:hAnsi="Times New Roman"/>
                <w:color w:val="000000"/>
                <w:sz w:val="22"/>
                <w:szCs w:val="22"/>
              </w:rPr>
            </w:pPr>
            <w:r w:rsidRPr="000E686B">
              <w:rPr>
                <w:rFonts w:ascii="Times New Roman" w:hAnsi="Times New Roman"/>
                <w:color w:val="000000"/>
                <w:sz w:val="22"/>
                <w:szCs w:val="22"/>
              </w:rPr>
              <w:t>Emission process</w:t>
            </w:r>
          </w:p>
        </w:tc>
        <w:tc>
          <w:tcPr>
            <w:tcW w:w="3173" w:type="dxa"/>
            <w:tcBorders>
              <w:bottom w:val="single" w:sz="4" w:space="0" w:color="auto"/>
            </w:tcBorders>
          </w:tcPr>
          <w:p w14:paraId="281D7A09" w14:textId="77777777" w:rsidR="00916CB8" w:rsidRPr="000E686B" w:rsidRDefault="00916CB8" w:rsidP="00916CB8">
            <w:pPr>
              <w:pStyle w:val="TableColHead"/>
              <w:rPr>
                <w:rFonts w:ascii="Times New Roman" w:hAnsi="Times New Roman"/>
                <w:color w:val="000000"/>
                <w:sz w:val="22"/>
                <w:szCs w:val="22"/>
              </w:rPr>
            </w:pPr>
            <w:r w:rsidRPr="000E686B">
              <w:rPr>
                <w:rFonts w:ascii="Times New Roman" w:hAnsi="Times New Roman"/>
                <w:color w:val="000000"/>
                <w:sz w:val="22"/>
                <w:szCs w:val="22"/>
              </w:rPr>
              <w:t>API Compendium section</w:t>
            </w:r>
          </w:p>
        </w:tc>
      </w:tr>
      <w:tr w:rsidR="00916CB8" w:rsidRPr="000E686B" w14:paraId="31397A26" w14:textId="77777777" w:rsidTr="00916CB8">
        <w:tc>
          <w:tcPr>
            <w:tcW w:w="704" w:type="dxa"/>
            <w:tcBorders>
              <w:top w:val="single" w:sz="4" w:space="0" w:color="auto"/>
            </w:tcBorders>
          </w:tcPr>
          <w:p w14:paraId="4F1A01D9" w14:textId="77777777" w:rsidR="00916CB8" w:rsidRPr="000E686B" w:rsidRDefault="00916CB8" w:rsidP="00916CB8">
            <w:pPr>
              <w:pStyle w:val="TableText1"/>
              <w:rPr>
                <w:color w:val="000000"/>
                <w:szCs w:val="22"/>
              </w:rPr>
            </w:pPr>
          </w:p>
        </w:tc>
        <w:tc>
          <w:tcPr>
            <w:tcW w:w="3681" w:type="dxa"/>
            <w:tcBorders>
              <w:top w:val="single" w:sz="4" w:space="0" w:color="auto"/>
            </w:tcBorders>
          </w:tcPr>
          <w:p w14:paraId="33C5C9E9"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Gas treatment processes</w:t>
            </w:r>
          </w:p>
        </w:tc>
        <w:tc>
          <w:tcPr>
            <w:tcW w:w="3173" w:type="dxa"/>
            <w:tcBorders>
              <w:top w:val="single" w:sz="4" w:space="0" w:color="auto"/>
            </w:tcBorders>
          </w:tcPr>
          <w:p w14:paraId="45DFAE96"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 5.1</w:t>
            </w:r>
          </w:p>
        </w:tc>
      </w:tr>
      <w:tr w:rsidR="00916CB8" w:rsidRPr="000E686B" w14:paraId="4C60B964" w14:textId="77777777" w:rsidTr="00916CB8">
        <w:tc>
          <w:tcPr>
            <w:tcW w:w="704" w:type="dxa"/>
          </w:tcPr>
          <w:p w14:paraId="050FCC7D" w14:textId="77777777" w:rsidR="00916CB8" w:rsidRPr="000E686B" w:rsidRDefault="00916CB8" w:rsidP="00916CB8">
            <w:pPr>
              <w:pStyle w:val="TableText1"/>
              <w:rPr>
                <w:color w:val="000000"/>
                <w:szCs w:val="22"/>
              </w:rPr>
            </w:pPr>
          </w:p>
        </w:tc>
        <w:tc>
          <w:tcPr>
            <w:tcW w:w="3681" w:type="dxa"/>
          </w:tcPr>
          <w:p w14:paraId="4A24923B"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Cold process vents</w:t>
            </w:r>
          </w:p>
        </w:tc>
        <w:tc>
          <w:tcPr>
            <w:tcW w:w="3173" w:type="dxa"/>
          </w:tcPr>
          <w:p w14:paraId="780AAB76"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 5.3</w:t>
            </w:r>
          </w:p>
        </w:tc>
      </w:tr>
      <w:tr w:rsidR="00916CB8" w:rsidRPr="000E686B" w14:paraId="4769E7D4" w14:textId="77777777" w:rsidTr="00916CB8">
        <w:tc>
          <w:tcPr>
            <w:tcW w:w="704" w:type="dxa"/>
          </w:tcPr>
          <w:p w14:paraId="35B4FDFB" w14:textId="77777777" w:rsidR="00916CB8" w:rsidRPr="000E686B" w:rsidRDefault="00916CB8" w:rsidP="00916CB8">
            <w:pPr>
              <w:pStyle w:val="TableText1"/>
              <w:rPr>
                <w:color w:val="000000"/>
                <w:szCs w:val="22"/>
              </w:rPr>
            </w:pPr>
          </w:p>
        </w:tc>
        <w:tc>
          <w:tcPr>
            <w:tcW w:w="3681" w:type="dxa"/>
          </w:tcPr>
          <w:p w14:paraId="7B80590D"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Natural gas blanketed tank emissions</w:t>
            </w:r>
          </w:p>
        </w:tc>
        <w:tc>
          <w:tcPr>
            <w:tcW w:w="3173" w:type="dxa"/>
          </w:tcPr>
          <w:p w14:paraId="05E543E2"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 5.4.4</w:t>
            </w:r>
          </w:p>
        </w:tc>
      </w:tr>
      <w:tr w:rsidR="00916CB8" w:rsidRPr="000E686B" w14:paraId="049651D7" w14:textId="77777777" w:rsidTr="00916CB8">
        <w:tc>
          <w:tcPr>
            <w:tcW w:w="704" w:type="dxa"/>
          </w:tcPr>
          <w:p w14:paraId="44EF88BB" w14:textId="77777777" w:rsidR="00916CB8" w:rsidRPr="000E686B" w:rsidRDefault="00916CB8" w:rsidP="00916CB8">
            <w:pPr>
              <w:pStyle w:val="TableText1"/>
              <w:rPr>
                <w:color w:val="000000"/>
                <w:szCs w:val="22"/>
              </w:rPr>
            </w:pPr>
          </w:p>
        </w:tc>
        <w:tc>
          <w:tcPr>
            <w:tcW w:w="3681" w:type="dxa"/>
          </w:tcPr>
          <w:p w14:paraId="345D4A2C"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Other venting sources  — gas driven pneumatic devices</w:t>
            </w:r>
          </w:p>
        </w:tc>
        <w:tc>
          <w:tcPr>
            <w:tcW w:w="3173" w:type="dxa"/>
          </w:tcPr>
          <w:p w14:paraId="79F34476"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 5.6.1</w:t>
            </w:r>
          </w:p>
        </w:tc>
      </w:tr>
      <w:tr w:rsidR="00916CB8" w:rsidRPr="000E686B" w14:paraId="0B023FBB" w14:textId="77777777" w:rsidTr="00916CB8">
        <w:tc>
          <w:tcPr>
            <w:tcW w:w="704" w:type="dxa"/>
          </w:tcPr>
          <w:p w14:paraId="15CE5909" w14:textId="77777777" w:rsidR="00916CB8" w:rsidRPr="000E686B" w:rsidRDefault="00916CB8" w:rsidP="00916CB8">
            <w:pPr>
              <w:pStyle w:val="TableText1"/>
              <w:rPr>
                <w:color w:val="000000"/>
                <w:szCs w:val="22"/>
              </w:rPr>
            </w:pPr>
          </w:p>
        </w:tc>
        <w:tc>
          <w:tcPr>
            <w:tcW w:w="3681" w:type="dxa"/>
          </w:tcPr>
          <w:p w14:paraId="283A5D07"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Other venting sources — gas driven chemical injection pumps</w:t>
            </w:r>
          </w:p>
        </w:tc>
        <w:tc>
          <w:tcPr>
            <w:tcW w:w="3173" w:type="dxa"/>
          </w:tcPr>
          <w:p w14:paraId="620F9634"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 5.6.2</w:t>
            </w:r>
          </w:p>
        </w:tc>
      </w:tr>
      <w:tr w:rsidR="00916CB8" w:rsidRPr="000E686B" w14:paraId="3B117A2B" w14:textId="77777777" w:rsidTr="00916CB8">
        <w:tc>
          <w:tcPr>
            <w:tcW w:w="704" w:type="dxa"/>
          </w:tcPr>
          <w:p w14:paraId="70539F8E" w14:textId="77777777" w:rsidR="00916CB8" w:rsidRPr="000E686B" w:rsidRDefault="00916CB8" w:rsidP="00916CB8">
            <w:pPr>
              <w:pStyle w:val="TableText1"/>
              <w:rPr>
                <w:color w:val="000000"/>
                <w:szCs w:val="22"/>
              </w:rPr>
            </w:pPr>
          </w:p>
        </w:tc>
        <w:tc>
          <w:tcPr>
            <w:tcW w:w="3681" w:type="dxa"/>
          </w:tcPr>
          <w:p w14:paraId="531CF462"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Other venting sources — coal seam exploratory drilling, well testing and mud degassing</w:t>
            </w:r>
          </w:p>
        </w:tc>
        <w:tc>
          <w:tcPr>
            <w:tcW w:w="3173" w:type="dxa"/>
          </w:tcPr>
          <w:p w14:paraId="18D83FBA"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 5.6.3 or 5.6.6</w:t>
            </w:r>
          </w:p>
        </w:tc>
      </w:tr>
      <w:tr w:rsidR="00916CB8" w:rsidRPr="000E686B" w14:paraId="3422C7CA" w14:textId="77777777" w:rsidTr="00916CB8">
        <w:tc>
          <w:tcPr>
            <w:tcW w:w="704" w:type="dxa"/>
          </w:tcPr>
          <w:p w14:paraId="288894EC" w14:textId="77777777" w:rsidR="00916CB8" w:rsidRPr="000E686B" w:rsidRDefault="00916CB8" w:rsidP="00916CB8">
            <w:pPr>
              <w:pStyle w:val="TableText1"/>
              <w:rPr>
                <w:color w:val="000000"/>
                <w:szCs w:val="22"/>
              </w:rPr>
            </w:pPr>
          </w:p>
        </w:tc>
        <w:tc>
          <w:tcPr>
            <w:tcW w:w="3681" w:type="dxa"/>
          </w:tcPr>
          <w:p w14:paraId="1AC5D849"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Non-routine activities —  production related non-routine emissions</w:t>
            </w:r>
          </w:p>
        </w:tc>
        <w:tc>
          <w:tcPr>
            <w:tcW w:w="3173" w:type="dxa"/>
          </w:tcPr>
          <w:p w14:paraId="330724FD"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Sections 5.7.1 or 5.7.2</w:t>
            </w:r>
          </w:p>
        </w:tc>
      </w:tr>
      <w:tr w:rsidR="00916CB8" w:rsidRPr="000E686B" w14:paraId="09C180EE" w14:textId="77777777" w:rsidTr="00916CB8">
        <w:tc>
          <w:tcPr>
            <w:tcW w:w="704" w:type="dxa"/>
            <w:tcBorders>
              <w:bottom w:val="single" w:sz="4" w:space="0" w:color="auto"/>
            </w:tcBorders>
          </w:tcPr>
          <w:p w14:paraId="35576DF8" w14:textId="77777777" w:rsidR="00916CB8" w:rsidRPr="000E686B" w:rsidRDefault="00916CB8" w:rsidP="00916CB8">
            <w:pPr>
              <w:pStyle w:val="TableText1"/>
              <w:rPr>
                <w:color w:val="000000"/>
                <w:szCs w:val="22"/>
              </w:rPr>
            </w:pPr>
          </w:p>
        </w:tc>
        <w:tc>
          <w:tcPr>
            <w:tcW w:w="3681" w:type="dxa"/>
            <w:tcBorders>
              <w:bottom w:val="single" w:sz="4" w:space="0" w:color="auto"/>
            </w:tcBorders>
          </w:tcPr>
          <w:p w14:paraId="762297E9"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Non-routine activities —  gas processing related non-routine emissions</w:t>
            </w:r>
          </w:p>
        </w:tc>
        <w:tc>
          <w:tcPr>
            <w:tcW w:w="3173" w:type="dxa"/>
            <w:tcBorders>
              <w:bottom w:val="single" w:sz="4" w:space="0" w:color="auto"/>
            </w:tcBorders>
          </w:tcPr>
          <w:p w14:paraId="282AB72A" w14:textId="77777777" w:rsidR="00916CB8" w:rsidRPr="00F31DAA" w:rsidRDefault="00B80F09" w:rsidP="00916CB8">
            <w:pPr>
              <w:pStyle w:val="TableText1"/>
              <w:keepNext/>
              <w:keepLines/>
              <w:numPr>
                <w:ilvl w:val="0"/>
                <w:numId w:val="2"/>
              </w:numPr>
              <w:shd w:val="pct10" w:color="auto" w:fill="auto"/>
              <w:ind w:left="0"/>
              <w:outlineLvl w:val="0"/>
              <w:rPr>
                <w:color w:val="000000"/>
                <w:sz w:val="20"/>
                <w:szCs w:val="20"/>
              </w:rPr>
            </w:pPr>
            <w:r w:rsidRPr="00B80F09">
              <w:rPr>
                <w:color w:val="000000"/>
                <w:sz w:val="20"/>
                <w:szCs w:val="20"/>
              </w:rPr>
              <w:t>Sections 5.7.1 or 5.7.3</w:t>
            </w:r>
          </w:p>
        </w:tc>
      </w:tr>
    </w:tbl>
    <w:p w14:paraId="5F7BE68D" w14:textId="77777777" w:rsidR="001363EF" w:rsidRDefault="00916CB8" w:rsidP="005733F6">
      <w:pPr>
        <w:spacing w:line="312" w:lineRule="auto"/>
        <w:ind w:left="0"/>
        <w:rPr>
          <w:rFonts w:ascii="Arial" w:hAnsi="Arial"/>
        </w:rPr>
      </w:pPr>
      <w:r w:rsidRPr="006248B3">
        <w:rPr>
          <w:rFonts w:ascii="Arial" w:hAnsi="Arial"/>
        </w:rPr>
        <w:t>.</w:t>
      </w:r>
    </w:p>
    <w:p w14:paraId="2F48A2FD" w14:textId="77777777" w:rsidR="005733F6" w:rsidRDefault="005733F6" w:rsidP="005733F6">
      <w:pPr>
        <w:spacing w:line="312" w:lineRule="auto"/>
        <w:ind w:left="0"/>
      </w:pPr>
    </w:p>
    <w:p w14:paraId="10A18FBE" w14:textId="77777777" w:rsidR="00010E2E" w:rsidRPr="001363EF" w:rsidRDefault="00010E2E" w:rsidP="008870C0">
      <w:pPr>
        <w:pStyle w:val="BodyText"/>
        <w:ind w:left="0"/>
        <w:rPr>
          <w:rFonts w:ascii="Arial" w:hAnsi="Arial"/>
          <w:bCs/>
          <w:i/>
          <w:u w:val="single"/>
        </w:rPr>
      </w:pPr>
      <w:r w:rsidRPr="001363EF">
        <w:rPr>
          <w:rFonts w:ascii="Arial" w:hAnsi="Arial"/>
          <w:bCs/>
          <w:i/>
          <w:u w:val="single"/>
        </w:rPr>
        <w:t xml:space="preserve">Natural </w:t>
      </w:r>
      <w:r w:rsidR="00E811AD" w:rsidRPr="001363EF">
        <w:rPr>
          <w:rFonts w:ascii="Arial" w:hAnsi="Arial"/>
          <w:bCs/>
          <w:i/>
          <w:u w:val="single"/>
        </w:rPr>
        <w:t>gas production</w:t>
      </w:r>
      <w:r w:rsidRPr="001363EF">
        <w:rPr>
          <w:rFonts w:ascii="Arial" w:hAnsi="Arial"/>
          <w:bCs/>
          <w:i/>
          <w:u w:val="single"/>
        </w:rPr>
        <w:t xml:space="preserve"> and processing  – flaring</w:t>
      </w:r>
    </w:p>
    <w:p w14:paraId="2114189C" w14:textId="77777777" w:rsidR="00010E2E" w:rsidRDefault="00010E2E">
      <w:pPr>
        <w:spacing w:before="120" w:line="312" w:lineRule="auto"/>
        <w:ind w:left="0"/>
        <w:rPr>
          <w:rFonts w:ascii="Arial" w:hAnsi="Arial"/>
        </w:rPr>
      </w:pPr>
      <w:r>
        <w:rPr>
          <w:rFonts w:ascii="Arial" w:hAnsi="Arial"/>
        </w:rPr>
        <w:t>Flaring refers to the controlled release to combustion of a mixed flammable gas stream. At gas processing plants, flared gas may arise from natural gas processing. Where there is no market for gas separated from the wellhead production stream, the gas is reinjected or flared.</w:t>
      </w:r>
    </w:p>
    <w:p w14:paraId="1B00CF13" w14:textId="77777777" w:rsidR="00010E2E" w:rsidRDefault="00010E2E">
      <w:pPr>
        <w:spacing w:before="120" w:line="312" w:lineRule="auto"/>
        <w:ind w:left="0"/>
        <w:rPr>
          <w:rFonts w:ascii="Arial" w:hAnsi="Arial"/>
        </w:rPr>
      </w:pPr>
      <w:r>
        <w:rPr>
          <w:rFonts w:ascii="Arial" w:hAnsi="Arial"/>
        </w:rPr>
        <w:t>This subsector does not include flaring from petroleum refining activities, which should be reported separately under 1.B.2a.iv Crude Oil refining and storage.</w:t>
      </w:r>
    </w:p>
    <w:p w14:paraId="0914BA70" w14:textId="77777777" w:rsidR="00010E2E" w:rsidRDefault="00CA4FB8">
      <w:pPr>
        <w:pStyle w:val="Formula"/>
      </w:pPr>
      <w:r>
        <w:rPr>
          <w:position w:val="-16"/>
        </w:rPr>
        <w:pict w14:anchorId="5CD2018B">
          <v:shape id="_x0000_i1036" type="#_x0000_t75" style="width:80.25pt;height:19.5pt">
            <v:imagedata r:id="rId38" o:title=""/>
          </v:shape>
        </w:pict>
      </w:r>
    </w:p>
    <w:p w14:paraId="7B410671" w14:textId="77777777" w:rsidR="00010E2E" w:rsidRPr="008870C0" w:rsidRDefault="00010E2E">
      <w:pPr>
        <w:pStyle w:val="Rc"/>
        <w:ind w:left="0" w:firstLine="360"/>
        <w:rPr>
          <w:rStyle w:val="EquationNoteChar"/>
          <w:rFonts w:ascii="Times New Roman" w:hAnsi="Times New Roman" w:cs="Times New Roman"/>
          <w:sz w:val="22"/>
          <w:szCs w:val="22"/>
        </w:rPr>
      </w:pPr>
      <w:r w:rsidRPr="008870C0">
        <w:rPr>
          <w:rStyle w:val="EquationNoteChar"/>
          <w:rFonts w:ascii="Times New Roman" w:hAnsi="Times New Roman" w:cs="Times New Roman"/>
          <w:sz w:val="22"/>
          <w:szCs w:val="22"/>
        </w:rPr>
        <w:t>where:</w:t>
      </w:r>
    </w:p>
    <w:p w14:paraId="08A12041" w14:textId="77777777" w:rsidR="00010E2E" w:rsidRPr="008870C0" w:rsidRDefault="00010E2E">
      <w:pPr>
        <w:pStyle w:val="definition"/>
        <w:ind w:left="720"/>
        <w:rPr>
          <w:sz w:val="22"/>
          <w:szCs w:val="22"/>
        </w:rPr>
      </w:pPr>
      <w:r w:rsidRPr="008870C0">
        <w:rPr>
          <w:b/>
          <w:i/>
          <w:sz w:val="22"/>
          <w:szCs w:val="22"/>
        </w:rPr>
        <w:t>E</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emissions of gas type (j) from a fuel type (i) flared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tonnes)</w:t>
      </w:r>
    </w:p>
    <w:p w14:paraId="285F1330" w14:textId="77777777" w:rsidR="00010E2E" w:rsidRPr="008870C0" w:rsidRDefault="00010E2E">
      <w:pPr>
        <w:pStyle w:val="definition"/>
        <w:ind w:left="720"/>
        <w:rPr>
          <w:sz w:val="22"/>
          <w:szCs w:val="22"/>
        </w:rPr>
      </w:pPr>
      <w:r w:rsidRPr="008870C0">
        <w:rPr>
          <w:b/>
          <w:i/>
          <w:sz w:val="22"/>
          <w:szCs w:val="22"/>
        </w:rPr>
        <w:t>Q</w:t>
      </w:r>
      <w:r w:rsidRPr="008870C0">
        <w:rPr>
          <w:b/>
          <w:i/>
          <w:sz w:val="22"/>
          <w:szCs w:val="22"/>
          <w:vertAlign w:val="subscript"/>
        </w:rPr>
        <w:t>i</w:t>
      </w:r>
      <w:r w:rsidRPr="008870C0">
        <w:rPr>
          <w:sz w:val="22"/>
          <w:szCs w:val="22"/>
        </w:rPr>
        <w:t xml:space="preserve"> </w:t>
      </w:r>
      <w:r w:rsidRPr="008870C0">
        <w:rPr>
          <w:rStyle w:val="EquationNoteChar"/>
          <w:rFonts w:ascii="Times New Roman" w:hAnsi="Times New Roman" w:cs="Times New Roman"/>
          <w:sz w:val="22"/>
          <w:szCs w:val="22"/>
        </w:rPr>
        <w:t>is the quantity measured in tonnes of gas flared.</w:t>
      </w:r>
    </w:p>
    <w:p w14:paraId="626FED68" w14:textId="77777777" w:rsidR="00010E2E" w:rsidRPr="008870C0" w:rsidRDefault="00010E2E">
      <w:pPr>
        <w:pStyle w:val="definition"/>
        <w:ind w:left="720"/>
        <w:rPr>
          <w:i/>
          <w:sz w:val="22"/>
          <w:szCs w:val="22"/>
        </w:rPr>
      </w:pPr>
      <w:r w:rsidRPr="008870C0">
        <w:rPr>
          <w:b/>
          <w:i/>
          <w:sz w:val="22"/>
          <w:szCs w:val="22"/>
        </w:rPr>
        <w:t>EF</w:t>
      </w:r>
      <w:r w:rsidRPr="008870C0">
        <w:rPr>
          <w:b/>
          <w:i/>
          <w:sz w:val="22"/>
          <w:szCs w:val="22"/>
          <w:vertAlign w:val="subscript"/>
        </w:rPr>
        <w:t>ij</w:t>
      </w:r>
      <w:r w:rsidRPr="008870C0">
        <w:rPr>
          <w:sz w:val="22"/>
          <w:szCs w:val="22"/>
        </w:rPr>
        <w:t xml:space="preserve"> </w:t>
      </w:r>
      <w:r w:rsidRPr="008870C0">
        <w:rPr>
          <w:rStyle w:val="EquationNoteChar"/>
          <w:rFonts w:ascii="Times New Roman" w:hAnsi="Times New Roman" w:cs="Times New Roman"/>
          <w:sz w:val="22"/>
          <w:szCs w:val="22"/>
        </w:rPr>
        <w:t>is the emission factor for gas type (j</w:t>
      </w:r>
      <w:r w:rsidR="00E811AD" w:rsidRPr="008870C0">
        <w:rPr>
          <w:rStyle w:val="EquationNoteChar"/>
          <w:rFonts w:ascii="Times New Roman" w:hAnsi="Times New Roman" w:cs="Times New Roman"/>
          <w:sz w:val="22"/>
          <w:szCs w:val="22"/>
        </w:rPr>
        <w:t>) for</w:t>
      </w:r>
      <w:r w:rsidRPr="008870C0">
        <w:rPr>
          <w:rStyle w:val="EquationNoteChar"/>
          <w:rFonts w:ascii="Times New Roman" w:hAnsi="Times New Roman" w:cs="Times New Roman"/>
          <w:sz w:val="22"/>
          <w:szCs w:val="22"/>
        </w:rPr>
        <w:t xml:space="preserve"> fuel type (i) flared (tonnes of CO</w:t>
      </w:r>
      <w:r w:rsidRPr="008870C0">
        <w:rPr>
          <w:rStyle w:val="EquationNoteChar"/>
          <w:rFonts w:ascii="Times New Roman" w:hAnsi="Times New Roman" w:cs="Times New Roman"/>
          <w:sz w:val="22"/>
          <w:szCs w:val="22"/>
          <w:vertAlign w:val="subscript"/>
        </w:rPr>
        <w:t>2</w:t>
      </w:r>
      <w:r w:rsidRPr="008870C0">
        <w:rPr>
          <w:rStyle w:val="EquationNoteChar"/>
          <w:rFonts w:ascii="Times New Roman" w:hAnsi="Times New Roman" w:cs="Times New Roman"/>
          <w:sz w:val="22"/>
          <w:szCs w:val="22"/>
        </w:rPr>
        <w:noBreakHyphen/>
        <w:t>e per tonne of gas flared).</w:t>
      </w:r>
    </w:p>
    <w:p w14:paraId="7AF387DE" w14:textId="77777777" w:rsidR="00010E2E" w:rsidRDefault="00010E2E">
      <w:pPr>
        <w:pStyle w:val="BodyText"/>
        <w:ind w:left="0"/>
      </w:pPr>
    </w:p>
    <w:p w14:paraId="6BB04EB9" w14:textId="77777777" w:rsidR="00D76245" w:rsidRDefault="0081582C" w:rsidP="00C23E3B">
      <w:pPr>
        <w:pStyle w:val="Caption"/>
      </w:pPr>
      <w:bookmarkStart w:id="81" w:name="_Toc391646703"/>
      <w:bookmarkStart w:id="82" w:name="_Toc485728126"/>
      <w:bookmarkEnd w:id="80"/>
      <w:r>
        <w:t xml:space="preserve">Table </w:t>
      </w:r>
      <w:r w:rsidR="00DC52E0">
        <w:fldChar w:fldCharType="begin"/>
      </w:r>
      <w:r>
        <w:instrText xml:space="preserve"> SEQ Table \* ARABIC </w:instrText>
      </w:r>
      <w:r w:rsidR="00DC52E0">
        <w:fldChar w:fldCharType="separate"/>
      </w:r>
      <w:r w:rsidR="004A1330">
        <w:rPr>
          <w:noProof/>
        </w:rPr>
        <w:t>18</w:t>
      </w:r>
      <w:r w:rsidR="00DC52E0">
        <w:fldChar w:fldCharType="end"/>
      </w:r>
      <w:r w:rsidR="00010E2E">
        <w:t>: Flaring emission factors</w:t>
      </w:r>
      <w:bookmarkEnd w:id="81"/>
      <w:bookmarkEnd w:id="82"/>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2"/>
        <w:gridCol w:w="1897"/>
        <w:gridCol w:w="1985"/>
        <w:gridCol w:w="2551"/>
      </w:tblGrid>
      <w:tr w:rsidR="00010E2E" w14:paraId="063947B1" w14:textId="77777777" w:rsidTr="00DD4FF2">
        <w:trPr>
          <w:cantSplit/>
        </w:trPr>
        <w:tc>
          <w:tcPr>
            <w:tcW w:w="2072" w:type="dxa"/>
            <w:vMerge w:val="restart"/>
            <w:shd w:val="pct15" w:color="auto" w:fill="auto"/>
            <w:vAlign w:val="center"/>
          </w:tcPr>
          <w:p w14:paraId="65C911CE" w14:textId="77777777" w:rsidR="00010E2E" w:rsidRDefault="00010E2E" w:rsidP="00DD4FF2">
            <w:pPr>
              <w:pStyle w:val="Table"/>
              <w:jc w:val="center"/>
              <w:rPr>
                <w:b/>
                <w:bCs/>
              </w:rPr>
            </w:pPr>
            <w:r>
              <w:rPr>
                <w:b/>
                <w:bCs/>
              </w:rPr>
              <w:t>Operation or process source</w:t>
            </w:r>
          </w:p>
        </w:tc>
        <w:tc>
          <w:tcPr>
            <w:tcW w:w="6433" w:type="dxa"/>
            <w:gridSpan w:val="3"/>
            <w:shd w:val="pct15" w:color="auto" w:fill="auto"/>
            <w:vAlign w:val="center"/>
          </w:tcPr>
          <w:p w14:paraId="6DBCFCC0" w14:textId="77777777" w:rsidR="00010E2E" w:rsidRDefault="00010E2E" w:rsidP="00DD4FF2">
            <w:pPr>
              <w:pStyle w:val="TableCentre"/>
              <w:rPr>
                <w:b/>
                <w:bCs/>
              </w:rPr>
            </w:pPr>
            <w:r>
              <w:rPr>
                <w:b/>
                <w:bCs/>
              </w:rPr>
              <w:t>Emission factor (tonnes CO</w:t>
            </w:r>
            <w:r>
              <w:rPr>
                <w:rStyle w:val="Subscript"/>
                <w:b/>
                <w:bCs/>
              </w:rPr>
              <w:t>2</w:t>
            </w:r>
            <w:r>
              <w:rPr>
                <w:b/>
                <w:bCs/>
              </w:rPr>
              <w:t>-e/tonnes flared)</w:t>
            </w:r>
          </w:p>
        </w:tc>
      </w:tr>
      <w:tr w:rsidR="00010E2E" w14:paraId="2EFEC453" w14:textId="77777777" w:rsidTr="00DD4FF2">
        <w:trPr>
          <w:cantSplit/>
        </w:trPr>
        <w:tc>
          <w:tcPr>
            <w:tcW w:w="2072" w:type="dxa"/>
            <w:vMerge/>
            <w:shd w:val="pct15" w:color="auto" w:fill="auto"/>
            <w:vAlign w:val="center"/>
          </w:tcPr>
          <w:p w14:paraId="5E80012E" w14:textId="77777777" w:rsidR="00010E2E" w:rsidRDefault="00010E2E" w:rsidP="00DD4FF2">
            <w:pPr>
              <w:pStyle w:val="Table"/>
              <w:jc w:val="center"/>
              <w:rPr>
                <w:b/>
                <w:bCs/>
              </w:rPr>
            </w:pPr>
          </w:p>
        </w:tc>
        <w:tc>
          <w:tcPr>
            <w:tcW w:w="1897" w:type="dxa"/>
            <w:shd w:val="pct15" w:color="auto" w:fill="auto"/>
            <w:vAlign w:val="center"/>
          </w:tcPr>
          <w:p w14:paraId="6FBA1E2B" w14:textId="77777777" w:rsidR="00010E2E" w:rsidRDefault="00010E2E" w:rsidP="00DD4FF2">
            <w:pPr>
              <w:pStyle w:val="TableCentre"/>
              <w:rPr>
                <w:b/>
                <w:bCs/>
              </w:rPr>
            </w:pPr>
            <w:r>
              <w:rPr>
                <w:b/>
                <w:bCs/>
              </w:rPr>
              <w:t>CO</w:t>
            </w:r>
            <w:r>
              <w:rPr>
                <w:rStyle w:val="Subscript"/>
                <w:b/>
                <w:bCs/>
              </w:rPr>
              <w:t>2</w:t>
            </w:r>
          </w:p>
        </w:tc>
        <w:tc>
          <w:tcPr>
            <w:tcW w:w="1985" w:type="dxa"/>
            <w:shd w:val="pct15" w:color="auto" w:fill="auto"/>
            <w:vAlign w:val="center"/>
          </w:tcPr>
          <w:p w14:paraId="52245D5E" w14:textId="77777777" w:rsidR="00010E2E" w:rsidRDefault="00010E2E" w:rsidP="00DD4FF2">
            <w:pPr>
              <w:pStyle w:val="TableCentre"/>
              <w:rPr>
                <w:b/>
                <w:bCs/>
              </w:rPr>
            </w:pPr>
            <w:r>
              <w:rPr>
                <w:b/>
                <w:bCs/>
              </w:rPr>
              <w:t>CH</w:t>
            </w:r>
            <w:r>
              <w:rPr>
                <w:rStyle w:val="Subscript"/>
                <w:b/>
                <w:bCs/>
              </w:rPr>
              <w:t>4</w:t>
            </w:r>
          </w:p>
        </w:tc>
        <w:tc>
          <w:tcPr>
            <w:tcW w:w="2551" w:type="dxa"/>
            <w:shd w:val="pct15" w:color="auto" w:fill="auto"/>
          </w:tcPr>
          <w:p w14:paraId="581EC1D4" w14:textId="77777777" w:rsidR="00010E2E" w:rsidRDefault="00010E2E">
            <w:pPr>
              <w:pStyle w:val="TableCentre"/>
              <w:rPr>
                <w:b/>
                <w:bCs/>
              </w:rPr>
            </w:pPr>
            <w:r>
              <w:rPr>
                <w:b/>
                <w:bCs/>
              </w:rPr>
              <w:t>N</w:t>
            </w:r>
            <w:r>
              <w:rPr>
                <w:rStyle w:val="Subscript"/>
                <w:b/>
                <w:bCs/>
              </w:rPr>
              <w:t>2</w:t>
            </w:r>
            <w:r>
              <w:rPr>
                <w:b/>
                <w:bCs/>
              </w:rPr>
              <w:t>O</w:t>
            </w:r>
          </w:p>
        </w:tc>
      </w:tr>
      <w:tr w:rsidR="00010E2E" w14:paraId="0CAF0EF7" w14:textId="77777777" w:rsidTr="00DD4FF2">
        <w:tc>
          <w:tcPr>
            <w:tcW w:w="2072" w:type="dxa"/>
          </w:tcPr>
          <w:p w14:paraId="7EBE639D" w14:textId="77777777" w:rsidR="00010E2E" w:rsidRDefault="00010E2E">
            <w:pPr>
              <w:pStyle w:val="Table"/>
            </w:pPr>
            <w:r>
              <w:t>Gas flared</w:t>
            </w:r>
          </w:p>
        </w:tc>
        <w:tc>
          <w:tcPr>
            <w:tcW w:w="1897" w:type="dxa"/>
          </w:tcPr>
          <w:p w14:paraId="69007877" w14:textId="77777777" w:rsidR="00010E2E" w:rsidRDefault="00010E2E">
            <w:pPr>
              <w:pStyle w:val="TableCentre"/>
            </w:pPr>
            <w:r>
              <w:t>2.7</w:t>
            </w:r>
          </w:p>
        </w:tc>
        <w:tc>
          <w:tcPr>
            <w:tcW w:w="1985" w:type="dxa"/>
          </w:tcPr>
          <w:p w14:paraId="521A65F0" w14:textId="77777777" w:rsidR="00010E2E" w:rsidRDefault="00010E2E">
            <w:pPr>
              <w:pStyle w:val="TableCentre"/>
            </w:pPr>
            <w:r>
              <w:t>0.1</w:t>
            </w:r>
          </w:p>
        </w:tc>
        <w:tc>
          <w:tcPr>
            <w:tcW w:w="2551" w:type="dxa"/>
          </w:tcPr>
          <w:p w14:paraId="59C599ED" w14:textId="77777777" w:rsidR="00010E2E" w:rsidRDefault="00010E2E">
            <w:pPr>
              <w:pStyle w:val="TableCentre"/>
            </w:pPr>
            <w:r>
              <w:t>0.03</w:t>
            </w:r>
          </w:p>
        </w:tc>
      </w:tr>
    </w:tbl>
    <w:p w14:paraId="32DDC27E" w14:textId="77777777" w:rsidR="00010E2E" w:rsidRDefault="00010E2E">
      <w:pPr>
        <w:pStyle w:val="TableNote"/>
      </w:pPr>
      <w:r>
        <w:t xml:space="preserve">Source: National Greenhouse and Energy Reporting (Measurement) Determination </w:t>
      </w:r>
      <w:r w:rsidR="00FA3080">
        <w:t>2008</w:t>
      </w:r>
      <w:r>
        <w:t xml:space="preserve"> (Section 3.85)</w:t>
      </w:r>
    </w:p>
    <w:p w14:paraId="007B2E6C" w14:textId="77777777" w:rsidR="00010E2E" w:rsidRDefault="00010E2E">
      <w:pPr>
        <w:ind w:left="0"/>
        <w:rPr>
          <w:sz w:val="16"/>
          <w:szCs w:val="16"/>
        </w:rPr>
      </w:pPr>
    </w:p>
    <w:p w14:paraId="10B0A620" w14:textId="77777777" w:rsidR="008942FB" w:rsidRDefault="008942FB">
      <w:pPr>
        <w:ind w:left="0"/>
        <w:rPr>
          <w:sz w:val="16"/>
          <w:szCs w:val="16"/>
        </w:rPr>
      </w:pPr>
    </w:p>
    <w:p w14:paraId="63E1D8A4" w14:textId="77777777" w:rsidR="00010E2E" w:rsidRPr="001A472B" w:rsidRDefault="00010E2E" w:rsidP="001A472B">
      <w:pPr>
        <w:pStyle w:val="Heading1"/>
        <w:numPr>
          <w:ilvl w:val="0"/>
          <w:numId w:val="39"/>
        </w:numPr>
        <w:tabs>
          <w:tab w:val="left" w:pos="0"/>
          <w:tab w:val="left" w:pos="2250"/>
        </w:tabs>
        <w:spacing w:before="120" w:after="0" w:line="312" w:lineRule="auto"/>
        <w:rPr>
          <w:rFonts w:ascii="Arial" w:hAnsi="Arial" w:cs="Arial"/>
        </w:rPr>
      </w:pPr>
      <w:bookmarkStart w:id="83" w:name="_Toc391646678"/>
      <w:r w:rsidRPr="001A472B">
        <w:rPr>
          <w:rFonts w:ascii="Arial" w:hAnsi="Arial" w:cs="Arial"/>
        </w:rPr>
        <w:t>Industrial processes including use of synthetic gases</w:t>
      </w:r>
      <w:bookmarkEnd w:id="83"/>
    </w:p>
    <w:p w14:paraId="6A40E7B3" w14:textId="77777777" w:rsidR="00010E2E" w:rsidRDefault="00010E2E">
      <w:pPr>
        <w:pStyle w:val="BodyText"/>
        <w:tabs>
          <w:tab w:val="left" w:pos="0"/>
        </w:tabs>
        <w:spacing w:before="120" w:after="0" w:line="312" w:lineRule="auto"/>
        <w:ind w:left="0"/>
        <w:rPr>
          <w:rFonts w:ascii="Arial" w:hAnsi="Arial" w:cs="Arial"/>
        </w:rPr>
      </w:pPr>
    </w:p>
    <w:p w14:paraId="5705B78F" w14:textId="77777777" w:rsidR="00010E2E" w:rsidRDefault="00010E2E">
      <w:pPr>
        <w:pStyle w:val="BodyText"/>
        <w:tabs>
          <w:tab w:val="left" w:pos="0"/>
        </w:tabs>
        <w:spacing w:before="120" w:after="0" w:line="312" w:lineRule="auto"/>
        <w:ind w:left="0"/>
        <w:rPr>
          <w:rFonts w:ascii="Arial" w:hAnsi="Arial" w:cs="Arial"/>
        </w:rPr>
      </w:pPr>
      <w:r>
        <w:rPr>
          <w:rFonts w:ascii="Arial" w:hAnsi="Arial" w:cs="Arial"/>
        </w:rPr>
        <w:t>Greenhouse gas emissions from industrial processes other than from combustion of fuels for energy may be estimated by using the methods described in this section. These emission factors are national average emissions factors and can be used in the absence of plant- or company-specific data. For information on estimating activity data, refer to the National Greenhouse and Energy Reporting (Measurement) Determination 20</w:t>
      </w:r>
      <w:r w:rsidR="00615AF0">
        <w:rPr>
          <w:rFonts w:ascii="Arial" w:hAnsi="Arial" w:cs="Arial"/>
        </w:rPr>
        <w:t>08</w:t>
      </w:r>
      <w:r>
        <w:rPr>
          <w:rFonts w:ascii="Arial" w:hAnsi="Arial" w:cs="Arial"/>
        </w:rPr>
        <w:t>.</w:t>
      </w:r>
    </w:p>
    <w:p w14:paraId="115FDA9E" w14:textId="77777777" w:rsidR="00010E2E" w:rsidRDefault="00010E2E">
      <w:pPr>
        <w:pStyle w:val="BodyText"/>
        <w:tabs>
          <w:tab w:val="left" w:pos="0"/>
        </w:tabs>
        <w:spacing w:before="120" w:after="0" w:line="312" w:lineRule="auto"/>
        <w:ind w:left="0"/>
        <w:rPr>
          <w:rFonts w:ascii="Arial" w:hAnsi="Arial" w:cs="Arial"/>
        </w:rPr>
      </w:pPr>
    </w:p>
    <w:p w14:paraId="2552A7EE" w14:textId="77777777" w:rsidR="00010E2E" w:rsidRDefault="00010E2E">
      <w:pPr>
        <w:pStyle w:val="Heading2"/>
        <w:tabs>
          <w:tab w:val="left" w:pos="0"/>
          <w:tab w:val="left" w:pos="2250"/>
        </w:tabs>
        <w:spacing w:before="120" w:after="0" w:line="312" w:lineRule="auto"/>
        <w:ind w:left="578" w:hanging="578"/>
        <w:rPr>
          <w:rFonts w:ascii="Arial" w:hAnsi="Arial" w:cs="Arial"/>
        </w:rPr>
      </w:pPr>
      <w:r>
        <w:rPr>
          <w:rFonts w:ascii="Arial" w:hAnsi="Arial" w:cs="Arial"/>
        </w:rPr>
        <w:t>Cement clinker production</w:t>
      </w:r>
    </w:p>
    <w:p w14:paraId="6F0128B4" w14:textId="77777777" w:rsidR="00FA37B3" w:rsidRDefault="00CA4FB8" w:rsidP="00FA37B3">
      <w:pPr>
        <w:pStyle w:val="EquationNote"/>
        <w:ind w:firstLine="0"/>
        <w:jc w:val="center"/>
        <w:rPr>
          <w:position w:val="-22"/>
        </w:rPr>
      </w:pPr>
      <w:r>
        <w:rPr>
          <w:position w:val="-22"/>
        </w:rPr>
        <w:pict w14:anchorId="7F92196B">
          <v:shape id="_x0000_i1037" type="#_x0000_t75" style="width:222.75pt;height:27.75pt">
            <v:imagedata r:id="rId39" o:title=""/>
          </v:shape>
        </w:pict>
      </w:r>
    </w:p>
    <w:p w14:paraId="1A837A07" w14:textId="77777777" w:rsidR="00FA37B3" w:rsidRDefault="00FA37B3" w:rsidP="00FA37B3">
      <w:pPr>
        <w:pStyle w:val="EquationNote"/>
        <w:ind w:firstLine="0"/>
        <w:jc w:val="center"/>
        <w:rPr>
          <w:position w:val="-22"/>
        </w:rPr>
      </w:pPr>
    </w:p>
    <w:p w14:paraId="40ED231A" w14:textId="77777777" w:rsidR="00010E2E" w:rsidRPr="008870C0" w:rsidRDefault="00010E2E" w:rsidP="00FA37B3">
      <w:pPr>
        <w:pStyle w:val="EquationNote"/>
        <w:ind w:firstLine="0"/>
        <w:jc w:val="both"/>
        <w:rPr>
          <w:rFonts w:ascii="Times New Roman" w:hAnsi="Times New Roman" w:cs="Times New Roman"/>
          <w:sz w:val="22"/>
          <w:szCs w:val="22"/>
        </w:rPr>
      </w:pPr>
      <w:r w:rsidRPr="008870C0">
        <w:rPr>
          <w:rFonts w:ascii="Times New Roman" w:hAnsi="Times New Roman" w:cs="Times New Roman"/>
          <w:sz w:val="22"/>
          <w:szCs w:val="22"/>
        </w:rPr>
        <w:t>where:</w:t>
      </w:r>
    </w:p>
    <w:p w14:paraId="64687E00" w14:textId="77777777" w:rsidR="00010E2E" w:rsidRPr="008870C0" w:rsidRDefault="00010E2E">
      <w:pPr>
        <w:pStyle w:val="EquationNote"/>
        <w:ind w:left="720"/>
        <w:rPr>
          <w:rFonts w:ascii="Times New Roman" w:hAnsi="Times New Roman" w:cs="Times New Roman"/>
          <w:iCs w:val="0"/>
          <w:sz w:val="22"/>
          <w:szCs w:val="22"/>
        </w:rPr>
      </w:pPr>
      <w:r w:rsidRPr="008870C0">
        <w:rPr>
          <w:rFonts w:ascii="Times New Roman" w:hAnsi="Times New Roman" w:cs="Times New Roman"/>
          <w:i/>
          <w:sz w:val="22"/>
          <w:szCs w:val="22"/>
        </w:rPr>
        <w:tab/>
      </w:r>
      <w:r w:rsidRPr="008870C0">
        <w:rPr>
          <w:rFonts w:ascii="Times New Roman" w:hAnsi="Times New Roman" w:cs="Times New Roman"/>
          <w:b/>
          <w:i/>
          <w:iCs w:val="0"/>
          <w:sz w:val="22"/>
          <w:szCs w:val="22"/>
        </w:rPr>
        <w:t>E</w:t>
      </w:r>
      <w:r w:rsidRPr="008870C0">
        <w:rPr>
          <w:rStyle w:val="Subscript"/>
          <w:rFonts w:ascii="Times New Roman" w:hAnsi="Times New Roman" w:cs="Times New Roman"/>
          <w:b/>
          <w:i/>
          <w:sz w:val="22"/>
          <w:szCs w:val="22"/>
        </w:rPr>
        <w:t>ij</w:t>
      </w:r>
      <w:r w:rsidRPr="008870C0">
        <w:rPr>
          <w:rFonts w:ascii="Times New Roman" w:hAnsi="Times New Roman" w:cs="Times New Roman"/>
          <w:iCs w:val="0"/>
          <w:sz w:val="22"/>
          <w:szCs w:val="22"/>
        </w:rPr>
        <w:t xml:space="preserve"> is the emissions of </w:t>
      </w:r>
      <w:r w:rsidR="00E811AD" w:rsidRPr="008870C0">
        <w:rPr>
          <w:rFonts w:ascii="Times New Roman" w:hAnsi="Times New Roman" w:cs="Times New Roman"/>
          <w:iCs w:val="0"/>
          <w:sz w:val="22"/>
          <w:szCs w:val="22"/>
        </w:rPr>
        <w:t>CO</w:t>
      </w:r>
      <w:r w:rsidR="00E811AD" w:rsidRPr="008870C0">
        <w:rPr>
          <w:rStyle w:val="Subscript"/>
          <w:rFonts w:ascii="Times New Roman" w:hAnsi="Times New Roman" w:cs="Times New Roman"/>
          <w:iCs w:val="0"/>
          <w:sz w:val="22"/>
          <w:szCs w:val="22"/>
        </w:rPr>
        <w:t xml:space="preserve">2 </w:t>
      </w:r>
      <w:r w:rsidR="00E811AD" w:rsidRPr="008870C0">
        <w:rPr>
          <w:rFonts w:ascii="Times New Roman" w:hAnsi="Times New Roman" w:cs="Times New Roman"/>
          <w:iCs w:val="0"/>
          <w:sz w:val="22"/>
          <w:szCs w:val="22"/>
        </w:rPr>
        <w:t>released</w:t>
      </w:r>
      <w:r w:rsidRPr="008870C0">
        <w:rPr>
          <w:rFonts w:ascii="Times New Roman" w:hAnsi="Times New Roman" w:cs="Times New Roman"/>
          <w:iCs w:val="0"/>
          <w:sz w:val="22"/>
          <w:szCs w:val="22"/>
        </w:rPr>
        <w:t xml:space="preserve"> from the production of cement clinker (CO</w:t>
      </w:r>
      <w:r w:rsidRPr="008870C0">
        <w:rPr>
          <w:rStyle w:val="Subscript"/>
          <w:rFonts w:ascii="Times New Roman" w:hAnsi="Times New Roman" w:cs="Times New Roman"/>
          <w:iCs w:val="0"/>
          <w:sz w:val="22"/>
          <w:szCs w:val="22"/>
        </w:rPr>
        <w:t>2</w:t>
      </w:r>
      <w:r w:rsidRPr="008870C0">
        <w:rPr>
          <w:rFonts w:ascii="Times New Roman" w:hAnsi="Times New Roman" w:cs="Times New Roman"/>
          <w:iCs w:val="0"/>
          <w:sz w:val="22"/>
          <w:szCs w:val="22"/>
        </w:rPr>
        <w:t xml:space="preserve"> -e tonnes)</w:t>
      </w:r>
    </w:p>
    <w:p w14:paraId="17B6B2E0" w14:textId="77777777" w:rsidR="00010E2E" w:rsidRPr="008870C0" w:rsidRDefault="00010E2E">
      <w:pPr>
        <w:pStyle w:val="EquationNote"/>
        <w:ind w:left="720"/>
        <w:rPr>
          <w:rFonts w:ascii="Times New Roman" w:hAnsi="Times New Roman" w:cs="Times New Roman"/>
          <w:iCs w:val="0"/>
          <w:sz w:val="22"/>
          <w:szCs w:val="22"/>
        </w:rPr>
      </w:pPr>
      <w:r w:rsidRPr="008870C0">
        <w:rPr>
          <w:rFonts w:ascii="Times New Roman" w:hAnsi="Times New Roman" w:cs="Times New Roman"/>
          <w:iCs w:val="0"/>
          <w:sz w:val="22"/>
          <w:szCs w:val="22"/>
        </w:rPr>
        <w:tab/>
      </w:r>
      <w:r w:rsidRPr="008870C0">
        <w:rPr>
          <w:rFonts w:ascii="Times New Roman" w:hAnsi="Times New Roman" w:cs="Times New Roman"/>
          <w:b/>
          <w:i/>
          <w:iCs w:val="0"/>
          <w:sz w:val="22"/>
          <w:szCs w:val="22"/>
        </w:rPr>
        <w:t>EF</w:t>
      </w:r>
      <w:r w:rsidRPr="008870C0">
        <w:rPr>
          <w:rStyle w:val="Subscript"/>
          <w:rFonts w:ascii="Times New Roman" w:hAnsi="Times New Roman" w:cs="Times New Roman"/>
          <w:b/>
          <w:i/>
          <w:sz w:val="22"/>
          <w:szCs w:val="22"/>
        </w:rPr>
        <w:t>ij</w:t>
      </w:r>
      <w:r w:rsidRPr="008870C0">
        <w:rPr>
          <w:rFonts w:ascii="Times New Roman" w:hAnsi="Times New Roman" w:cs="Times New Roman"/>
          <w:b/>
          <w:i/>
          <w:iCs w:val="0"/>
          <w:sz w:val="22"/>
          <w:szCs w:val="22"/>
        </w:rPr>
        <w:t xml:space="preserve"> </w:t>
      </w:r>
      <w:r w:rsidRPr="008870C0">
        <w:rPr>
          <w:rStyle w:val="EquationNoteChar"/>
          <w:rFonts w:ascii="Times New Roman" w:hAnsi="Times New Roman" w:cs="Times New Roman"/>
          <w:iCs/>
          <w:sz w:val="22"/>
          <w:szCs w:val="22"/>
        </w:rPr>
        <w:t xml:space="preserve">is the emission factor for cement clinker (tonnes </w:t>
      </w:r>
      <w:r w:rsidR="00E811AD" w:rsidRPr="008870C0">
        <w:rPr>
          <w:rStyle w:val="EquationNoteChar"/>
          <w:rFonts w:ascii="Times New Roman" w:hAnsi="Times New Roman" w:cs="Times New Roman"/>
          <w:iCs/>
          <w:sz w:val="22"/>
          <w:szCs w:val="22"/>
        </w:rPr>
        <w:t>of CO</w:t>
      </w:r>
      <w:r w:rsidR="00B80F09" w:rsidRPr="00B80F09">
        <w:rPr>
          <w:rStyle w:val="EquationNoteChar"/>
          <w:rFonts w:ascii="Times New Roman" w:hAnsi="Times New Roman" w:cs="Times New Roman"/>
          <w:iCs/>
          <w:sz w:val="22"/>
          <w:szCs w:val="22"/>
          <w:vertAlign w:val="subscript"/>
        </w:rPr>
        <w:t>2</w:t>
      </w:r>
      <w:r w:rsidRPr="00772D8D">
        <w:rPr>
          <w:rStyle w:val="Subscript"/>
          <w:rFonts w:ascii="Times New Roman" w:hAnsi="Times New Roman" w:cs="Times New Roman"/>
          <w:iCs w:val="0"/>
          <w:sz w:val="22"/>
          <w:szCs w:val="22"/>
        </w:rPr>
        <w:t xml:space="preserve"> </w:t>
      </w:r>
      <w:r w:rsidRPr="008870C0">
        <w:rPr>
          <w:rStyle w:val="EquationNoteChar"/>
          <w:rFonts w:ascii="Times New Roman" w:hAnsi="Times New Roman" w:cs="Times New Roman"/>
          <w:iCs/>
          <w:sz w:val="22"/>
          <w:szCs w:val="22"/>
        </w:rPr>
        <w:t>emissions per tonne of clinker produced). See Table 1</w:t>
      </w:r>
      <w:r w:rsidR="005443A8" w:rsidRPr="008870C0">
        <w:rPr>
          <w:rStyle w:val="EquationNoteChar"/>
          <w:rFonts w:ascii="Times New Roman" w:hAnsi="Times New Roman" w:cs="Times New Roman"/>
          <w:iCs/>
          <w:sz w:val="22"/>
          <w:szCs w:val="22"/>
        </w:rPr>
        <w:t>8</w:t>
      </w:r>
      <w:r w:rsidRPr="008870C0">
        <w:rPr>
          <w:rStyle w:val="EquationNoteChar"/>
          <w:rFonts w:ascii="Times New Roman" w:hAnsi="Times New Roman" w:cs="Times New Roman"/>
          <w:iCs/>
          <w:sz w:val="22"/>
          <w:szCs w:val="22"/>
        </w:rPr>
        <w:t>.</w:t>
      </w:r>
    </w:p>
    <w:p w14:paraId="56F8EBED" w14:textId="77777777" w:rsidR="00010E2E" w:rsidRPr="008870C0" w:rsidRDefault="00010E2E">
      <w:pPr>
        <w:pStyle w:val="EquationNote"/>
        <w:ind w:left="720"/>
        <w:rPr>
          <w:rFonts w:ascii="Times New Roman" w:hAnsi="Times New Roman" w:cs="Times New Roman"/>
          <w:iCs w:val="0"/>
          <w:sz w:val="22"/>
          <w:szCs w:val="22"/>
        </w:rPr>
      </w:pPr>
      <w:r w:rsidRPr="008870C0">
        <w:rPr>
          <w:rFonts w:ascii="Times New Roman" w:hAnsi="Times New Roman" w:cs="Times New Roman"/>
          <w:iCs w:val="0"/>
          <w:sz w:val="22"/>
          <w:szCs w:val="22"/>
        </w:rPr>
        <w:tab/>
      </w:r>
      <w:r w:rsidRPr="008870C0">
        <w:rPr>
          <w:rFonts w:ascii="Times New Roman" w:hAnsi="Times New Roman" w:cs="Times New Roman"/>
          <w:b/>
          <w:i/>
          <w:iCs w:val="0"/>
          <w:sz w:val="22"/>
          <w:szCs w:val="22"/>
        </w:rPr>
        <w:t>A</w:t>
      </w:r>
      <w:r w:rsidRPr="008870C0">
        <w:rPr>
          <w:rStyle w:val="Subscript"/>
          <w:rFonts w:ascii="Times New Roman" w:hAnsi="Times New Roman" w:cs="Times New Roman"/>
          <w:b/>
          <w:i/>
          <w:sz w:val="22"/>
          <w:szCs w:val="22"/>
        </w:rPr>
        <w:t>i</w:t>
      </w:r>
      <w:r w:rsidRPr="008870C0">
        <w:rPr>
          <w:rFonts w:ascii="Times New Roman" w:hAnsi="Times New Roman" w:cs="Times New Roman"/>
          <w:b/>
          <w:i/>
          <w:iCs w:val="0"/>
          <w:sz w:val="22"/>
          <w:szCs w:val="22"/>
        </w:rPr>
        <w:t xml:space="preserve"> </w:t>
      </w:r>
      <w:r w:rsidRPr="008870C0">
        <w:rPr>
          <w:rStyle w:val="EquationNoteChar"/>
          <w:rFonts w:ascii="Times New Roman" w:hAnsi="Times New Roman" w:cs="Times New Roman"/>
          <w:iCs/>
          <w:sz w:val="22"/>
          <w:szCs w:val="22"/>
        </w:rPr>
        <w:t>is the quantity of cement clinker produced (tonnes)</w:t>
      </w:r>
    </w:p>
    <w:p w14:paraId="267FD7EA"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iCs w:val="0"/>
          <w:sz w:val="22"/>
          <w:szCs w:val="22"/>
        </w:rPr>
        <w:tab/>
      </w:r>
      <w:r w:rsidRPr="008870C0">
        <w:rPr>
          <w:rFonts w:ascii="Times New Roman" w:hAnsi="Times New Roman" w:cs="Times New Roman"/>
          <w:b/>
          <w:i/>
          <w:iCs w:val="0"/>
          <w:sz w:val="22"/>
          <w:szCs w:val="22"/>
        </w:rPr>
        <w:t>A</w:t>
      </w:r>
      <w:r w:rsidRPr="008870C0">
        <w:rPr>
          <w:rStyle w:val="Subscript"/>
          <w:rFonts w:ascii="Times New Roman" w:hAnsi="Times New Roman" w:cs="Times New Roman"/>
          <w:b/>
          <w:i/>
          <w:sz w:val="22"/>
          <w:szCs w:val="22"/>
        </w:rPr>
        <w:t>ckd</w:t>
      </w:r>
      <w:r w:rsidRPr="008870C0">
        <w:rPr>
          <w:rFonts w:ascii="Times New Roman" w:hAnsi="Times New Roman" w:cs="Times New Roman"/>
          <w:iCs w:val="0"/>
          <w:sz w:val="22"/>
          <w:szCs w:val="22"/>
        </w:rPr>
        <w:t xml:space="preserve"> </w:t>
      </w:r>
      <w:r w:rsidRPr="008870C0">
        <w:rPr>
          <w:rStyle w:val="EquationNoteChar"/>
          <w:rFonts w:ascii="Times New Roman" w:hAnsi="Times New Roman" w:cs="Times New Roman"/>
          <w:iCs/>
          <w:sz w:val="22"/>
          <w:szCs w:val="22"/>
        </w:rPr>
        <w:t>is the quantity of cement kiln dust (CKD) produced (tonnes)</w:t>
      </w:r>
    </w:p>
    <w:p w14:paraId="118AE64E"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EF</w:t>
      </w:r>
      <w:r w:rsidRPr="008870C0">
        <w:rPr>
          <w:rStyle w:val="Subscript"/>
          <w:rFonts w:ascii="Times New Roman" w:hAnsi="Times New Roman" w:cs="Times New Roman"/>
          <w:b/>
          <w:i/>
          <w:sz w:val="22"/>
          <w:szCs w:val="22"/>
        </w:rPr>
        <w:t>toc,j</w:t>
      </w:r>
      <w:r w:rsidRPr="008870C0">
        <w:rPr>
          <w:rFonts w:ascii="Times New Roman" w:hAnsi="Times New Roman" w:cs="Times New Roman"/>
          <w:sz w:val="22"/>
          <w:szCs w:val="22"/>
        </w:rPr>
        <w:t xml:space="preserve"> </w:t>
      </w:r>
      <w:r w:rsidRPr="008870C0">
        <w:rPr>
          <w:rStyle w:val="EquationNoteChar"/>
          <w:rFonts w:ascii="Times New Roman" w:hAnsi="Times New Roman" w:cs="Times New Roman"/>
          <w:iCs/>
          <w:sz w:val="22"/>
          <w:szCs w:val="22"/>
        </w:rPr>
        <w:t xml:space="preserve">is the emission factor for carbon-bearing non-fuel raw material (tonnes of  </w:t>
      </w:r>
      <w:r w:rsidRPr="008870C0">
        <w:rPr>
          <w:rFonts w:ascii="Times New Roman" w:hAnsi="Times New Roman" w:cs="Times New Roman"/>
          <w:iCs w:val="0"/>
          <w:sz w:val="22"/>
          <w:szCs w:val="22"/>
        </w:rPr>
        <w:t>CO</w:t>
      </w:r>
      <w:r w:rsidRPr="008870C0">
        <w:rPr>
          <w:rStyle w:val="Subscript"/>
          <w:rFonts w:ascii="Times New Roman" w:hAnsi="Times New Roman" w:cs="Times New Roman"/>
          <w:iCs w:val="0"/>
          <w:sz w:val="22"/>
          <w:szCs w:val="22"/>
        </w:rPr>
        <w:t xml:space="preserve">2 </w:t>
      </w:r>
      <w:r w:rsidRPr="008870C0">
        <w:rPr>
          <w:rStyle w:val="EquationNoteChar"/>
          <w:rFonts w:ascii="Times New Roman" w:hAnsi="Times New Roman" w:cs="Times New Roman"/>
          <w:iCs/>
          <w:sz w:val="22"/>
          <w:szCs w:val="22"/>
        </w:rPr>
        <w:t>emissions per tonne of clinker produced). See Table 1</w:t>
      </w:r>
      <w:r w:rsidR="005443A8" w:rsidRPr="008870C0">
        <w:rPr>
          <w:rStyle w:val="EquationNoteChar"/>
          <w:rFonts w:ascii="Times New Roman" w:hAnsi="Times New Roman" w:cs="Times New Roman"/>
          <w:iCs/>
          <w:sz w:val="22"/>
          <w:szCs w:val="22"/>
        </w:rPr>
        <w:t>8</w:t>
      </w:r>
      <w:r w:rsidRPr="008870C0">
        <w:rPr>
          <w:rStyle w:val="EquationNoteChar"/>
          <w:rFonts w:ascii="Times New Roman" w:hAnsi="Times New Roman" w:cs="Times New Roman"/>
          <w:iCs/>
          <w:sz w:val="22"/>
          <w:szCs w:val="22"/>
        </w:rPr>
        <w:t>.</w:t>
      </w:r>
    </w:p>
    <w:p w14:paraId="18B1FDF4" w14:textId="77777777" w:rsidR="00010E2E" w:rsidRPr="008870C0" w:rsidRDefault="00010E2E">
      <w:pPr>
        <w:pStyle w:val="EquationNote"/>
        <w:ind w:left="720"/>
        <w:rPr>
          <w:rFonts w:ascii="Times New Roman" w:hAnsi="Times New Roman" w:cs="Times New Roman"/>
          <w:iCs w:val="0"/>
          <w:sz w:val="22"/>
          <w:szCs w:val="22"/>
        </w:rPr>
      </w:pPr>
      <w:r w:rsidRPr="008870C0">
        <w:rPr>
          <w:rFonts w:ascii="Times New Roman" w:hAnsi="Times New Roman" w:cs="Times New Roman"/>
          <w:iCs w:val="0"/>
          <w:sz w:val="22"/>
          <w:szCs w:val="22"/>
        </w:rPr>
        <w:tab/>
      </w:r>
      <w:r w:rsidRPr="008870C0">
        <w:rPr>
          <w:rFonts w:ascii="Times New Roman" w:hAnsi="Times New Roman" w:cs="Times New Roman"/>
          <w:b/>
          <w:i/>
          <w:iCs w:val="0"/>
          <w:sz w:val="22"/>
          <w:szCs w:val="22"/>
        </w:rPr>
        <w:t>F</w:t>
      </w:r>
      <w:r w:rsidRPr="008870C0">
        <w:rPr>
          <w:rStyle w:val="Subscript"/>
          <w:rFonts w:ascii="Times New Roman" w:hAnsi="Times New Roman" w:cs="Times New Roman"/>
          <w:b/>
          <w:i/>
          <w:sz w:val="22"/>
          <w:szCs w:val="22"/>
        </w:rPr>
        <w:t>ckd</w:t>
      </w:r>
      <w:r w:rsidRPr="008870C0">
        <w:rPr>
          <w:rFonts w:ascii="Times New Roman" w:hAnsi="Times New Roman" w:cs="Times New Roman"/>
          <w:b/>
          <w:i/>
          <w:iCs w:val="0"/>
          <w:sz w:val="22"/>
          <w:szCs w:val="22"/>
        </w:rPr>
        <w:t xml:space="preserve"> </w:t>
      </w:r>
      <w:r w:rsidRPr="008870C0">
        <w:rPr>
          <w:rStyle w:val="EquationNoteChar"/>
          <w:rFonts w:ascii="Times New Roman" w:hAnsi="Times New Roman" w:cs="Times New Roman"/>
          <w:iCs/>
          <w:sz w:val="22"/>
          <w:szCs w:val="22"/>
        </w:rPr>
        <w:t xml:space="preserve">is the degree of calcination of cement kiln dust (range from 0% to 100%). If the information is not available the degree is assumed to be 100%, that </w:t>
      </w:r>
      <w:r w:rsidRPr="008870C0">
        <w:rPr>
          <w:rFonts w:ascii="Times New Roman" w:hAnsi="Times New Roman" w:cs="Times New Roman"/>
          <w:b/>
          <w:i/>
          <w:iCs w:val="0"/>
          <w:sz w:val="22"/>
          <w:szCs w:val="22"/>
        </w:rPr>
        <w:t>F</w:t>
      </w:r>
      <w:r w:rsidRPr="008870C0">
        <w:rPr>
          <w:rStyle w:val="Subscript"/>
          <w:rFonts w:ascii="Times New Roman" w:hAnsi="Times New Roman" w:cs="Times New Roman"/>
          <w:b/>
          <w:i/>
          <w:sz w:val="22"/>
          <w:szCs w:val="22"/>
        </w:rPr>
        <w:t>ckd</w:t>
      </w:r>
      <w:r w:rsidRPr="008870C0">
        <w:rPr>
          <w:rStyle w:val="EquationNoteChar"/>
          <w:rFonts w:ascii="Times New Roman" w:hAnsi="Times New Roman" w:cs="Times New Roman"/>
          <w:iCs/>
          <w:sz w:val="22"/>
          <w:szCs w:val="22"/>
        </w:rPr>
        <w:t xml:space="preserve"> =1</w:t>
      </w:r>
    </w:p>
    <w:p w14:paraId="7F683548" w14:textId="77777777" w:rsidR="00010E2E" w:rsidRDefault="00010E2E">
      <w:pPr>
        <w:pStyle w:val="EquationNote"/>
      </w:pPr>
    </w:p>
    <w:p w14:paraId="5BD0FB79" w14:textId="77777777" w:rsidR="00D76245" w:rsidRDefault="0081582C" w:rsidP="00C23E3B">
      <w:pPr>
        <w:pStyle w:val="Caption"/>
      </w:pPr>
      <w:bookmarkStart w:id="84" w:name="_Toc391646704"/>
      <w:bookmarkStart w:id="85" w:name="_Toc485728127"/>
      <w:r>
        <w:t xml:space="preserve">Table </w:t>
      </w:r>
      <w:r w:rsidR="00DC52E0">
        <w:fldChar w:fldCharType="begin"/>
      </w:r>
      <w:r>
        <w:instrText xml:space="preserve"> SEQ Table \* ARABIC </w:instrText>
      </w:r>
      <w:r w:rsidR="00DC52E0">
        <w:fldChar w:fldCharType="separate"/>
      </w:r>
      <w:r w:rsidR="004A1330">
        <w:rPr>
          <w:noProof/>
        </w:rPr>
        <w:t>19</w:t>
      </w:r>
      <w:r w:rsidR="00DC52E0">
        <w:fldChar w:fldCharType="end"/>
      </w:r>
      <w:r w:rsidR="00010E2E">
        <w:t>: Clinker production emission factors</w:t>
      </w:r>
      <w:bookmarkEnd w:id="84"/>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3"/>
        <w:gridCol w:w="4498"/>
      </w:tblGrid>
      <w:tr w:rsidR="00010E2E" w:rsidRPr="0007283C" w14:paraId="520A5373" w14:textId="77777777" w:rsidTr="00DD4FF2">
        <w:trPr>
          <w:cantSplit/>
        </w:trPr>
        <w:tc>
          <w:tcPr>
            <w:tcW w:w="2023" w:type="dxa"/>
            <w:vMerge w:val="restart"/>
            <w:shd w:val="pct15" w:color="auto" w:fill="auto"/>
            <w:vAlign w:val="center"/>
          </w:tcPr>
          <w:p w14:paraId="7B4C3595" w14:textId="77777777" w:rsidR="00010E2E" w:rsidRPr="0007283C" w:rsidRDefault="00010E2E" w:rsidP="00DD4FF2">
            <w:pPr>
              <w:pStyle w:val="Table"/>
              <w:keepNext/>
              <w:jc w:val="center"/>
              <w:rPr>
                <w:b/>
                <w:bCs/>
                <w:sz w:val="18"/>
                <w:szCs w:val="18"/>
              </w:rPr>
            </w:pPr>
            <w:r w:rsidRPr="0007283C">
              <w:rPr>
                <w:b/>
                <w:bCs/>
                <w:sz w:val="18"/>
                <w:szCs w:val="18"/>
              </w:rPr>
              <w:t>Source</w:t>
            </w:r>
          </w:p>
        </w:tc>
        <w:tc>
          <w:tcPr>
            <w:tcW w:w="4498" w:type="dxa"/>
            <w:shd w:val="pct15" w:color="auto" w:fill="auto"/>
            <w:vAlign w:val="center"/>
          </w:tcPr>
          <w:p w14:paraId="35B09329" w14:textId="77777777" w:rsidR="00010E2E" w:rsidRPr="0007283C" w:rsidRDefault="00010E2E" w:rsidP="00DD4FF2">
            <w:pPr>
              <w:pStyle w:val="TableCentre"/>
              <w:rPr>
                <w:b/>
                <w:bCs/>
                <w:sz w:val="18"/>
                <w:szCs w:val="18"/>
              </w:rPr>
            </w:pPr>
            <w:r w:rsidRPr="0007283C">
              <w:rPr>
                <w:b/>
                <w:bCs/>
                <w:sz w:val="18"/>
                <w:szCs w:val="18"/>
              </w:rPr>
              <w:t>Emission factor (tonnes CO</w:t>
            </w:r>
            <w:r w:rsidRPr="0007283C">
              <w:rPr>
                <w:rStyle w:val="Subscript"/>
                <w:b/>
                <w:bCs/>
                <w:sz w:val="18"/>
                <w:szCs w:val="18"/>
              </w:rPr>
              <w:t>2</w:t>
            </w:r>
            <w:r w:rsidRPr="0007283C">
              <w:rPr>
                <w:b/>
                <w:bCs/>
                <w:sz w:val="18"/>
                <w:szCs w:val="18"/>
              </w:rPr>
              <w:t>-e per tonne)</w:t>
            </w:r>
          </w:p>
        </w:tc>
      </w:tr>
      <w:tr w:rsidR="00010E2E" w:rsidRPr="0007283C" w14:paraId="1513A6E0" w14:textId="77777777" w:rsidTr="00DD4FF2">
        <w:trPr>
          <w:cantSplit/>
        </w:trPr>
        <w:tc>
          <w:tcPr>
            <w:tcW w:w="2023" w:type="dxa"/>
            <w:vMerge/>
            <w:shd w:val="pct15" w:color="auto" w:fill="auto"/>
            <w:vAlign w:val="center"/>
          </w:tcPr>
          <w:p w14:paraId="71304E86" w14:textId="77777777" w:rsidR="00010E2E" w:rsidRPr="0007283C" w:rsidRDefault="00010E2E" w:rsidP="00DD4FF2">
            <w:pPr>
              <w:pStyle w:val="Table"/>
              <w:jc w:val="center"/>
              <w:rPr>
                <w:b/>
                <w:bCs/>
                <w:sz w:val="18"/>
                <w:szCs w:val="18"/>
              </w:rPr>
            </w:pPr>
          </w:p>
        </w:tc>
        <w:tc>
          <w:tcPr>
            <w:tcW w:w="4498" w:type="dxa"/>
            <w:shd w:val="pct15" w:color="auto" w:fill="auto"/>
            <w:vAlign w:val="center"/>
          </w:tcPr>
          <w:p w14:paraId="65414C29" w14:textId="77777777" w:rsidR="00010E2E" w:rsidRPr="0007283C" w:rsidRDefault="00010E2E" w:rsidP="00DD4FF2">
            <w:pPr>
              <w:pStyle w:val="TableCentre"/>
              <w:keepNext/>
              <w:rPr>
                <w:b/>
                <w:bCs/>
                <w:sz w:val="18"/>
                <w:szCs w:val="18"/>
              </w:rPr>
            </w:pPr>
            <w:r w:rsidRPr="0007283C">
              <w:rPr>
                <w:b/>
                <w:bCs/>
                <w:sz w:val="18"/>
                <w:szCs w:val="18"/>
              </w:rPr>
              <w:t>CO</w:t>
            </w:r>
            <w:r w:rsidRPr="0007283C">
              <w:rPr>
                <w:rStyle w:val="Subscript"/>
                <w:b/>
                <w:bCs/>
                <w:sz w:val="18"/>
                <w:szCs w:val="18"/>
              </w:rPr>
              <w:t>2</w:t>
            </w:r>
          </w:p>
        </w:tc>
      </w:tr>
      <w:tr w:rsidR="00010E2E" w:rsidRPr="0007283C" w14:paraId="7FB0E21E" w14:textId="77777777" w:rsidTr="00DD4FF2">
        <w:tc>
          <w:tcPr>
            <w:tcW w:w="2023" w:type="dxa"/>
          </w:tcPr>
          <w:p w14:paraId="2DF59B05" w14:textId="77777777" w:rsidR="00010E2E" w:rsidRPr="0007283C" w:rsidRDefault="00010E2E">
            <w:pPr>
              <w:pStyle w:val="Table"/>
              <w:keepNext/>
              <w:rPr>
                <w:sz w:val="18"/>
                <w:szCs w:val="18"/>
              </w:rPr>
            </w:pPr>
            <w:r w:rsidRPr="0007283C">
              <w:rPr>
                <w:rFonts w:ascii="Times New Roman" w:hAnsi="Times New Roman" w:cs="Times New Roman"/>
                <w:b/>
                <w:i/>
                <w:sz w:val="18"/>
                <w:szCs w:val="18"/>
              </w:rPr>
              <w:t>EF</w:t>
            </w:r>
            <w:r w:rsidRPr="0007283C">
              <w:rPr>
                <w:rStyle w:val="Subscript"/>
                <w:rFonts w:ascii="Times New Roman" w:hAnsi="Times New Roman" w:cs="Times New Roman"/>
                <w:b/>
                <w:i/>
                <w:sz w:val="18"/>
                <w:szCs w:val="18"/>
              </w:rPr>
              <w:t>ij</w:t>
            </w:r>
          </w:p>
        </w:tc>
        <w:tc>
          <w:tcPr>
            <w:tcW w:w="4498" w:type="dxa"/>
          </w:tcPr>
          <w:p w14:paraId="4248D8C5" w14:textId="77777777" w:rsidR="00010E2E" w:rsidRPr="0007283C" w:rsidRDefault="00010E2E">
            <w:pPr>
              <w:pStyle w:val="TableCentre"/>
              <w:rPr>
                <w:sz w:val="18"/>
                <w:szCs w:val="18"/>
              </w:rPr>
            </w:pPr>
            <w:r w:rsidRPr="0007283C">
              <w:rPr>
                <w:sz w:val="18"/>
                <w:szCs w:val="18"/>
              </w:rPr>
              <w:t>0.534</w:t>
            </w:r>
          </w:p>
        </w:tc>
      </w:tr>
      <w:tr w:rsidR="00010E2E" w:rsidRPr="0007283C" w14:paraId="3F465D7F" w14:textId="77777777" w:rsidTr="00DD4FF2">
        <w:tc>
          <w:tcPr>
            <w:tcW w:w="2023" w:type="dxa"/>
          </w:tcPr>
          <w:p w14:paraId="3FDF8FF6" w14:textId="77777777" w:rsidR="00010E2E" w:rsidRPr="0007283C" w:rsidRDefault="00010E2E">
            <w:pPr>
              <w:pStyle w:val="Table"/>
              <w:rPr>
                <w:sz w:val="18"/>
                <w:szCs w:val="18"/>
              </w:rPr>
            </w:pPr>
            <w:r w:rsidRPr="0007283C">
              <w:rPr>
                <w:rFonts w:ascii="Times New Roman" w:hAnsi="Times New Roman" w:cs="Times New Roman"/>
                <w:b/>
                <w:i/>
                <w:sz w:val="18"/>
                <w:szCs w:val="18"/>
              </w:rPr>
              <w:t>EF</w:t>
            </w:r>
            <w:r w:rsidRPr="0007283C">
              <w:rPr>
                <w:rStyle w:val="Subscript"/>
                <w:rFonts w:ascii="Times New Roman" w:hAnsi="Times New Roman" w:cs="Times New Roman"/>
                <w:b/>
                <w:i/>
                <w:sz w:val="18"/>
                <w:szCs w:val="18"/>
              </w:rPr>
              <w:t>toc,j</w:t>
            </w:r>
            <w:r w:rsidRPr="0007283C">
              <w:rPr>
                <w:sz w:val="18"/>
                <w:szCs w:val="18"/>
              </w:rPr>
              <w:t xml:space="preserve"> </w:t>
            </w:r>
          </w:p>
        </w:tc>
        <w:tc>
          <w:tcPr>
            <w:tcW w:w="4498" w:type="dxa"/>
          </w:tcPr>
          <w:p w14:paraId="7EA29BF7" w14:textId="77777777" w:rsidR="00010E2E" w:rsidRPr="0007283C" w:rsidRDefault="00010E2E">
            <w:pPr>
              <w:pStyle w:val="TableCentre"/>
              <w:rPr>
                <w:sz w:val="18"/>
                <w:szCs w:val="18"/>
              </w:rPr>
            </w:pPr>
            <w:r w:rsidRPr="0007283C">
              <w:rPr>
                <w:sz w:val="18"/>
                <w:szCs w:val="18"/>
              </w:rPr>
              <w:t>0.010</w:t>
            </w:r>
          </w:p>
        </w:tc>
      </w:tr>
    </w:tbl>
    <w:p w14:paraId="097DBA44" w14:textId="77777777" w:rsidR="00010E2E" w:rsidRDefault="00010E2E">
      <w:pPr>
        <w:pStyle w:val="TableNote"/>
      </w:pPr>
      <w:r>
        <w:t>Source: National Greenhouse and Energy Reporting (Measurement) Determination 20</w:t>
      </w:r>
      <w:r w:rsidR="00615AF0">
        <w:t>08</w:t>
      </w:r>
      <w:r>
        <w:t xml:space="preserve"> (Section 4.4)</w:t>
      </w:r>
      <w:r w:rsidR="00554938">
        <w:t>.</w:t>
      </w:r>
    </w:p>
    <w:p w14:paraId="635CBEDB"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b/>
          <w:bCs/>
        </w:rPr>
      </w:pPr>
      <w:r>
        <w:rPr>
          <w:rFonts w:ascii="Arial" w:hAnsi="Arial" w:cs="Arial"/>
          <w:b/>
          <w:bCs/>
        </w:rPr>
        <w:t>Example</w:t>
      </w:r>
      <w:r>
        <w:rPr>
          <w:rFonts w:ascii="Arial" w:hAnsi="Arial" w:cs="Arial"/>
        </w:rPr>
        <w:t xml:space="preserve">: </w:t>
      </w:r>
      <w:r>
        <w:rPr>
          <w:rFonts w:ascii="Arial" w:hAnsi="Arial" w:cs="Arial"/>
          <w:b/>
          <w:bCs/>
        </w:rPr>
        <w:t xml:space="preserve">Calculation of emissions generated from cement clinker production </w:t>
      </w:r>
    </w:p>
    <w:p w14:paraId="7812CBD8"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A company produces 20,000 tonnes of cement clinker and 300 tonnes of cement kiln dust per year. The degree of calcination of the cement dust is not known. The GHG emissions are calculated as follows:</w:t>
      </w:r>
    </w:p>
    <w:p w14:paraId="04231A14"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ab/>
      </w:r>
      <w:r>
        <w:rPr>
          <w:rFonts w:ascii="Arial" w:hAnsi="Arial" w:cs="Arial"/>
        </w:rPr>
        <w:tab/>
        <w:t xml:space="preserve">= (0.534 + 0.01) </w:t>
      </w:r>
      <w:r w:rsidR="00FE7726">
        <w:rPr>
          <w:rFonts w:ascii="Arial" w:hAnsi="Arial" w:cs="Arial"/>
        </w:rPr>
        <w:t xml:space="preserve">x </w:t>
      </w:r>
      <w:r>
        <w:rPr>
          <w:rFonts w:ascii="Arial" w:hAnsi="Arial" w:cs="Arial"/>
        </w:rPr>
        <w:t xml:space="preserve">(20,000 + 300 x 1) </w:t>
      </w:r>
    </w:p>
    <w:p w14:paraId="51AC2770"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ab/>
      </w:r>
      <w:r>
        <w:rPr>
          <w:rFonts w:ascii="Arial" w:hAnsi="Arial" w:cs="Arial"/>
        </w:rPr>
        <w:tab/>
        <w:t>= 11,043 tonnes CO</w:t>
      </w:r>
      <w:r>
        <w:rPr>
          <w:rFonts w:ascii="Arial" w:hAnsi="Arial" w:cs="Arial"/>
          <w:vertAlign w:val="subscript"/>
        </w:rPr>
        <w:t>2</w:t>
      </w:r>
      <w:r>
        <w:rPr>
          <w:rFonts w:ascii="Arial" w:hAnsi="Arial" w:cs="Arial"/>
        </w:rPr>
        <w:t xml:space="preserve">-e </w:t>
      </w:r>
    </w:p>
    <w:p w14:paraId="5471DA0A"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Total scope 1 GHG emissions = 11,043 tonnes CO</w:t>
      </w:r>
      <w:r>
        <w:rPr>
          <w:rFonts w:ascii="Arial" w:hAnsi="Arial" w:cs="Arial"/>
          <w:vertAlign w:val="subscript"/>
        </w:rPr>
        <w:t>2</w:t>
      </w:r>
      <w:r>
        <w:rPr>
          <w:rFonts w:ascii="Arial" w:hAnsi="Arial" w:cs="Arial"/>
        </w:rPr>
        <w:t xml:space="preserve">-e </w:t>
      </w:r>
    </w:p>
    <w:p w14:paraId="2EC6901E" w14:textId="77777777" w:rsidR="00010E2E" w:rsidRDefault="00010E2E">
      <w:pPr>
        <w:pStyle w:val="HS"/>
        <w:ind w:left="0" w:firstLine="0"/>
        <w:rPr>
          <w:bCs/>
          <w:sz w:val="20"/>
        </w:rPr>
      </w:pPr>
    </w:p>
    <w:p w14:paraId="1293AA9D" w14:textId="77777777" w:rsidR="00010E2E" w:rsidRDefault="00010E2E">
      <w:pPr>
        <w:pStyle w:val="Heading2"/>
        <w:tabs>
          <w:tab w:val="left" w:pos="0"/>
          <w:tab w:val="left" w:pos="2250"/>
        </w:tabs>
        <w:spacing w:before="120" w:after="0" w:line="312" w:lineRule="auto"/>
        <w:ind w:left="578" w:hanging="578"/>
        <w:rPr>
          <w:rFonts w:ascii="Arial" w:hAnsi="Arial" w:cs="Arial"/>
        </w:rPr>
      </w:pPr>
      <w:r>
        <w:rPr>
          <w:rFonts w:ascii="Arial" w:hAnsi="Arial" w:cs="Arial"/>
        </w:rPr>
        <w:t>Lime production</w:t>
      </w:r>
    </w:p>
    <w:p w14:paraId="46050919" w14:textId="77777777" w:rsidR="008977EF" w:rsidRDefault="00010E2E">
      <w:pPr>
        <w:pStyle w:val="BodyText"/>
        <w:spacing w:before="120" w:after="0" w:line="312" w:lineRule="auto"/>
        <w:ind w:left="0"/>
        <w:rPr>
          <w:rFonts w:ascii="Arial" w:hAnsi="Arial" w:cs="Arial"/>
        </w:rPr>
      </w:pPr>
      <w:r>
        <w:rPr>
          <w:rFonts w:ascii="Arial" w:hAnsi="Arial" w:cs="Arial"/>
        </w:rPr>
        <w:t>This section applies to lime production other than in-house lime production in the ferrous metals industry, which should apply the method described under “Other uses of carbonates’.</w:t>
      </w:r>
    </w:p>
    <w:p w14:paraId="4A3AE989" w14:textId="77777777" w:rsidR="008977EF" w:rsidRDefault="008977EF">
      <w:pPr>
        <w:pStyle w:val="BodyText"/>
        <w:spacing w:before="120" w:after="0" w:line="312" w:lineRule="auto"/>
        <w:ind w:left="0"/>
        <w:rPr>
          <w:rFonts w:ascii="Arial" w:hAnsi="Arial" w:cs="Arial"/>
        </w:rPr>
      </w:pPr>
    </w:p>
    <w:p w14:paraId="511E045C" w14:textId="77777777" w:rsidR="008977EF" w:rsidRDefault="0082790E">
      <w:pPr>
        <w:pStyle w:val="EquationNote"/>
        <w:ind w:firstLine="0"/>
      </w:pPr>
      <w:r>
        <w:rPr>
          <w:noProof/>
          <w:lang w:eastAsia="en-AU"/>
        </w:rPr>
        <w:drawing>
          <wp:inline distT="0" distB="0" distL="0" distR="0" wp14:anchorId="22E61B9A" wp14:editId="70BDB4FD">
            <wp:extent cx="2596193" cy="281031"/>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0"/>
                    <a:srcRect/>
                    <a:stretch>
                      <a:fillRect/>
                    </a:stretch>
                  </pic:blipFill>
                  <pic:spPr bwMode="auto">
                    <a:xfrm>
                      <a:off x="0" y="0"/>
                      <a:ext cx="2596685" cy="281084"/>
                    </a:xfrm>
                    <a:prstGeom prst="rect">
                      <a:avLst/>
                    </a:prstGeom>
                    <a:noFill/>
                    <a:ln w="9525">
                      <a:noFill/>
                      <a:miter lim="800000"/>
                      <a:headEnd/>
                      <a:tailEnd/>
                    </a:ln>
                  </pic:spPr>
                </pic:pic>
              </a:graphicData>
            </a:graphic>
          </wp:inline>
        </w:drawing>
      </w:r>
    </w:p>
    <w:p w14:paraId="079A243A" w14:textId="77777777" w:rsidR="008977EF" w:rsidRDefault="008977EF">
      <w:pPr>
        <w:pStyle w:val="EquationNote"/>
        <w:ind w:firstLine="0"/>
      </w:pPr>
    </w:p>
    <w:p w14:paraId="3F6C80A3" w14:textId="77777777" w:rsidR="00010E2E" w:rsidRPr="008870C0" w:rsidRDefault="00010E2E">
      <w:pPr>
        <w:pStyle w:val="EquationNote"/>
        <w:ind w:firstLine="0"/>
        <w:rPr>
          <w:rFonts w:ascii="Times New Roman" w:hAnsi="Times New Roman" w:cs="Times New Roman"/>
          <w:sz w:val="22"/>
          <w:szCs w:val="22"/>
        </w:rPr>
      </w:pPr>
      <w:r w:rsidRPr="008870C0">
        <w:rPr>
          <w:rFonts w:ascii="Times New Roman" w:hAnsi="Times New Roman" w:cs="Times New Roman"/>
          <w:sz w:val="22"/>
          <w:szCs w:val="22"/>
        </w:rPr>
        <w:t>where:</w:t>
      </w:r>
    </w:p>
    <w:p w14:paraId="408FD690" w14:textId="77777777" w:rsidR="000570E2" w:rsidRPr="008870C0" w:rsidRDefault="00010E2E" w:rsidP="000570E2">
      <w:pPr>
        <w:pStyle w:val="EquationNote"/>
        <w:ind w:left="714" w:hanging="357"/>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emissions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from the production of lime (</w:t>
      </w:r>
      <w:r w:rsidRPr="008870C0">
        <w:rPr>
          <w:rFonts w:ascii="Times New Roman" w:hAnsi="Times New Roman" w:cs="Times New Roman"/>
          <w:iCs w:val="0"/>
          <w:sz w:val="22"/>
          <w:szCs w:val="22"/>
        </w:rPr>
        <w:t>CO</w:t>
      </w:r>
      <w:r w:rsidRPr="008870C0">
        <w:rPr>
          <w:rStyle w:val="Subscript"/>
          <w:rFonts w:ascii="Times New Roman" w:hAnsi="Times New Roman" w:cs="Times New Roman"/>
          <w:iCs w:val="0"/>
          <w:sz w:val="22"/>
          <w:szCs w:val="22"/>
        </w:rPr>
        <w:t>2</w:t>
      </w:r>
      <w:r w:rsidRPr="008870C0">
        <w:rPr>
          <w:rFonts w:ascii="Times New Roman" w:hAnsi="Times New Roman" w:cs="Times New Roman"/>
          <w:iCs w:val="0"/>
          <w:sz w:val="22"/>
          <w:szCs w:val="22"/>
        </w:rPr>
        <w:t xml:space="preserve"> -e </w:t>
      </w:r>
      <w:r w:rsidRPr="008870C0">
        <w:rPr>
          <w:rFonts w:ascii="Times New Roman" w:hAnsi="Times New Roman" w:cs="Times New Roman"/>
          <w:sz w:val="22"/>
          <w:szCs w:val="22"/>
        </w:rPr>
        <w:t>tonnes)</w:t>
      </w:r>
    </w:p>
    <w:p w14:paraId="69273AFC" w14:textId="77777777" w:rsidR="000570E2" w:rsidRPr="008870C0" w:rsidRDefault="00010E2E" w:rsidP="000570E2">
      <w:pPr>
        <w:pStyle w:val="EquationNote"/>
        <w:ind w:left="714" w:hanging="357"/>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A</w:t>
      </w:r>
      <w:r w:rsidRPr="008870C0">
        <w:rPr>
          <w:rStyle w:val="Subscript"/>
          <w:rFonts w:ascii="Times New Roman" w:hAnsi="Times New Roman" w:cs="Times New Roman"/>
          <w:b/>
          <w:i/>
          <w:sz w:val="22"/>
          <w:szCs w:val="22"/>
        </w:rPr>
        <w:t>i</w:t>
      </w:r>
      <w:r w:rsidRPr="008870C0">
        <w:rPr>
          <w:rFonts w:ascii="Times New Roman" w:hAnsi="Times New Roman" w:cs="Times New Roman"/>
          <w:sz w:val="22"/>
          <w:szCs w:val="22"/>
        </w:rPr>
        <w:t xml:space="preserve"> is the amount of lime produced (tonnes)</w:t>
      </w:r>
    </w:p>
    <w:p w14:paraId="210ECC3C" w14:textId="77777777" w:rsidR="00460FBC" w:rsidRPr="008870C0" w:rsidRDefault="00460FBC" w:rsidP="00970B60">
      <w:pPr>
        <w:pStyle w:val="EquationNote"/>
        <w:ind w:left="720"/>
        <w:rPr>
          <w:rFonts w:ascii="Times New Roman" w:hAnsi="Times New Roman" w:cs="Times New Roman"/>
          <w:sz w:val="22"/>
          <w:szCs w:val="22"/>
        </w:rPr>
      </w:pPr>
      <w:r w:rsidRPr="008870C0">
        <w:rPr>
          <w:rFonts w:ascii="Times New Roman" w:hAnsi="Times New Roman" w:cs="Times New Roman"/>
          <w:b/>
          <w:i/>
          <w:sz w:val="22"/>
          <w:szCs w:val="22"/>
        </w:rPr>
        <w:tab/>
        <w:t>A</w:t>
      </w:r>
      <w:r w:rsidR="000570E2" w:rsidRPr="008870C0">
        <w:rPr>
          <w:rStyle w:val="Subscript"/>
          <w:rFonts w:ascii="Times New Roman" w:hAnsi="Times New Roman" w:cs="Times New Roman"/>
          <w:sz w:val="22"/>
          <w:szCs w:val="22"/>
        </w:rPr>
        <w:t>lkd</w:t>
      </w:r>
      <w:r w:rsidRPr="008870C0">
        <w:rPr>
          <w:rFonts w:ascii="Times New Roman" w:hAnsi="Times New Roman" w:cs="Times New Roman"/>
          <w:sz w:val="22"/>
          <w:szCs w:val="22"/>
        </w:rPr>
        <w:t xml:space="preserve"> is the quantity of lime kiln dust lost in the production of lime (tonnes)</w:t>
      </w:r>
    </w:p>
    <w:p w14:paraId="4FBDE8D8" w14:textId="77777777" w:rsidR="000570E2" w:rsidRPr="008870C0" w:rsidRDefault="00460FBC" w:rsidP="000570E2">
      <w:pPr>
        <w:pStyle w:val="Default"/>
        <w:spacing w:before="60"/>
        <w:rPr>
          <w:rFonts w:ascii="Times New Roman" w:hAnsi="Times New Roman" w:cs="Times New Roman"/>
          <w:iCs/>
          <w:color w:val="auto"/>
          <w:sz w:val="22"/>
          <w:szCs w:val="22"/>
          <w:lang w:eastAsia="en-US"/>
        </w:rPr>
      </w:pPr>
      <w:r w:rsidRPr="008870C0">
        <w:rPr>
          <w:rFonts w:ascii="Times New Roman" w:hAnsi="Times New Roman" w:cs="Times New Roman"/>
          <w:b/>
          <w:i/>
          <w:sz w:val="22"/>
          <w:szCs w:val="22"/>
        </w:rPr>
        <w:tab/>
      </w:r>
      <w:r w:rsidR="00896254" w:rsidRPr="008870C0">
        <w:rPr>
          <w:rFonts w:ascii="Times New Roman" w:hAnsi="Times New Roman" w:cs="Times New Roman"/>
          <w:b/>
          <w:i/>
          <w:sz w:val="22"/>
          <w:szCs w:val="22"/>
        </w:rPr>
        <w:tab/>
      </w:r>
      <w:r w:rsidRPr="008870C0">
        <w:rPr>
          <w:rFonts w:ascii="Times New Roman" w:hAnsi="Times New Roman" w:cs="Times New Roman"/>
          <w:b/>
          <w:bCs/>
          <w:i/>
          <w:iCs/>
          <w:sz w:val="22"/>
          <w:szCs w:val="22"/>
        </w:rPr>
        <w:t>F</w:t>
      </w:r>
      <w:r w:rsidRPr="008870C0">
        <w:rPr>
          <w:rFonts w:ascii="Times New Roman" w:hAnsi="Times New Roman" w:cs="Times New Roman"/>
          <w:b/>
          <w:bCs/>
          <w:sz w:val="22"/>
          <w:szCs w:val="22"/>
        </w:rPr>
        <w:t xml:space="preserve">lkd </w:t>
      </w:r>
      <w:r w:rsidR="000570E2" w:rsidRPr="008870C0">
        <w:rPr>
          <w:rFonts w:ascii="Times New Roman" w:hAnsi="Times New Roman" w:cs="Times New Roman"/>
          <w:iCs/>
          <w:color w:val="auto"/>
          <w:sz w:val="22"/>
          <w:szCs w:val="22"/>
          <w:lang w:eastAsia="en-US"/>
        </w:rPr>
        <w:t xml:space="preserve">is: </w:t>
      </w:r>
    </w:p>
    <w:p w14:paraId="439A9882" w14:textId="77777777" w:rsidR="000570E2" w:rsidRPr="008870C0" w:rsidRDefault="00896254" w:rsidP="000570E2">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000570E2" w:rsidRPr="008870C0">
        <w:rPr>
          <w:rFonts w:ascii="Times New Roman" w:hAnsi="Times New Roman" w:cs="Times New Roman"/>
          <w:sz w:val="22"/>
          <w:szCs w:val="22"/>
        </w:rPr>
        <w:t xml:space="preserve">(a) the fraction of calcination achieved for lime kiln dust in the production of lime during </w:t>
      </w:r>
    </w:p>
    <w:p w14:paraId="1CD99E9A" w14:textId="77777777" w:rsidR="000570E2" w:rsidRPr="008870C0" w:rsidRDefault="00896254" w:rsidP="000570E2">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000570E2" w:rsidRPr="008870C0">
        <w:rPr>
          <w:rFonts w:ascii="Times New Roman" w:hAnsi="Times New Roman" w:cs="Times New Roman"/>
          <w:sz w:val="22"/>
          <w:szCs w:val="22"/>
        </w:rPr>
        <w:t xml:space="preserve">the year; or </w:t>
      </w:r>
    </w:p>
    <w:p w14:paraId="63A63895" w14:textId="77777777" w:rsidR="00395A8B" w:rsidRPr="008870C0" w:rsidRDefault="00896254" w:rsidP="00970B60">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t>(b) if the data</w:t>
      </w:r>
      <w:r w:rsidR="000570E2" w:rsidRPr="008870C0">
        <w:rPr>
          <w:rFonts w:ascii="Times New Roman" w:hAnsi="Times New Roman" w:cs="Times New Roman"/>
          <w:sz w:val="22"/>
          <w:szCs w:val="22"/>
        </w:rPr>
        <w:t xml:space="preserve"> is not available — the value 1. </w:t>
      </w:r>
      <w:r w:rsidR="00010E2E" w:rsidRPr="008870C0">
        <w:rPr>
          <w:rFonts w:ascii="Times New Roman" w:hAnsi="Times New Roman" w:cs="Times New Roman"/>
          <w:sz w:val="22"/>
          <w:szCs w:val="22"/>
        </w:rPr>
        <w:tab/>
      </w:r>
    </w:p>
    <w:p w14:paraId="7AD5A6A2" w14:textId="77777777" w:rsidR="00010E2E" w:rsidRPr="008870C0" w:rsidRDefault="008870C0" w:rsidP="00970B60">
      <w:pPr>
        <w:pStyle w:val="EquationNote"/>
        <w:ind w:left="720"/>
        <w:rPr>
          <w:rFonts w:ascii="Times New Roman" w:hAnsi="Times New Roman" w:cs="Times New Roman"/>
          <w:sz w:val="22"/>
          <w:szCs w:val="22"/>
        </w:rPr>
      </w:pPr>
      <w:r>
        <w:rPr>
          <w:rFonts w:ascii="Times New Roman" w:hAnsi="Times New Roman" w:cs="Times New Roman"/>
          <w:b/>
          <w:i/>
          <w:sz w:val="22"/>
          <w:szCs w:val="22"/>
        </w:rPr>
        <w:tab/>
      </w:r>
      <w:r w:rsidR="00010E2E" w:rsidRPr="008870C0">
        <w:rPr>
          <w:rFonts w:ascii="Times New Roman" w:hAnsi="Times New Roman" w:cs="Times New Roman"/>
          <w:b/>
          <w:i/>
          <w:sz w:val="22"/>
          <w:szCs w:val="22"/>
        </w:rPr>
        <w:t>EF</w:t>
      </w:r>
      <w:r w:rsidR="00010E2E" w:rsidRPr="008870C0">
        <w:rPr>
          <w:rStyle w:val="Subscript"/>
          <w:rFonts w:ascii="Times New Roman" w:hAnsi="Times New Roman" w:cs="Times New Roman"/>
          <w:b/>
          <w:i/>
          <w:sz w:val="22"/>
          <w:szCs w:val="22"/>
        </w:rPr>
        <w:t>ij</w:t>
      </w:r>
      <w:r w:rsidR="00010E2E" w:rsidRPr="008870C0">
        <w:rPr>
          <w:rFonts w:ascii="Times New Roman" w:hAnsi="Times New Roman" w:cs="Times New Roman"/>
          <w:sz w:val="22"/>
          <w:szCs w:val="22"/>
        </w:rPr>
        <w:t xml:space="preserve"> is the CO</w:t>
      </w:r>
      <w:r w:rsidR="00010E2E" w:rsidRPr="008870C0">
        <w:rPr>
          <w:rStyle w:val="Subscript"/>
          <w:rFonts w:ascii="Times New Roman" w:hAnsi="Times New Roman" w:cs="Times New Roman"/>
          <w:sz w:val="22"/>
          <w:szCs w:val="22"/>
        </w:rPr>
        <w:t>2</w:t>
      </w:r>
      <w:r w:rsidR="00010E2E" w:rsidRPr="008870C0">
        <w:rPr>
          <w:rFonts w:ascii="Times New Roman" w:hAnsi="Times New Roman" w:cs="Times New Roman"/>
          <w:sz w:val="22"/>
          <w:szCs w:val="22"/>
        </w:rPr>
        <w:t xml:space="preserve"> emission factor (tonnes of CO</w:t>
      </w:r>
      <w:r w:rsidR="00010E2E" w:rsidRPr="008870C0">
        <w:rPr>
          <w:rStyle w:val="Subscript"/>
          <w:rFonts w:ascii="Times New Roman" w:hAnsi="Times New Roman" w:cs="Times New Roman"/>
          <w:sz w:val="22"/>
          <w:szCs w:val="22"/>
        </w:rPr>
        <w:t>2</w:t>
      </w:r>
      <w:r w:rsidR="00010E2E" w:rsidRPr="008870C0">
        <w:rPr>
          <w:rFonts w:ascii="Times New Roman" w:hAnsi="Times New Roman" w:cs="Times New Roman"/>
          <w:sz w:val="22"/>
          <w:szCs w:val="22"/>
        </w:rPr>
        <w:t xml:space="preserve"> / tonnes lime produced). </w:t>
      </w:r>
      <w:r w:rsidR="00010E2E" w:rsidRPr="008870C0">
        <w:rPr>
          <w:rStyle w:val="EquationNoteChar"/>
          <w:rFonts w:ascii="Times New Roman" w:hAnsi="Times New Roman" w:cs="Times New Roman"/>
          <w:iCs/>
          <w:sz w:val="22"/>
          <w:szCs w:val="22"/>
        </w:rPr>
        <w:t xml:space="preserve">See Table </w:t>
      </w:r>
      <w:r w:rsidR="00D56BFE">
        <w:rPr>
          <w:rStyle w:val="EquationNoteChar"/>
          <w:rFonts w:ascii="Times New Roman" w:hAnsi="Times New Roman" w:cs="Times New Roman"/>
          <w:iCs/>
          <w:sz w:val="22"/>
          <w:szCs w:val="22"/>
        </w:rPr>
        <w:t>20</w:t>
      </w:r>
      <w:r w:rsidR="00010E2E" w:rsidRPr="008870C0">
        <w:rPr>
          <w:rStyle w:val="EquationNoteChar"/>
          <w:rFonts w:ascii="Times New Roman" w:hAnsi="Times New Roman" w:cs="Times New Roman"/>
          <w:iCs/>
          <w:sz w:val="22"/>
          <w:szCs w:val="22"/>
        </w:rPr>
        <w:t>.</w:t>
      </w:r>
    </w:p>
    <w:p w14:paraId="71669460" w14:textId="77777777" w:rsidR="00D76245" w:rsidRDefault="00D76245" w:rsidP="00C23E3B">
      <w:pPr>
        <w:pStyle w:val="Caption"/>
      </w:pPr>
    </w:p>
    <w:p w14:paraId="07572D13" w14:textId="77777777" w:rsidR="00D76245" w:rsidRDefault="0081582C" w:rsidP="00C23E3B">
      <w:pPr>
        <w:pStyle w:val="Caption"/>
      </w:pPr>
      <w:bookmarkStart w:id="86" w:name="_Toc391646705"/>
      <w:bookmarkStart w:id="87" w:name="_Toc485728128"/>
      <w:r>
        <w:t xml:space="preserve">Table </w:t>
      </w:r>
      <w:r w:rsidR="00DC52E0">
        <w:fldChar w:fldCharType="begin"/>
      </w:r>
      <w:r>
        <w:instrText xml:space="preserve"> SEQ Table \* ARABIC </w:instrText>
      </w:r>
      <w:r w:rsidR="00DC52E0">
        <w:fldChar w:fldCharType="separate"/>
      </w:r>
      <w:r w:rsidR="004A1330">
        <w:rPr>
          <w:noProof/>
        </w:rPr>
        <w:t>20</w:t>
      </w:r>
      <w:r w:rsidR="00DC52E0">
        <w:fldChar w:fldCharType="end"/>
      </w:r>
      <w:r w:rsidR="00010E2E">
        <w:t>: Lime production emission factors</w:t>
      </w:r>
      <w:bookmarkEnd w:id="86"/>
      <w:bookmarkEnd w:id="87"/>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4"/>
        <w:gridCol w:w="5740"/>
      </w:tblGrid>
      <w:tr w:rsidR="00010E2E" w14:paraId="2D04191B" w14:textId="77777777" w:rsidTr="00092B58">
        <w:trPr>
          <w:cantSplit/>
        </w:trPr>
        <w:tc>
          <w:tcPr>
            <w:tcW w:w="2624" w:type="dxa"/>
            <w:vMerge w:val="restart"/>
            <w:shd w:val="pct15" w:color="auto" w:fill="auto"/>
            <w:vAlign w:val="center"/>
          </w:tcPr>
          <w:p w14:paraId="3668F1AB" w14:textId="77777777" w:rsidR="00010E2E" w:rsidRDefault="00010E2E" w:rsidP="0007283C">
            <w:pPr>
              <w:pStyle w:val="Table"/>
              <w:jc w:val="center"/>
              <w:rPr>
                <w:b/>
                <w:bCs/>
              </w:rPr>
            </w:pPr>
            <w:r>
              <w:rPr>
                <w:b/>
                <w:bCs/>
              </w:rPr>
              <w:t>Source</w:t>
            </w:r>
          </w:p>
        </w:tc>
        <w:tc>
          <w:tcPr>
            <w:tcW w:w="5740" w:type="dxa"/>
            <w:shd w:val="pct15" w:color="auto" w:fill="auto"/>
            <w:vAlign w:val="center"/>
          </w:tcPr>
          <w:p w14:paraId="730BF6B3" w14:textId="77777777" w:rsidR="00010E2E" w:rsidRDefault="00010E2E" w:rsidP="0007283C">
            <w:pPr>
              <w:pStyle w:val="TableCentre"/>
              <w:rPr>
                <w:b/>
                <w:bCs/>
              </w:rPr>
            </w:pPr>
            <w:r>
              <w:rPr>
                <w:b/>
                <w:bCs/>
              </w:rPr>
              <w:t>Emission factor (</w:t>
            </w:r>
            <w:r>
              <w:rPr>
                <w:rFonts w:ascii="Times New Roman" w:hAnsi="Times New Roman" w:cs="Times New Roman"/>
                <w:b/>
                <w:i/>
                <w:sz w:val="24"/>
                <w:szCs w:val="24"/>
              </w:rPr>
              <w:t>EF</w:t>
            </w:r>
            <w:r>
              <w:rPr>
                <w:rStyle w:val="Subscript"/>
                <w:rFonts w:ascii="Times New Roman" w:hAnsi="Times New Roman" w:cs="Times New Roman"/>
                <w:b/>
                <w:i/>
                <w:sz w:val="24"/>
                <w:szCs w:val="24"/>
              </w:rPr>
              <w:t>ij</w:t>
            </w:r>
            <w:r>
              <w:rPr>
                <w:b/>
                <w:bCs/>
              </w:rPr>
              <w:t>) (tonne CO</w:t>
            </w:r>
            <w:r>
              <w:rPr>
                <w:rStyle w:val="Subscript"/>
                <w:b/>
                <w:bCs/>
              </w:rPr>
              <w:t>2</w:t>
            </w:r>
            <w:r>
              <w:rPr>
                <w:b/>
                <w:bCs/>
              </w:rPr>
              <w:t>-e per tonne)</w:t>
            </w:r>
          </w:p>
        </w:tc>
      </w:tr>
      <w:tr w:rsidR="00010E2E" w14:paraId="1DA2D25B" w14:textId="77777777" w:rsidTr="00092B58">
        <w:trPr>
          <w:cantSplit/>
        </w:trPr>
        <w:tc>
          <w:tcPr>
            <w:tcW w:w="2624" w:type="dxa"/>
            <w:vMerge/>
            <w:shd w:val="pct15" w:color="auto" w:fill="auto"/>
            <w:vAlign w:val="center"/>
          </w:tcPr>
          <w:p w14:paraId="1143DFD4" w14:textId="77777777" w:rsidR="00010E2E" w:rsidRDefault="00010E2E" w:rsidP="0007283C">
            <w:pPr>
              <w:pStyle w:val="Table"/>
              <w:jc w:val="center"/>
              <w:rPr>
                <w:b/>
                <w:bCs/>
              </w:rPr>
            </w:pPr>
          </w:p>
        </w:tc>
        <w:tc>
          <w:tcPr>
            <w:tcW w:w="5740" w:type="dxa"/>
            <w:shd w:val="pct15" w:color="auto" w:fill="auto"/>
            <w:vAlign w:val="center"/>
          </w:tcPr>
          <w:p w14:paraId="73EE7246" w14:textId="77777777" w:rsidR="00010E2E" w:rsidRDefault="00010E2E" w:rsidP="0007283C">
            <w:pPr>
              <w:pStyle w:val="TableCentre"/>
              <w:rPr>
                <w:b/>
                <w:bCs/>
              </w:rPr>
            </w:pPr>
            <w:r>
              <w:rPr>
                <w:b/>
                <w:bCs/>
              </w:rPr>
              <w:t>CO</w:t>
            </w:r>
            <w:r>
              <w:rPr>
                <w:rStyle w:val="Subscript"/>
                <w:b/>
                <w:bCs/>
              </w:rPr>
              <w:t>2</w:t>
            </w:r>
          </w:p>
        </w:tc>
      </w:tr>
      <w:tr w:rsidR="00010E2E" w14:paraId="7775C211" w14:textId="77777777" w:rsidTr="00092B58">
        <w:tc>
          <w:tcPr>
            <w:tcW w:w="2624" w:type="dxa"/>
            <w:vAlign w:val="center"/>
          </w:tcPr>
          <w:p w14:paraId="0A6CA855" w14:textId="77777777" w:rsidR="00010E2E" w:rsidRDefault="00010E2E" w:rsidP="0007283C">
            <w:pPr>
              <w:pStyle w:val="Table"/>
            </w:pPr>
            <w:r>
              <w:t>Commercial lime production</w:t>
            </w:r>
          </w:p>
        </w:tc>
        <w:tc>
          <w:tcPr>
            <w:tcW w:w="5740" w:type="dxa"/>
            <w:vAlign w:val="center"/>
          </w:tcPr>
          <w:p w14:paraId="05826BFF" w14:textId="77777777" w:rsidR="00010E2E" w:rsidRDefault="00010E2E" w:rsidP="0007283C">
            <w:pPr>
              <w:pStyle w:val="TableCentre"/>
            </w:pPr>
            <w:r>
              <w:t>0.675</w:t>
            </w:r>
          </w:p>
        </w:tc>
      </w:tr>
      <w:tr w:rsidR="00010E2E" w14:paraId="197A5E2F" w14:textId="77777777" w:rsidTr="00092B58">
        <w:tc>
          <w:tcPr>
            <w:tcW w:w="2624" w:type="dxa"/>
            <w:vAlign w:val="center"/>
          </w:tcPr>
          <w:p w14:paraId="7BA2FB5C" w14:textId="77777777" w:rsidR="00010E2E" w:rsidRDefault="00010E2E" w:rsidP="0007283C">
            <w:pPr>
              <w:pStyle w:val="Table"/>
            </w:pPr>
            <w:r>
              <w:t>In-house lime production</w:t>
            </w:r>
          </w:p>
        </w:tc>
        <w:tc>
          <w:tcPr>
            <w:tcW w:w="5740" w:type="dxa"/>
            <w:vAlign w:val="center"/>
          </w:tcPr>
          <w:p w14:paraId="3691FBEC" w14:textId="77777777" w:rsidR="00010E2E" w:rsidRDefault="00010E2E" w:rsidP="0007283C">
            <w:pPr>
              <w:pStyle w:val="TableCentre"/>
            </w:pPr>
            <w:r>
              <w:t>0.730</w:t>
            </w:r>
          </w:p>
        </w:tc>
      </w:tr>
      <w:tr w:rsidR="00970B60" w14:paraId="7379FDC2" w14:textId="77777777" w:rsidTr="00092B58">
        <w:tc>
          <w:tcPr>
            <w:tcW w:w="2624" w:type="dxa"/>
            <w:vAlign w:val="center"/>
          </w:tcPr>
          <w:p w14:paraId="067BF590" w14:textId="77777777" w:rsidR="00970B60" w:rsidRDefault="00970B60" w:rsidP="0007283C">
            <w:pPr>
              <w:pStyle w:val="Table"/>
            </w:pPr>
            <w:r>
              <w:t>Magnesian lime and dolomitic lime production</w:t>
            </w:r>
          </w:p>
        </w:tc>
        <w:tc>
          <w:tcPr>
            <w:tcW w:w="5740" w:type="dxa"/>
            <w:vAlign w:val="center"/>
          </w:tcPr>
          <w:p w14:paraId="5C884989" w14:textId="77777777" w:rsidR="00970B60" w:rsidRDefault="00970B60" w:rsidP="0007283C">
            <w:pPr>
              <w:pStyle w:val="TableCentre"/>
            </w:pPr>
            <w:r>
              <w:t>0.860</w:t>
            </w:r>
          </w:p>
        </w:tc>
      </w:tr>
    </w:tbl>
    <w:p w14:paraId="2A08F862" w14:textId="77777777" w:rsidR="00010E2E" w:rsidRDefault="00010E2E">
      <w:pPr>
        <w:pStyle w:val="Text"/>
        <w:spacing w:before="0"/>
        <w:rPr>
          <w:rFonts w:ascii="Arial" w:hAnsi="Arial" w:cs="Arial"/>
          <w:sz w:val="16"/>
          <w:szCs w:val="16"/>
        </w:rPr>
      </w:pPr>
      <w:r>
        <w:rPr>
          <w:rFonts w:ascii="Arial" w:hAnsi="Arial" w:cs="Arial"/>
          <w:sz w:val="16"/>
          <w:szCs w:val="16"/>
        </w:rPr>
        <w:t>Source: National Greenhouse and Energy Reporting (Measurement) Determination 20</w:t>
      </w:r>
      <w:r w:rsidR="008977EF">
        <w:rPr>
          <w:rFonts w:ascii="Arial" w:hAnsi="Arial" w:cs="Arial"/>
          <w:sz w:val="16"/>
          <w:szCs w:val="16"/>
        </w:rPr>
        <w:t>08</w:t>
      </w:r>
      <w:r>
        <w:rPr>
          <w:rFonts w:ascii="Arial" w:hAnsi="Arial" w:cs="Arial"/>
          <w:sz w:val="16"/>
          <w:szCs w:val="16"/>
        </w:rPr>
        <w:t xml:space="preserve"> (Section 4.13)</w:t>
      </w:r>
      <w:r w:rsidR="00554938">
        <w:rPr>
          <w:rFonts w:ascii="Arial" w:hAnsi="Arial" w:cs="Arial"/>
          <w:sz w:val="16"/>
          <w:szCs w:val="16"/>
        </w:rPr>
        <w:t>.</w:t>
      </w:r>
    </w:p>
    <w:p w14:paraId="352D99A6" w14:textId="77777777" w:rsidR="000570E2" w:rsidRDefault="00B33AED" w:rsidP="000570E2">
      <w:pPr>
        <w:pStyle w:val="Text"/>
        <w:spacing w:before="0"/>
        <w:rPr>
          <w:rFonts w:ascii="Arial" w:hAnsi="Arial" w:cs="Arial"/>
          <w:sz w:val="16"/>
          <w:szCs w:val="16"/>
        </w:rPr>
      </w:pPr>
      <w:r>
        <w:rPr>
          <w:rFonts w:ascii="Arial" w:hAnsi="Arial" w:cs="Arial"/>
          <w:sz w:val="16"/>
          <w:szCs w:val="16"/>
        </w:rPr>
        <w:t>Note: D</w:t>
      </w:r>
      <w:r w:rsidRPr="00B33AED">
        <w:rPr>
          <w:rFonts w:ascii="Arial" w:hAnsi="Arial" w:cs="Arial"/>
          <w:sz w:val="16"/>
          <w:szCs w:val="16"/>
        </w:rPr>
        <w:t>olomitic lime is lime formed from limestone containing more than 35 %</w:t>
      </w:r>
      <w:r>
        <w:rPr>
          <w:rFonts w:ascii="Arial" w:hAnsi="Arial" w:cs="Arial"/>
          <w:sz w:val="16"/>
          <w:szCs w:val="16"/>
        </w:rPr>
        <w:t xml:space="preserve"> </w:t>
      </w:r>
      <w:r w:rsidRPr="00B33AED">
        <w:rPr>
          <w:rFonts w:ascii="Arial" w:hAnsi="Arial" w:cs="Arial"/>
          <w:sz w:val="16"/>
          <w:szCs w:val="16"/>
        </w:rPr>
        <w:t>magnesium carbonate.</w:t>
      </w:r>
    </w:p>
    <w:p w14:paraId="316C4B2C" w14:textId="77777777" w:rsidR="00B33AED" w:rsidRDefault="00B33AED" w:rsidP="00B33AED">
      <w:pPr>
        <w:pStyle w:val="Text"/>
        <w:spacing w:before="0"/>
        <w:rPr>
          <w:rFonts w:ascii="Arial" w:hAnsi="Arial" w:cs="Arial"/>
          <w:sz w:val="16"/>
          <w:szCs w:val="16"/>
        </w:rPr>
      </w:pPr>
      <w:r>
        <w:rPr>
          <w:rFonts w:ascii="Arial" w:hAnsi="Arial" w:cs="Arial"/>
          <w:sz w:val="16"/>
          <w:szCs w:val="16"/>
        </w:rPr>
        <w:t>M</w:t>
      </w:r>
      <w:r w:rsidRPr="00B33AED">
        <w:rPr>
          <w:rFonts w:ascii="Arial" w:hAnsi="Arial" w:cs="Arial"/>
          <w:sz w:val="16"/>
          <w:szCs w:val="16"/>
        </w:rPr>
        <w:t>agnesian lime is lime formed from limestone containing 5-35 %</w:t>
      </w:r>
      <w:r>
        <w:rPr>
          <w:rFonts w:ascii="Arial" w:hAnsi="Arial" w:cs="Arial"/>
          <w:sz w:val="16"/>
          <w:szCs w:val="16"/>
        </w:rPr>
        <w:t xml:space="preserve"> </w:t>
      </w:r>
      <w:r w:rsidRPr="00B33AED">
        <w:rPr>
          <w:rFonts w:ascii="Arial" w:hAnsi="Arial" w:cs="Arial"/>
          <w:sz w:val="16"/>
          <w:szCs w:val="16"/>
        </w:rPr>
        <w:t>magnesium carbonate.</w:t>
      </w:r>
    </w:p>
    <w:p w14:paraId="228CB6F8" w14:textId="77777777" w:rsidR="00010E2E" w:rsidRDefault="00010E2E">
      <w:pPr>
        <w:pStyle w:val="Text"/>
        <w:spacing w:before="0"/>
        <w:rPr>
          <w:rFonts w:ascii="Arial" w:hAnsi="Arial" w:cs="Arial"/>
          <w:sz w:val="16"/>
          <w:szCs w:val="16"/>
        </w:rPr>
      </w:pPr>
    </w:p>
    <w:p w14:paraId="0B5415B9" w14:textId="77777777" w:rsidR="00010E2E" w:rsidRDefault="00FA37B3">
      <w:pPr>
        <w:pStyle w:val="Heading2"/>
        <w:tabs>
          <w:tab w:val="left" w:pos="0"/>
          <w:tab w:val="left" w:pos="2250"/>
        </w:tabs>
        <w:spacing w:before="120" w:after="0" w:line="312" w:lineRule="auto"/>
        <w:ind w:left="578" w:hanging="578"/>
        <w:rPr>
          <w:rFonts w:ascii="Arial" w:hAnsi="Arial" w:cs="Arial"/>
        </w:rPr>
      </w:pPr>
      <w:r>
        <w:rPr>
          <w:rFonts w:ascii="Arial" w:hAnsi="Arial" w:cs="Arial"/>
        </w:rPr>
        <w:t>Use</w:t>
      </w:r>
      <w:r w:rsidR="00226707">
        <w:rPr>
          <w:rFonts w:ascii="Arial" w:hAnsi="Arial" w:cs="Arial"/>
        </w:rPr>
        <w:t xml:space="preserve"> </w:t>
      </w:r>
      <w:r w:rsidR="00010E2E">
        <w:rPr>
          <w:rFonts w:ascii="Arial" w:hAnsi="Arial" w:cs="Arial"/>
        </w:rPr>
        <w:t>of carbonates</w:t>
      </w:r>
      <w:r>
        <w:rPr>
          <w:rFonts w:ascii="Arial" w:hAnsi="Arial" w:cs="Arial"/>
        </w:rPr>
        <w:t xml:space="preserve"> for the production of a product other than cement clinker, lime or soda ash</w:t>
      </w:r>
    </w:p>
    <w:p w14:paraId="33D21494" w14:textId="77777777" w:rsidR="00010E2E" w:rsidRDefault="00010E2E">
      <w:pPr>
        <w:pStyle w:val="BodyText"/>
        <w:spacing w:before="120" w:after="0" w:line="312" w:lineRule="auto"/>
        <w:ind w:left="0"/>
        <w:rPr>
          <w:rFonts w:ascii="Arial" w:hAnsi="Arial" w:cs="Arial"/>
        </w:rPr>
      </w:pPr>
      <w:r>
        <w:rPr>
          <w:rFonts w:ascii="Arial" w:hAnsi="Arial" w:cs="Arial"/>
        </w:rPr>
        <w:t xml:space="preserve">This section applies to calcination </w:t>
      </w:r>
      <w:r w:rsidR="00FE7726">
        <w:rPr>
          <w:rFonts w:ascii="Arial" w:hAnsi="Arial" w:cs="Arial"/>
        </w:rPr>
        <w:t xml:space="preserve">or any other use </w:t>
      </w:r>
      <w:r>
        <w:rPr>
          <w:rFonts w:ascii="Arial" w:hAnsi="Arial" w:cs="Arial"/>
        </w:rPr>
        <w:t xml:space="preserve">of carbonates </w:t>
      </w:r>
      <w:r w:rsidR="00226707">
        <w:rPr>
          <w:rFonts w:ascii="Arial" w:hAnsi="Arial" w:cs="Arial"/>
        </w:rPr>
        <w:t>that generates CO</w:t>
      </w:r>
      <w:r w:rsidR="00226707" w:rsidRPr="00226707">
        <w:rPr>
          <w:rFonts w:ascii="Arial" w:hAnsi="Arial" w:cs="Arial"/>
          <w:vertAlign w:val="subscript"/>
        </w:rPr>
        <w:t>2</w:t>
      </w:r>
      <w:r w:rsidR="00226707">
        <w:rPr>
          <w:rFonts w:ascii="Arial" w:hAnsi="Arial" w:cs="Arial"/>
        </w:rPr>
        <w:t xml:space="preserve"> </w:t>
      </w:r>
      <w:r>
        <w:rPr>
          <w:rFonts w:ascii="Arial" w:hAnsi="Arial" w:cs="Arial"/>
        </w:rPr>
        <w:t>(excluding cement clinker</w:t>
      </w:r>
      <w:r w:rsidR="00FE7726">
        <w:rPr>
          <w:rFonts w:ascii="Arial" w:hAnsi="Arial" w:cs="Arial"/>
        </w:rPr>
        <w:t>,</w:t>
      </w:r>
      <w:r>
        <w:rPr>
          <w:rFonts w:ascii="Arial" w:hAnsi="Arial" w:cs="Arial"/>
        </w:rPr>
        <w:t xml:space="preserve"> lime production</w:t>
      </w:r>
      <w:r w:rsidR="00FE7726">
        <w:rPr>
          <w:rFonts w:ascii="Arial" w:hAnsi="Arial" w:cs="Arial"/>
        </w:rPr>
        <w:t xml:space="preserve"> or soda ash production</w:t>
      </w:r>
      <w:r>
        <w:rPr>
          <w:rFonts w:ascii="Arial" w:hAnsi="Arial" w:cs="Arial"/>
        </w:rPr>
        <w:t xml:space="preserve">) including the in-house lime production in the ferrous metals industry. </w:t>
      </w:r>
      <w:r w:rsidR="0083748E">
        <w:rPr>
          <w:rFonts w:ascii="Arial" w:hAnsi="Arial" w:cs="Arial"/>
        </w:rPr>
        <w:t>Other e</w:t>
      </w:r>
      <w:r>
        <w:rPr>
          <w:rFonts w:ascii="Arial" w:hAnsi="Arial" w:cs="Arial"/>
        </w:rPr>
        <w:t xml:space="preserve">xamples of industrial processes involving the </w:t>
      </w:r>
      <w:r w:rsidR="00FE7726">
        <w:rPr>
          <w:rFonts w:ascii="Arial" w:hAnsi="Arial" w:cs="Arial"/>
        </w:rPr>
        <w:t xml:space="preserve">consumption </w:t>
      </w:r>
      <w:r>
        <w:rPr>
          <w:rFonts w:ascii="Arial" w:hAnsi="Arial" w:cs="Arial"/>
        </w:rPr>
        <w:t>of carbonates include:</w:t>
      </w:r>
    </w:p>
    <w:p w14:paraId="1D6C385A" w14:textId="77777777" w:rsidR="00010E2E" w:rsidRDefault="00010E2E" w:rsidP="008F6129">
      <w:pPr>
        <w:pStyle w:val="BodyText"/>
        <w:numPr>
          <w:ilvl w:val="0"/>
          <w:numId w:val="10"/>
        </w:numPr>
        <w:spacing w:before="120" w:after="0" w:line="312" w:lineRule="auto"/>
        <w:rPr>
          <w:rFonts w:ascii="Arial" w:hAnsi="Arial" w:cs="Arial"/>
        </w:rPr>
      </w:pPr>
      <w:r>
        <w:rPr>
          <w:rFonts w:ascii="Arial" w:hAnsi="Arial" w:cs="Arial"/>
        </w:rPr>
        <w:t>Metallurgy</w:t>
      </w:r>
    </w:p>
    <w:p w14:paraId="5BBA8C37" w14:textId="77777777" w:rsidR="00010E2E" w:rsidRDefault="00010E2E" w:rsidP="008F6129">
      <w:pPr>
        <w:pStyle w:val="BodyText"/>
        <w:numPr>
          <w:ilvl w:val="0"/>
          <w:numId w:val="10"/>
        </w:numPr>
        <w:spacing w:before="120" w:after="0" w:line="312" w:lineRule="auto"/>
        <w:rPr>
          <w:rFonts w:ascii="Arial" w:hAnsi="Arial" w:cs="Arial"/>
        </w:rPr>
      </w:pPr>
      <w:r>
        <w:rPr>
          <w:rFonts w:ascii="Arial" w:hAnsi="Arial" w:cs="Arial"/>
        </w:rPr>
        <w:t>Glass manufacturing including fibreglass and mineral wools</w:t>
      </w:r>
    </w:p>
    <w:p w14:paraId="1EA20AAD" w14:textId="77777777" w:rsidR="00010E2E" w:rsidRDefault="00010E2E" w:rsidP="008F6129">
      <w:pPr>
        <w:pStyle w:val="BodyText"/>
        <w:numPr>
          <w:ilvl w:val="0"/>
          <w:numId w:val="10"/>
        </w:numPr>
        <w:spacing w:before="120" w:after="0" w:line="312" w:lineRule="auto"/>
        <w:rPr>
          <w:rFonts w:ascii="Arial" w:hAnsi="Arial" w:cs="Arial"/>
        </w:rPr>
      </w:pPr>
      <w:r>
        <w:rPr>
          <w:rFonts w:ascii="Arial" w:hAnsi="Arial" w:cs="Arial"/>
        </w:rPr>
        <w:t>Magnesia production</w:t>
      </w:r>
    </w:p>
    <w:p w14:paraId="49804984" w14:textId="77777777" w:rsidR="0083748E" w:rsidRDefault="0083748E" w:rsidP="008F6129">
      <w:pPr>
        <w:pStyle w:val="BodyText"/>
        <w:numPr>
          <w:ilvl w:val="0"/>
          <w:numId w:val="10"/>
        </w:numPr>
        <w:spacing w:before="120" w:after="0" w:line="312" w:lineRule="auto"/>
        <w:rPr>
          <w:rFonts w:ascii="Arial" w:hAnsi="Arial" w:cs="Arial"/>
        </w:rPr>
      </w:pPr>
      <w:r>
        <w:rPr>
          <w:rFonts w:ascii="Arial" w:hAnsi="Arial" w:cs="Arial"/>
        </w:rPr>
        <w:t>Construction</w:t>
      </w:r>
    </w:p>
    <w:p w14:paraId="59912F68" w14:textId="77777777" w:rsidR="0083748E" w:rsidRDefault="0083748E" w:rsidP="008F6129">
      <w:pPr>
        <w:pStyle w:val="BodyText"/>
        <w:numPr>
          <w:ilvl w:val="0"/>
          <w:numId w:val="10"/>
        </w:numPr>
        <w:spacing w:before="120" w:after="0" w:line="312" w:lineRule="auto"/>
        <w:rPr>
          <w:rFonts w:ascii="Arial" w:hAnsi="Arial" w:cs="Arial"/>
        </w:rPr>
      </w:pPr>
      <w:r>
        <w:rPr>
          <w:rFonts w:ascii="Arial" w:hAnsi="Arial" w:cs="Arial"/>
        </w:rPr>
        <w:t>Environmental pollution control</w:t>
      </w:r>
    </w:p>
    <w:p w14:paraId="31D49C8C" w14:textId="77777777" w:rsidR="0083748E" w:rsidRDefault="0083748E" w:rsidP="008F6129">
      <w:pPr>
        <w:pStyle w:val="BodyText"/>
        <w:numPr>
          <w:ilvl w:val="0"/>
          <w:numId w:val="10"/>
        </w:numPr>
        <w:spacing w:before="120" w:after="0" w:line="312" w:lineRule="auto"/>
        <w:rPr>
          <w:rFonts w:ascii="Arial" w:hAnsi="Arial" w:cs="Arial"/>
        </w:rPr>
      </w:pPr>
      <w:r>
        <w:rPr>
          <w:rFonts w:ascii="Arial" w:hAnsi="Arial" w:cs="Arial"/>
        </w:rPr>
        <w:t>Use as a flux or slagging agent</w:t>
      </w:r>
    </w:p>
    <w:p w14:paraId="448672B0" w14:textId="77777777" w:rsidR="0083748E" w:rsidRDefault="0083748E" w:rsidP="008F6129">
      <w:pPr>
        <w:pStyle w:val="BodyText"/>
        <w:numPr>
          <w:ilvl w:val="0"/>
          <w:numId w:val="10"/>
        </w:numPr>
        <w:spacing w:before="120" w:after="0" w:line="312" w:lineRule="auto"/>
        <w:rPr>
          <w:rFonts w:ascii="Arial" w:hAnsi="Arial" w:cs="Arial"/>
        </w:rPr>
      </w:pPr>
      <w:r>
        <w:rPr>
          <w:rFonts w:ascii="Arial" w:hAnsi="Arial" w:cs="Arial"/>
        </w:rPr>
        <w:t>Phosphoric acid production form phosphate rock containing carbonates</w:t>
      </w:r>
    </w:p>
    <w:p w14:paraId="74EA9CE1" w14:textId="77777777" w:rsidR="005A2CA7" w:rsidRDefault="005A2CA7" w:rsidP="008F6129">
      <w:pPr>
        <w:pStyle w:val="BodyText"/>
        <w:numPr>
          <w:ilvl w:val="0"/>
          <w:numId w:val="10"/>
        </w:numPr>
        <w:spacing w:before="120" w:after="0" w:line="312" w:lineRule="auto"/>
        <w:rPr>
          <w:rFonts w:ascii="Arial" w:hAnsi="Arial" w:cs="Arial"/>
        </w:rPr>
      </w:pPr>
      <w:r>
        <w:rPr>
          <w:rFonts w:ascii="Arial" w:hAnsi="Arial" w:cs="Arial"/>
        </w:rPr>
        <w:t>Brick production</w:t>
      </w:r>
    </w:p>
    <w:p w14:paraId="679166DC" w14:textId="77777777" w:rsidR="005A2CA7" w:rsidRDefault="005A2CA7" w:rsidP="008F6129">
      <w:pPr>
        <w:pStyle w:val="BodyText"/>
        <w:numPr>
          <w:ilvl w:val="0"/>
          <w:numId w:val="10"/>
        </w:numPr>
        <w:spacing w:before="120" w:after="0" w:line="312" w:lineRule="auto"/>
        <w:rPr>
          <w:rFonts w:ascii="Arial" w:hAnsi="Arial" w:cs="Arial"/>
        </w:rPr>
      </w:pPr>
      <w:r>
        <w:rPr>
          <w:rFonts w:ascii="Arial" w:hAnsi="Arial" w:cs="Arial"/>
        </w:rPr>
        <w:t>Ceramic production</w:t>
      </w:r>
    </w:p>
    <w:p w14:paraId="50240154" w14:textId="77777777" w:rsidR="00010E2E" w:rsidRDefault="00CA4FB8">
      <w:pPr>
        <w:pStyle w:val="Equation"/>
        <w:jc w:val="center"/>
        <w:rPr>
          <w:rFonts w:ascii="Times New Roman" w:hAnsi="Times New Roman" w:cs="Times New Roman"/>
          <w:sz w:val="28"/>
          <w:szCs w:val="28"/>
        </w:rPr>
      </w:pPr>
      <w:r>
        <w:rPr>
          <w:position w:val="-16"/>
          <w:sz w:val="22"/>
          <w:szCs w:val="22"/>
        </w:rPr>
        <w:pict w14:anchorId="38D54A24">
          <v:shape id="_x0000_i1038" type="#_x0000_t75" style="width:128.25pt;height:19.5pt">
            <v:imagedata r:id="rId41" o:title=""/>
          </v:shape>
        </w:pict>
      </w:r>
    </w:p>
    <w:p w14:paraId="1053D394" w14:textId="77777777" w:rsidR="00010E2E" w:rsidRPr="008870C0" w:rsidRDefault="00010E2E">
      <w:pPr>
        <w:pStyle w:val="EquationNote"/>
        <w:ind w:firstLine="0"/>
        <w:rPr>
          <w:rFonts w:ascii="Times New Roman" w:hAnsi="Times New Roman" w:cs="Times New Roman"/>
          <w:sz w:val="22"/>
          <w:szCs w:val="22"/>
        </w:rPr>
      </w:pPr>
      <w:r w:rsidRPr="008870C0">
        <w:rPr>
          <w:rFonts w:ascii="Times New Roman" w:hAnsi="Times New Roman" w:cs="Times New Roman"/>
          <w:sz w:val="22"/>
          <w:szCs w:val="22"/>
        </w:rPr>
        <w:t>where:</w:t>
      </w:r>
    </w:p>
    <w:p w14:paraId="7AE882FE"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annual emissions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from the </w:t>
      </w:r>
      <w:r w:rsidR="00FE7726" w:rsidRPr="008870C0">
        <w:rPr>
          <w:rFonts w:ascii="Times New Roman" w:hAnsi="Times New Roman" w:cs="Times New Roman"/>
          <w:sz w:val="22"/>
          <w:szCs w:val="22"/>
        </w:rPr>
        <w:t xml:space="preserve">consumption </w:t>
      </w:r>
      <w:r w:rsidRPr="008870C0">
        <w:rPr>
          <w:rFonts w:ascii="Times New Roman" w:hAnsi="Times New Roman" w:cs="Times New Roman"/>
          <w:sz w:val="22"/>
          <w:szCs w:val="22"/>
        </w:rPr>
        <w:t>of carbonate (CO</w:t>
      </w:r>
      <w:r w:rsidRPr="008870C0">
        <w:rPr>
          <w:rFonts w:ascii="Times New Roman" w:hAnsi="Times New Roman" w:cs="Times New Roman"/>
          <w:sz w:val="22"/>
          <w:szCs w:val="22"/>
          <w:vertAlign w:val="subscript"/>
        </w:rPr>
        <w:t>2</w:t>
      </w:r>
      <w:r w:rsidRPr="008870C0">
        <w:rPr>
          <w:rFonts w:ascii="Times New Roman" w:hAnsi="Times New Roman" w:cs="Times New Roman"/>
          <w:sz w:val="22"/>
          <w:szCs w:val="22"/>
        </w:rPr>
        <w:t>-e tonnes)</w:t>
      </w:r>
    </w:p>
    <w:p w14:paraId="44F64D40"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Q</w:t>
      </w:r>
      <w:r w:rsidRPr="008870C0">
        <w:rPr>
          <w:rStyle w:val="Subscript"/>
          <w:rFonts w:ascii="Times New Roman" w:hAnsi="Times New Roman" w:cs="Times New Roman"/>
          <w:b/>
          <w:i/>
          <w:sz w:val="22"/>
          <w:szCs w:val="22"/>
        </w:rPr>
        <w:t>j</w:t>
      </w:r>
      <w:r w:rsidRPr="008870C0">
        <w:rPr>
          <w:rFonts w:ascii="Times New Roman" w:hAnsi="Times New Roman" w:cs="Times New Roman"/>
          <w:sz w:val="22"/>
          <w:szCs w:val="22"/>
        </w:rPr>
        <w:t xml:space="preserve"> is the quantity of raw carbonate material </w:t>
      </w:r>
      <w:r w:rsidR="00FE7726" w:rsidRPr="008870C0">
        <w:rPr>
          <w:rFonts w:ascii="Times New Roman" w:hAnsi="Times New Roman" w:cs="Times New Roman"/>
          <w:sz w:val="22"/>
          <w:szCs w:val="22"/>
        </w:rPr>
        <w:t xml:space="preserve">consumed </w:t>
      </w:r>
      <w:r w:rsidRPr="008870C0">
        <w:rPr>
          <w:rFonts w:ascii="Times New Roman" w:hAnsi="Times New Roman" w:cs="Times New Roman"/>
          <w:sz w:val="22"/>
          <w:szCs w:val="22"/>
        </w:rPr>
        <w:t>(tonnes)</w:t>
      </w:r>
    </w:p>
    <w:p w14:paraId="37FE5735"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EF</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emission factor for each carbonate material type (tonnes CO</w:t>
      </w:r>
      <w:r w:rsidRPr="008870C0">
        <w:rPr>
          <w:rFonts w:ascii="Times New Roman" w:hAnsi="Times New Roman" w:cs="Times New Roman"/>
          <w:sz w:val="22"/>
          <w:szCs w:val="22"/>
          <w:vertAlign w:val="subscript"/>
        </w:rPr>
        <w:t>2</w:t>
      </w:r>
      <w:r w:rsidRPr="008870C0">
        <w:rPr>
          <w:rFonts w:ascii="Times New Roman" w:hAnsi="Times New Roman" w:cs="Times New Roman"/>
          <w:sz w:val="22"/>
          <w:szCs w:val="22"/>
        </w:rPr>
        <w:t xml:space="preserve"> per tonne of carbonate). See Table 2</w:t>
      </w:r>
      <w:r w:rsidR="005443A8" w:rsidRPr="008870C0">
        <w:rPr>
          <w:rFonts w:ascii="Times New Roman" w:hAnsi="Times New Roman" w:cs="Times New Roman"/>
          <w:sz w:val="22"/>
          <w:szCs w:val="22"/>
        </w:rPr>
        <w:t>0</w:t>
      </w:r>
      <w:r w:rsidRPr="008870C0">
        <w:rPr>
          <w:rFonts w:ascii="Times New Roman" w:hAnsi="Times New Roman" w:cs="Times New Roman"/>
          <w:sz w:val="22"/>
          <w:szCs w:val="22"/>
        </w:rPr>
        <w:t>.</w:t>
      </w:r>
    </w:p>
    <w:p w14:paraId="3364669E" w14:textId="77777777" w:rsidR="00010E2E" w:rsidRPr="008870C0" w:rsidRDefault="00010E2E">
      <w:pPr>
        <w:pStyle w:val="EquationNote"/>
        <w:ind w:left="720"/>
        <w:rPr>
          <w:rFonts w:ascii="Times New Roman" w:hAnsi="Times New Roman" w:cs="Times New Roman"/>
          <w:iCs w:val="0"/>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F</w:t>
      </w:r>
      <w:r w:rsidRPr="008870C0">
        <w:rPr>
          <w:rStyle w:val="Subscript"/>
          <w:rFonts w:ascii="Times New Roman" w:hAnsi="Times New Roman" w:cs="Times New Roman"/>
          <w:b/>
          <w:i/>
          <w:sz w:val="22"/>
          <w:szCs w:val="22"/>
        </w:rPr>
        <w:t>cal</w:t>
      </w:r>
      <w:r w:rsidRPr="008870C0">
        <w:rPr>
          <w:rStyle w:val="Subscript"/>
          <w:rFonts w:ascii="Times New Roman" w:hAnsi="Times New Roman" w:cs="Times New Roman"/>
          <w:sz w:val="22"/>
          <w:szCs w:val="22"/>
        </w:rPr>
        <w:t xml:space="preserve"> </w:t>
      </w:r>
      <w:r w:rsidRPr="008870C0">
        <w:rPr>
          <w:rFonts w:ascii="Times New Roman" w:hAnsi="Times New Roman" w:cs="Times New Roman"/>
          <w:sz w:val="22"/>
          <w:szCs w:val="22"/>
        </w:rPr>
        <w:t xml:space="preserve">is the fraction of the carbonate calcined.  </w:t>
      </w:r>
      <w:r w:rsidRPr="008870C0">
        <w:rPr>
          <w:rFonts w:ascii="Times New Roman" w:hAnsi="Times New Roman" w:cs="Times New Roman"/>
          <w:iCs w:val="0"/>
          <w:sz w:val="22"/>
          <w:szCs w:val="22"/>
        </w:rPr>
        <w:t>If the information is not available the degree is assumed to be 100%, that F</w:t>
      </w:r>
      <w:r w:rsidRPr="008870C0">
        <w:rPr>
          <w:rStyle w:val="Subscript"/>
          <w:rFonts w:ascii="Times New Roman" w:hAnsi="Times New Roman" w:cs="Times New Roman"/>
          <w:sz w:val="22"/>
          <w:szCs w:val="22"/>
        </w:rPr>
        <w:t>cal</w:t>
      </w:r>
      <w:r w:rsidRPr="008870C0">
        <w:rPr>
          <w:rFonts w:ascii="Times New Roman" w:hAnsi="Times New Roman" w:cs="Times New Roman"/>
          <w:iCs w:val="0"/>
          <w:sz w:val="22"/>
          <w:szCs w:val="22"/>
        </w:rPr>
        <w:t xml:space="preserve"> =1</w:t>
      </w:r>
    </w:p>
    <w:p w14:paraId="2DC1977D" w14:textId="77777777" w:rsidR="00D76245" w:rsidRDefault="00D76245" w:rsidP="00C23E3B">
      <w:pPr>
        <w:pStyle w:val="Caption"/>
      </w:pPr>
    </w:p>
    <w:p w14:paraId="76DD52F3" w14:textId="77777777" w:rsidR="000263C1" w:rsidRPr="00013789" w:rsidRDefault="00010E2E" w:rsidP="000263C1">
      <w:pPr>
        <w:pStyle w:val="BodyText"/>
        <w:tabs>
          <w:tab w:val="left" w:pos="0"/>
          <w:tab w:val="left" w:pos="2250"/>
        </w:tabs>
        <w:spacing w:before="120" w:after="0" w:line="312" w:lineRule="auto"/>
        <w:ind w:left="0"/>
        <w:rPr>
          <w:rFonts w:ascii="Arial" w:hAnsi="Arial" w:cs="Arial"/>
        </w:rPr>
      </w:pPr>
      <w:r>
        <w:rPr>
          <w:rFonts w:ascii="Arial" w:hAnsi="Arial" w:cs="Arial"/>
        </w:rPr>
        <w:t>Total greenhouse emissions are calculated by summing the emissions of each carbonate type consumed.</w:t>
      </w:r>
    </w:p>
    <w:p w14:paraId="23C42B7E" w14:textId="77777777" w:rsidR="00D76245" w:rsidRDefault="00962F82" w:rsidP="00C23E3B">
      <w:pPr>
        <w:pStyle w:val="Caption"/>
      </w:pPr>
      <w:bookmarkStart w:id="88" w:name="_Toc391646706"/>
      <w:bookmarkStart w:id="89" w:name="_Toc485728129"/>
      <w:r>
        <w:t xml:space="preserve">Table </w:t>
      </w:r>
      <w:r w:rsidR="00DC52E0">
        <w:fldChar w:fldCharType="begin"/>
      </w:r>
      <w:r>
        <w:instrText xml:space="preserve"> SEQ Table \* ARABIC </w:instrText>
      </w:r>
      <w:r w:rsidR="00DC52E0">
        <w:fldChar w:fldCharType="separate"/>
      </w:r>
      <w:r w:rsidR="004A1330">
        <w:rPr>
          <w:noProof/>
        </w:rPr>
        <w:t>21</w:t>
      </w:r>
      <w:r w:rsidR="00DC52E0">
        <w:fldChar w:fldCharType="end"/>
      </w:r>
      <w:r w:rsidR="00010E2E">
        <w:t>: Calcination of carbonates emission factors</w:t>
      </w:r>
      <w:bookmarkEnd w:id="88"/>
      <w:bookmarkEnd w:id="89"/>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5386"/>
      </w:tblGrid>
      <w:tr w:rsidR="00010E2E" w14:paraId="39E42B90" w14:textId="77777777" w:rsidTr="00DD4FF2">
        <w:trPr>
          <w:cantSplit/>
        </w:trPr>
        <w:tc>
          <w:tcPr>
            <w:tcW w:w="3119" w:type="dxa"/>
            <w:vMerge w:val="restart"/>
            <w:shd w:val="pct15" w:color="auto" w:fill="auto"/>
            <w:vAlign w:val="center"/>
          </w:tcPr>
          <w:p w14:paraId="37C533F3" w14:textId="77777777" w:rsidR="00010E2E" w:rsidRDefault="00010E2E" w:rsidP="00DD4FF2">
            <w:pPr>
              <w:pStyle w:val="Table"/>
              <w:keepNext/>
              <w:jc w:val="center"/>
              <w:rPr>
                <w:b/>
                <w:bCs/>
              </w:rPr>
            </w:pPr>
            <w:r>
              <w:rPr>
                <w:b/>
                <w:bCs/>
              </w:rPr>
              <w:t>Source</w:t>
            </w:r>
            <w:r>
              <w:t xml:space="preserve"> </w:t>
            </w:r>
            <w:r>
              <w:rPr>
                <w:b/>
                <w:bCs/>
              </w:rPr>
              <w:t>of  carbonate consumption</w:t>
            </w:r>
          </w:p>
        </w:tc>
        <w:tc>
          <w:tcPr>
            <w:tcW w:w="5386" w:type="dxa"/>
            <w:shd w:val="pct15" w:color="auto" w:fill="auto"/>
            <w:vAlign w:val="center"/>
          </w:tcPr>
          <w:p w14:paraId="2366CD71" w14:textId="77777777" w:rsidR="00010E2E" w:rsidRDefault="00010E2E" w:rsidP="00DD4FF2">
            <w:pPr>
              <w:pStyle w:val="TableCentre"/>
              <w:keepNext/>
              <w:rPr>
                <w:b/>
                <w:bCs/>
              </w:rPr>
            </w:pPr>
            <w:r>
              <w:rPr>
                <w:b/>
                <w:bCs/>
              </w:rPr>
              <w:t>Emission factor (</w:t>
            </w:r>
            <w:r>
              <w:rPr>
                <w:rFonts w:ascii="Times New Roman" w:hAnsi="Times New Roman" w:cs="Times New Roman"/>
                <w:b/>
                <w:i/>
                <w:sz w:val="24"/>
                <w:szCs w:val="24"/>
              </w:rPr>
              <w:t>EF</w:t>
            </w:r>
            <w:r>
              <w:rPr>
                <w:rStyle w:val="Subscript"/>
                <w:rFonts w:ascii="Times New Roman" w:hAnsi="Times New Roman" w:cs="Times New Roman"/>
                <w:b/>
                <w:i/>
                <w:sz w:val="24"/>
                <w:szCs w:val="24"/>
              </w:rPr>
              <w:t>ij</w:t>
            </w:r>
            <w:r>
              <w:rPr>
                <w:b/>
                <w:bCs/>
              </w:rPr>
              <w:t>) (tonne CO</w:t>
            </w:r>
            <w:r>
              <w:rPr>
                <w:rStyle w:val="Subscript"/>
                <w:b/>
                <w:bCs/>
              </w:rPr>
              <w:t>2</w:t>
            </w:r>
            <w:r>
              <w:rPr>
                <w:b/>
                <w:bCs/>
              </w:rPr>
              <w:t>-e per tonne)</w:t>
            </w:r>
          </w:p>
        </w:tc>
      </w:tr>
      <w:tr w:rsidR="00010E2E" w14:paraId="733348A1" w14:textId="77777777" w:rsidTr="00DD4FF2">
        <w:trPr>
          <w:cantSplit/>
        </w:trPr>
        <w:tc>
          <w:tcPr>
            <w:tcW w:w="3119" w:type="dxa"/>
            <w:vMerge/>
            <w:shd w:val="pct15" w:color="auto" w:fill="auto"/>
            <w:vAlign w:val="center"/>
          </w:tcPr>
          <w:p w14:paraId="0168000B" w14:textId="77777777" w:rsidR="00010E2E" w:rsidRDefault="00010E2E" w:rsidP="00DD4FF2">
            <w:pPr>
              <w:pStyle w:val="Table"/>
              <w:keepNext/>
              <w:jc w:val="center"/>
              <w:rPr>
                <w:b/>
                <w:bCs/>
              </w:rPr>
            </w:pPr>
          </w:p>
        </w:tc>
        <w:tc>
          <w:tcPr>
            <w:tcW w:w="5386" w:type="dxa"/>
            <w:shd w:val="pct15" w:color="auto" w:fill="auto"/>
            <w:vAlign w:val="center"/>
          </w:tcPr>
          <w:p w14:paraId="0DD6597A" w14:textId="77777777" w:rsidR="00010E2E" w:rsidRDefault="00010E2E" w:rsidP="00DD4FF2">
            <w:pPr>
              <w:pStyle w:val="TableCentre"/>
              <w:keepNext/>
              <w:rPr>
                <w:b/>
                <w:bCs/>
              </w:rPr>
            </w:pPr>
            <w:r>
              <w:rPr>
                <w:b/>
                <w:bCs/>
              </w:rPr>
              <w:t>CO</w:t>
            </w:r>
            <w:r>
              <w:rPr>
                <w:rStyle w:val="Subscript"/>
                <w:b/>
                <w:bCs/>
              </w:rPr>
              <w:t>2</w:t>
            </w:r>
          </w:p>
        </w:tc>
      </w:tr>
      <w:tr w:rsidR="00010E2E" w14:paraId="0D2FD782" w14:textId="77777777" w:rsidTr="00DD4FF2">
        <w:tc>
          <w:tcPr>
            <w:tcW w:w="3119" w:type="dxa"/>
          </w:tcPr>
          <w:p w14:paraId="11762D62" w14:textId="77777777" w:rsidR="00010E2E" w:rsidRDefault="00010E2E">
            <w:pPr>
              <w:pStyle w:val="Table"/>
            </w:pPr>
            <w:r>
              <w:t>Limestone (calcium carbonate)</w:t>
            </w:r>
          </w:p>
        </w:tc>
        <w:tc>
          <w:tcPr>
            <w:tcW w:w="5386" w:type="dxa"/>
          </w:tcPr>
          <w:p w14:paraId="7DB7BF39" w14:textId="77777777" w:rsidR="00010E2E" w:rsidRDefault="00010E2E">
            <w:pPr>
              <w:pStyle w:val="TableCentre"/>
            </w:pPr>
            <w:r>
              <w:t>0.396</w:t>
            </w:r>
          </w:p>
        </w:tc>
      </w:tr>
      <w:tr w:rsidR="00010E2E" w14:paraId="32E43CAD" w14:textId="77777777" w:rsidTr="00DD4FF2">
        <w:tc>
          <w:tcPr>
            <w:tcW w:w="3119" w:type="dxa"/>
          </w:tcPr>
          <w:p w14:paraId="7F6B5BFB" w14:textId="77777777" w:rsidR="00010E2E" w:rsidRDefault="00010E2E">
            <w:pPr>
              <w:pStyle w:val="Table"/>
            </w:pPr>
            <w:r>
              <w:t>Magnesium carbonate</w:t>
            </w:r>
          </w:p>
        </w:tc>
        <w:tc>
          <w:tcPr>
            <w:tcW w:w="5386" w:type="dxa"/>
          </w:tcPr>
          <w:p w14:paraId="54B4B082" w14:textId="77777777" w:rsidR="00010E2E" w:rsidRDefault="00010E2E">
            <w:pPr>
              <w:pStyle w:val="TableCentre"/>
            </w:pPr>
            <w:r>
              <w:t>0.522</w:t>
            </w:r>
          </w:p>
        </w:tc>
      </w:tr>
      <w:tr w:rsidR="00010E2E" w14:paraId="7237C64B" w14:textId="77777777" w:rsidTr="00DD4FF2">
        <w:tc>
          <w:tcPr>
            <w:tcW w:w="3119" w:type="dxa"/>
          </w:tcPr>
          <w:p w14:paraId="78F87D54" w14:textId="77777777" w:rsidR="00010E2E" w:rsidRDefault="00010E2E">
            <w:pPr>
              <w:pStyle w:val="Table"/>
            </w:pPr>
            <w:r>
              <w:t>Dolomite</w:t>
            </w:r>
          </w:p>
        </w:tc>
        <w:tc>
          <w:tcPr>
            <w:tcW w:w="5386" w:type="dxa"/>
          </w:tcPr>
          <w:p w14:paraId="6FED0077" w14:textId="77777777" w:rsidR="00010E2E" w:rsidRDefault="00010E2E">
            <w:pPr>
              <w:pStyle w:val="TableCentre"/>
            </w:pPr>
            <w:r>
              <w:t>0.453</w:t>
            </w:r>
          </w:p>
        </w:tc>
      </w:tr>
    </w:tbl>
    <w:p w14:paraId="60BF2F31" w14:textId="77777777" w:rsidR="00010E2E" w:rsidRPr="00661B87" w:rsidRDefault="00010E2E">
      <w:pPr>
        <w:pStyle w:val="Text"/>
        <w:spacing w:before="0"/>
        <w:rPr>
          <w:rFonts w:ascii="Arial" w:hAnsi="Arial" w:cs="Arial"/>
          <w:sz w:val="16"/>
          <w:szCs w:val="16"/>
        </w:rPr>
      </w:pPr>
      <w:r w:rsidRPr="00661B87">
        <w:rPr>
          <w:rFonts w:ascii="Arial" w:hAnsi="Arial" w:cs="Arial"/>
          <w:sz w:val="16"/>
          <w:szCs w:val="16"/>
        </w:rPr>
        <w:t>Source: National Greenhouse and Energy Reporting (Measurement) Deter</w:t>
      </w:r>
      <w:r w:rsidR="00B90C7D">
        <w:rPr>
          <w:rFonts w:ascii="Arial" w:hAnsi="Arial" w:cs="Arial"/>
          <w:sz w:val="16"/>
          <w:szCs w:val="16"/>
        </w:rPr>
        <w:t>mination 20</w:t>
      </w:r>
      <w:r w:rsidR="008977EF">
        <w:rPr>
          <w:rFonts w:ascii="Arial" w:hAnsi="Arial" w:cs="Arial"/>
          <w:sz w:val="16"/>
          <w:szCs w:val="16"/>
        </w:rPr>
        <w:t>08</w:t>
      </w:r>
      <w:r w:rsidRPr="00661B87">
        <w:rPr>
          <w:rFonts w:ascii="Arial" w:hAnsi="Arial" w:cs="Arial"/>
          <w:sz w:val="16"/>
          <w:szCs w:val="16"/>
        </w:rPr>
        <w:t xml:space="preserve"> (Section 4.22)</w:t>
      </w:r>
      <w:r w:rsidR="000B79B3" w:rsidRPr="000B79B3">
        <w:rPr>
          <w:rFonts w:ascii="Arial" w:hAnsi="Arial" w:cs="Arial"/>
          <w:sz w:val="16"/>
          <w:szCs w:val="16"/>
        </w:rPr>
        <w:t>.</w:t>
      </w:r>
    </w:p>
    <w:p w14:paraId="2182660F" w14:textId="77777777" w:rsidR="00010E2E" w:rsidRDefault="00010E2E">
      <w:pPr>
        <w:pStyle w:val="BodyText"/>
        <w:tabs>
          <w:tab w:val="left" w:pos="0"/>
        </w:tabs>
        <w:spacing w:before="120" w:after="0" w:line="312" w:lineRule="auto"/>
        <w:ind w:left="0"/>
        <w:rPr>
          <w:rStyle w:val="CharDivText"/>
          <w:rFonts w:ascii="Arial" w:hAnsi="Arial" w:cs="Arial"/>
          <w:u w:val="single"/>
        </w:rPr>
      </w:pPr>
    </w:p>
    <w:p w14:paraId="22921F93" w14:textId="77777777" w:rsidR="005A2CA7" w:rsidRDefault="005A2CA7" w:rsidP="005A2CA7">
      <w:pPr>
        <w:pStyle w:val="Heading2"/>
        <w:tabs>
          <w:tab w:val="left" w:pos="0"/>
          <w:tab w:val="left" w:pos="851"/>
        </w:tabs>
        <w:spacing w:before="120" w:after="0" w:line="312" w:lineRule="auto"/>
        <w:ind w:left="578" w:hanging="578"/>
        <w:rPr>
          <w:rFonts w:ascii="Arial" w:hAnsi="Arial"/>
        </w:rPr>
      </w:pPr>
      <w:r>
        <w:rPr>
          <w:rFonts w:ascii="Arial" w:hAnsi="Arial"/>
        </w:rPr>
        <w:t>Use of carbonates in clay materials</w:t>
      </w:r>
    </w:p>
    <w:p w14:paraId="5AD200E0" w14:textId="77777777" w:rsidR="005A2CA7" w:rsidRDefault="005A2CA7" w:rsidP="005A2CA7">
      <w:pPr>
        <w:pStyle w:val="BodyText"/>
        <w:spacing w:after="0" w:line="312" w:lineRule="auto"/>
        <w:ind w:left="0"/>
        <w:rPr>
          <w:rFonts w:ascii="Arial" w:hAnsi="Arial" w:cs="Arial"/>
        </w:rPr>
      </w:pPr>
    </w:p>
    <w:p w14:paraId="45786D3D" w14:textId="77777777" w:rsidR="005A2CA7" w:rsidRDefault="005A2CA7" w:rsidP="005A2CA7">
      <w:pPr>
        <w:pStyle w:val="BodyText"/>
        <w:spacing w:after="0" w:line="312" w:lineRule="auto"/>
        <w:ind w:left="0"/>
        <w:rPr>
          <w:rFonts w:ascii="Arial" w:hAnsi="Arial" w:cs="Arial"/>
        </w:rPr>
      </w:pPr>
      <w:r>
        <w:rPr>
          <w:rFonts w:ascii="Arial" w:hAnsi="Arial" w:cs="Arial"/>
        </w:rPr>
        <w:t xml:space="preserve">An </w:t>
      </w:r>
      <w:r w:rsidRPr="00287E32">
        <w:rPr>
          <w:rFonts w:ascii="Arial" w:hAnsi="Arial" w:cs="Arial"/>
        </w:rPr>
        <w:t>alternative method 1 for use of carbonates in clay materials</w:t>
      </w:r>
      <w:r>
        <w:rPr>
          <w:rFonts w:ascii="Arial" w:hAnsi="Arial" w:cs="Arial"/>
        </w:rPr>
        <w:t xml:space="preserve"> is provided</w:t>
      </w:r>
      <w:r w:rsidRPr="00287E32">
        <w:rPr>
          <w:rFonts w:ascii="Arial" w:hAnsi="Arial" w:cs="Arial"/>
        </w:rPr>
        <w:t>. This method 1 uses the inorganic carbon content of the clay material consumed and the quantity of clay material consumed to estimate emissions from this source. Default inorganic carbon content factors are provided by State and Territory.</w:t>
      </w:r>
    </w:p>
    <w:p w14:paraId="38038B29" w14:textId="77777777" w:rsidR="005A2CA7" w:rsidRDefault="005A2CA7" w:rsidP="005A2CA7">
      <w:pPr>
        <w:pStyle w:val="BodyText"/>
      </w:pPr>
    </w:p>
    <w:p w14:paraId="7AFE811A" w14:textId="77777777" w:rsidR="005A2CA7" w:rsidRPr="008870C0" w:rsidRDefault="008870C0" w:rsidP="005A2CA7">
      <w:pPr>
        <w:pStyle w:val="ZR1"/>
        <w:rPr>
          <w:sz w:val="22"/>
          <w:szCs w:val="22"/>
        </w:rPr>
      </w:pPr>
      <w:r>
        <w:rPr>
          <w:sz w:val="22"/>
          <w:szCs w:val="22"/>
        </w:rPr>
        <w:tab/>
      </w:r>
      <w:r>
        <w:rPr>
          <w:sz w:val="22"/>
          <w:szCs w:val="22"/>
        </w:rPr>
        <w:tab/>
      </w:r>
      <w:r w:rsidR="005A2CA7" w:rsidRPr="008870C0">
        <w:rPr>
          <w:sz w:val="22"/>
          <w:szCs w:val="22"/>
        </w:rPr>
        <w:t>measure the amount of emissions of carbon dioxide r</w:t>
      </w:r>
      <w:r>
        <w:rPr>
          <w:sz w:val="22"/>
          <w:szCs w:val="22"/>
        </w:rPr>
        <w:t xml:space="preserve">eleased from each clay material </w:t>
      </w:r>
      <w:r w:rsidR="005A2CA7" w:rsidRPr="008870C0">
        <w:rPr>
          <w:sz w:val="22"/>
          <w:szCs w:val="22"/>
        </w:rPr>
        <w:t>consumed in the industrial process during the reporting year, measured in CO</w:t>
      </w:r>
      <w:r w:rsidR="005A2CA7" w:rsidRPr="008870C0">
        <w:rPr>
          <w:rStyle w:val="Subscript"/>
          <w:sz w:val="22"/>
          <w:szCs w:val="22"/>
        </w:rPr>
        <w:t>2</w:t>
      </w:r>
      <w:r w:rsidR="005A2CA7" w:rsidRPr="008870C0">
        <w:rPr>
          <w:sz w:val="22"/>
          <w:szCs w:val="22"/>
        </w:rPr>
        <w:noBreakHyphen/>
        <w:t>e tonnes, using the following formula:</w:t>
      </w:r>
    </w:p>
    <w:p w14:paraId="10ABC127" w14:textId="77777777" w:rsidR="005A2CA7" w:rsidRPr="008870C0" w:rsidRDefault="00CA4FB8" w:rsidP="005A2CA7">
      <w:pPr>
        <w:pStyle w:val="Formula"/>
        <w:keepLines/>
        <w:rPr>
          <w:sz w:val="22"/>
          <w:szCs w:val="22"/>
        </w:rPr>
      </w:pPr>
      <w:r>
        <w:rPr>
          <w:position w:val="-10"/>
          <w:sz w:val="22"/>
          <w:szCs w:val="22"/>
        </w:rPr>
        <w:pict w14:anchorId="698A2735">
          <v:shape id="_x0000_i1039" type="#_x0000_t75" style="width:117pt;height:15.75pt">
            <v:imagedata r:id="rId42" o:title=""/>
          </v:shape>
        </w:pict>
      </w:r>
    </w:p>
    <w:p w14:paraId="281DAEA4" w14:textId="77777777" w:rsidR="005A2CA7" w:rsidRPr="008870C0" w:rsidRDefault="005A2CA7" w:rsidP="005A2CA7">
      <w:pPr>
        <w:pStyle w:val="ZRcN"/>
        <w:keepLines/>
        <w:rPr>
          <w:sz w:val="22"/>
          <w:szCs w:val="22"/>
        </w:rPr>
      </w:pPr>
      <w:r w:rsidRPr="008870C0">
        <w:rPr>
          <w:sz w:val="22"/>
          <w:szCs w:val="22"/>
        </w:rPr>
        <w:t>where:</w:t>
      </w:r>
    </w:p>
    <w:p w14:paraId="15C18945" w14:textId="77777777" w:rsidR="005A2CA7" w:rsidRPr="008870C0" w:rsidRDefault="005A2CA7" w:rsidP="005A2CA7">
      <w:pPr>
        <w:pStyle w:val="definition"/>
        <w:keepLines/>
        <w:rPr>
          <w:sz w:val="22"/>
          <w:szCs w:val="22"/>
        </w:rPr>
      </w:pPr>
      <w:r w:rsidRPr="008870C0">
        <w:rPr>
          <w:b/>
          <w:i/>
          <w:sz w:val="22"/>
          <w:szCs w:val="22"/>
        </w:rPr>
        <w:t>E</w:t>
      </w:r>
      <w:r w:rsidRPr="008870C0">
        <w:rPr>
          <w:rStyle w:val="Subscript"/>
          <w:b/>
          <w:i/>
          <w:sz w:val="22"/>
          <w:szCs w:val="22"/>
        </w:rPr>
        <w:t>j</w:t>
      </w:r>
      <w:r w:rsidRPr="008870C0">
        <w:rPr>
          <w:b/>
          <w:i/>
          <w:sz w:val="22"/>
          <w:szCs w:val="22"/>
        </w:rPr>
        <w:t xml:space="preserve"> </w:t>
      </w:r>
      <w:r w:rsidRPr="008870C0">
        <w:rPr>
          <w:sz w:val="22"/>
          <w:szCs w:val="22"/>
        </w:rPr>
        <w:t>is the emissions of carbon dioxide released from the clay material consumed in the industrial process during the reporting year in a State or Territory</w:t>
      </w:r>
      <w:r w:rsidRPr="008870C0">
        <w:rPr>
          <w:b/>
          <w:sz w:val="22"/>
          <w:szCs w:val="22"/>
        </w:rPr>
        <w:t xml:space="preserve"> </w:t>
      </w:r>
      <w:r w:rsidRPr="008870C0">
        <w:rPr>
          <w:sz w:val="22"/>
          <w:szCs w:val="22"/>
        </w:rPr>
        <w:t>(</w:t>
      </w:r>
      <w:r w:rsidRPr="008870C0">
        <w:rPr>
          <w:b/>
          <w:i/>
          <w:sz w:val="22"/>
          <w:szCs w:val="22"/>
        </w:rPr>
        <w:t>j</w:t>
      </w:r>
      <w:r w:rsidRPr="008870C0">
        <w:rPr>
          <w:sz w:val="22"/>
          <w:szCs w:val="22"/>
        </w:rPr>
        <w:t>)</w:t>
      </w:r>
      <w:r w:rsidRPr="008870C0">
        <w:rPr>
          <w:b/>
          <w:i/>
          <w:sz w:val="22"/>
          <w:szCs w:val="22"/>
        </w:rPr>
        <w:t xml:space="preserve"> </w:t>
      </w:r>
      <w:r w:rsidRPr="008870C0">
        <w:rPr>
          <w:sz w:val="22"/>
          <w:szCs w:val="22"/>
        </w:rPr>
        <w:t>mentioned in column 2 of an item in the table in subsection (2), measured in CO</w:t>
      </w:r>
      <w:r w:rsidRPr="008870C0">
        <w:rPr>
          <w:rStyle w:val="Subscript"/>
          <w:sz w:val="22"/>
          <w:szCs w:val="22"/>
        </w:rPr>
        <w:t>2</w:t>
      </w:r>
      <w:r w:rsidRPr="008870C0">
        <w:rPr>
          <w:sz w:val="22"/>
          <w:szCs w:val="22"/>
        </w:rPr>
        <w:t>-e tonnes.</w:t>
      </w:r>
    </w:p>
    <w:p w14:paraId="3CBBDEAE" w14:textId="77777777" w:rsidR="005A2CA7" w:rsidRPr="008870C0" w:rsidRDefault="005A2CA7" w:rsidP="005A2CA7">
      <w:pPr>
        <w:pStyle w:val="definition"/>
        <w:keepLines/>
        <w:rPr>
          <w:sz w:val="22"/>
          <w:szCs w:val="22"/>
        </w:rPr>
      </w:pPr>
      <w:r w:rsidRPr="008870C0">
        <w:rPr>
          <w:b/>
          <w:i/>
          <w:sz w:val="22"/>
          <w:szCs w:val="22"/>
        </w:rPr>
        <w:t>Q</w:t>
      </w:r>
      <w:r w:rsidRPr="008870C0">
        <w:rPr>
          <w:rStyle w:val="Subscript"/>
          <w:b/>
          <w:i/>
          <w:sz w:val="22"/>
          <w:szCs w:val="22"/>
        </w:rPr>
        <w:t>j</w:t>
      </w:r>
      <w:r w:rsidRPr="008870C0">
        <w:rPr>
          <w:b/>
          <w:i/>
          <w:sz w:val="22"/>
          <w:szCs w:val="22"/>
        </w:rPr>
        <w:t xml:space="preserve"> </w:t>
      </w:r>
      <w:r w:rsidRPr="008870C0">
        <w:rPr>
          <w:sz w:val="22"/>
          <w:szCs w:val="22"/>
        </w:rPr>
        <w:t>is the quantity of clay material consumed in the industrial process during the reporting year in a State or Territory (</w:t>
      </w:r>
      <w:r w:rsidRPr="008870C0">
        <w:rPr>
          <w:b/>
          <w:i/>
          <w:sz w:val="22"/>
          <w:szCs w:val="22"/>
        </w:rPr>
        <w:t>j</w:t>
      </w:r>
      <w:r w:rsidRPr="008870C0">
        <w:rPr>
          <w:sz w:val="22"/>
          <w:szCs w:val="22"/>
        </w:rPr>
        <w:t>)</w:t>
      </w:r>
      <w:r w:rsidRPr="008870C0">
        <w:rPr>
          <w:b/>
          <w:i/>
          <w:sz w:val="22"/>
          <w:szCs w:val="22"/>
        </w:rPr>
        <w:t xml:space="preserve"> </w:t>
      </w:r>
      <w:r w:rsidRPr="008870C0">
        <w:rPr>
          <w:sz w:val="22"/>
          <w:szCs w:val="22"/>
        </w:rPr>
        <w:t>mentioned in column 2 of an item in the table in subsection (2), measured in tonnes and estimated under Division 4.2.5.</w:t>
      </w:r>
    </w:p>
    <w:p w14:paraId="0E5A7F0C" w14:textId="77777777" w:rsidR="005A2CA7" w:rsidRPr="008870C0" w:rsidRDefault="005A2CA7" w:rsidP="005A2CA7">
      <w:pPr>
        <w:pStyle w:val="definition"/>
        <w:keepLines/>
        <w:rPr>
          <w:sz w:val="22"/>
          <w:szCs w:val="22"/>
        </w:rPr>
      </w:pPr>
      <w:r w:rsidRPr="008870C0">
        <w:rPr>
          <w:b/>
          <w:i/>
          <w:sz w:val="22"/>
          <w:szCs w:val="22"/>
        </w:rPr>
        <w:t>ICC</w:t>
      </w:r>
      <w:r w:rsidRPr="008870C0">
        <w:rPr>
          <w:rStyle w:val="Subscript"/>
          <w:b/>
          <w:i/>
          <w:sz w:val="22"/>
          <w:szCs w:val="22"/>
        </w:rPr>
        <w:t>j</w:t>
      </w:r>
      <w:r w:rsidRPr="008870C0">
        <w:rPr>
          <w:b/>
          <w:i/>
          <w:sz w:val="22"/>
          <w:szCs w:val="22"/>
        </w:rPr>
        <w:t xml:space="preserve"> </w:t>
      </w:r>
      <w:r w:rsidRPr="008870C0">
        <w:rPr>
          <w:sz w:val="22"/>
          <w:szCs w:val="22"/>
        </w:rPr>
        <w:t>is the inorganic carbon content factor of clay material specified in column 3 of an item in the table in subsection (2) for each State or Territory (</w:t>
      </w:r>
      <w:r w:rsidRPr="008870C0">
        <w:rPr>
          <w:b/>
          <w:i/>
          <w:sz w:val="22"/>
          <w:szCs w:val="22"/>
        </w:rPr>
        <w:t>j</w:t>
      </w:r>
      <w:r w:rsidRPr="008870C0">
        <w:rPr>
          <w:sz w:val="22"/>
          <w:szCs w:val="22"/>
        </w:rPr>
        <w:t>)</w:t>
      </w:r>
      <w:r w:rsidRPr="008870C0">
        <w:rPr>
          <w:b/>
          <w:i/>
          <w:sz w:val="22"/>
          <w:szCs w:val="22"/>
        </w:rPr>
        <w:t xml:space="preserve"> </w:t>
      </w:r>
      <w:r w:rsidRPr="008870C0">
        <w:rPr>
          <w:sz w:val="22"/>
          <w:szCs w:val="22"/>
        </w:rPr>
        <w:t>mentioned in column 2 of the item.</w:t>
      </w:r>
    </w:p>
    <w:p w14:paraId="40C8ADED" w14:textId="77777777" w:rsidR="00F94A77" w:rsidRDefault="005A2CA7" w:rsidP="005A2CA7">
      <w:pPr>
        <w:pStyle w:val="R2"/>
        <w:spacing w:after="120"/>
        <w:rPr>
          <w:sz w:val="22"/>
          <w:szCs w:val="22"/>
        </w:rPr>
      </w:pPr>
      <w:r w:rsidRPr="008870C0">
        <w:rPr>
          <w:sz w:val="22"/>
          <w:szCs w:val="22"/>
        </w:rPr>
        <w:tab/>
      </w:r>
    </w:p>
    <w:p w14:paraId="6DC52A45" w14:textId="77777777" w:rsidR="005A2CA7" w:rsidRPr="008870C0" w:rsidRDefault="005A2CA7" w:rsidP="001A14BB">
      <w:pPr>
        <w:ind w:left="0"/>
        <w:rPr>
          <w:sz w:val="22"/>
          <w:szCs w:val="22"/>
          <w:lang w:eastAsia="en-AU"/>
        </w:rPr>
      </w:pPr>
      <w:r w:rsidRPr="008870C0">
        <w:rPr>
          <w:sz w:val="22"/>
          <w:szCs w:val="22"/>
        </w:rPr>
        <w:t>(2)</w:t>
      </w:r>
      <w:r w:rsidRPr="008870C0">
        <w:rPr>
          <w:sz w:val="22"/>
          <w:szCs w:val="22"/>
        </w:rPr>
        <w:tab/>
        <w:t xml:space="preserve">For </w:t>
      </w:r>
      <w:r w:rsidRPr="008870C0">
        <w:rPr>
          <w:b/>
          <w:i/>
          <w:sz w:val="22"/>
          <w:szCs w:val="22"/>
        </w:rPr>
        <w:t>ICC</w:t>
      </w:r>
      <w:r w:rsidRPr="008870C0">
        <w:rPr>
          <w:b/>
          <w:i/>
          <w:sz w:val="22"/>
          <w:szCs w:val="22"/>
          <w:vertAlign w:val="subscript"/>
        </w:rPr>
        <w:t>j</w:t>
      </w:r>
      <w:r w:rsidRPr="008870C0">
        <w:rPr>
          <w:sz w:val="22"/>
          <w:szCs w:val="22"/>
        </w:rPr>
        <w:t xml:space="preserve"> in subsection (1), column 3 of an item in the following table specifies the inorganic carbon content factor for a State or Territory (</w:t>
      </w:r>
      <w:r w:rsidRPr="008870C0">
        <w:rPr>
          <w:b/>
          <w:i/>
          <w:sz w:val="22"/>
          <w:szCs w:val="22"/>
        </w:rPr>
        <w:t>j</w:t>
      </w:r>
      <w:r w:rsidRPr="008870C0">
        <w:rPr>
          <w:sz w:val="22"/>
          <w:szCs w:val="22"/>
        </w:rPr>
        <w:t>)</w:t>
      </w:r>
      <w:r w:rsidRPr="008870C0">
        <w:rPr>
          <w:b/>
          <w:i/>
          <w:sz w:val="22"/>
          <w:szCs w:val="22"/>
        </w:rPr>
        <w:t xml:space="preserve"> </w:t>
      </w:r>
      <w:r w:rsidRPr="008870C0">
        <w:rPr>
          <w:sz w:val="22"/>
          <w:szCs w:val="22"/>
        </w:rPr>
        <w:t>mentioned in column 2 of the item.</w:t>
      </w:r>
    </w:p>
    <w:tbl>
      <w:tblPr>
        <w:tblW w:w="0" w:type="auto"/>
        <w:tblInd w:w="1068" w:type="dxa"/>
        <w:tblLook w:val="0000" w:firstRow="0" w:lastRow="0" w:firstColumn="0" w:lastColumn="0" w:noHBand="0" w:noVBand="0"/>
      </w:tblPr>
      <w:tblGrid>
        <w:gridCol w:w="738"/>
        <w:gridCol w:w="3363"/>
        <w:gridCol w:w="3138"/>
      </w:tblGrid>
      <w:tr w:rsidR="005A2CA7" w:rsidRPr="00C335BA" w14:paraId="7B88F52A" w14:textId="77777777" w:rsidTr="000D01CF">
        <w:trPr>
          <w:cantSplit/>
          <w:tblHeader/>
        </w:trPr>
        <w:tc>
          <w:tcPr>
            <w:tcW w:w="741" w:type="dxa"/>
            <w:tcBorders>
              <w:bottom w:val="single" w:sz="4" w:space="0" w:color="auto"/>
            </w:tcBorders>
            <w:shd w:val="clear" w:color="auto" w:fill="auto"/>
          </w:tcPr>
          <w:p w14:paraId="3FF39CB7" w14:textId="77777777" w:rsidR="005A2CA7" w:rsidRPr="00C335BA" w:rsidRDefault="005A2CA7" w:rsidP="000D01CF">
            <w:pPr>
              <w:pStyle w:val="TableColHead"/>
              <w:keepLines/>
            </w:pPr>
            <w:r w:rsidRPr="00C335BA">
              <w:t>Item</w:t>
            </w:r>
          </w:p>
        </w:tc>
        <w:tc>
          <w:tcPr>
            <w:tcW w:w="3402" w:type="dxa"/>
            <w:tcBorders>
              <w:bottom w:val="single" w:sz="4" w:space="0" w:color="auto"/>
            </w:tcBorders>
            <w:shd w:val="clear" w:color="auto" w:fill="auto"/>
          </w:tcPr>
          <w:p w14:paraId="7FCFF7DC" w14:textId="77777777" w:rsidR="005A2CA7" w:rsidRPr="00C335BA" w:rsidRDefault="005A2CA7" w:rsidP="000D01CF">
            <w:pPr>
              <w:pStyle w:val="TableColHead"/>
              <w:keepLines/>
            </w:pPr>
            <w:r w:rsidRPr="00C335BA">
              <w:t xml:space="preserve">State or Territory </w:t>
            </w:r>
            <w:r w:rsidRPr="00C335BA">
              <w:rPr>
                <w:b w:val="0"/>
              </w:rPr>
              <w:t>(</w:t>
            </w:r>
            <w:r w:rsidRPr="00C335BA">
              <w:t>j</w:t>
            </w:r>
            <w:r w:rsidRPr="00C335BA">
              <w:rPr>
                <w:b w:val="0"/>
              </w:rPr>
              <w:t>)</w:t>
            </w:r>
          </w:p>
        </w:tc>
        <w:tc>
          <w:tcPr>
            <w:tcW w:w="3177" w:type="dxa"/>
            <w:tcBorders>
              <w:bottom w:val="single" w:sz="4" w:space="0" w:color="auto"/>
            </w:tcBorders>
            <w:shd w:val="clear" w:color="auto" w:fill="auto"/>
          </w:tcPr>
          <w:p w14:paraId="6864BBE3" w14:textId="77777777" w:rsidR="005A2CA7" w:rsidRPr="00C335BA" w:rsidRDefault="005A2CA7" w:rsidP="000D01CF">
            <w:pPr>
              <w:pStyle w:val="TableColHead"/>
              <w:keepLines/>
            </w:pPr>
            <w:r w:rsidRPr="00C335BA">
              <w:t>Inorganic carbon content factor</w:t>
            </w:r>
          </w:p>
        </w:tc>
      </w:tr>
      <w:tr w:rsidR="005A2CA7" w:rsidRPr="00C335BA" w14:paraId="492AB177" w14:textId="77777777" w:rsidTr="000D01CF">
        <w:trPr>
          <w:cantSplit/>
        </w:trPr>
        <w:tc>
          <w:tcPr>
            <w:tcW w:w="741" w:type="dxa"/>
            <w:tcBorders>
              <w:top w:val="single" w:sz="4" w:space="0" w:color="auto"/>
            </w:tcBorders>
            <w:shd w:val="clear" w:color="auto" w:fill="auto"/>
          </w:tcPr>
          <w:p w14:paraId="50323635" w14:textId="77777777" w:rsidR="005A2CA7" w:rsidRPr="00C335BA" w:rsidRDefault="005A2CA7" w:rsidP="000D01CF">
            <w:pPr>
              <w:pStyle w:val="TableText1"/>
              <w:keepLines/>
              <w:ind w:left="227"/>
            </w:pPr>
            <w:r w:rsidRPr="00C335BA">
              <w:t>1</w:t>
            </w:r>
          </w:p>
        </w:tc>
        <w:tc>
          <w:tcPr>
            <w:tcW w:w="3402" w:type="dxa"/>
            <w:tcBorders>
              <w:top w:val="single" w:sz="4" w:space="0" w:color="auto"/>
            </w:tcBorders>
            <w:shd w:val="clear" w:color="auto" w:fill="auto"/>
          </w:tcPr>
          <w:p w14:paraId="3156631A" w14:textId="77777777" w:rsidR="005A2CA7" w:rsidRPr="00C335BA" w:rsidRDefault="005A2CA7" w:rsidP="000D01CF">
            <w:pPr>
              <w:pStyle w:val="TableText1"/>
              <w:keepLines/>
            </w:pPr>
            <w:r w:rsidRPr="00C335BA">
              <w:t>New South Wales</w:t>
            </w:r>
          </w:p>
        </w:tc>
        <w:tc>
          <w:tcPr>
            <w:tcW w:w="3177" w:type="dxa"/>
            <w:tcBorders>
              <w:top w:val="single" w:sz="4" w:space="0" w:color="auto"/>
            </w:tcBorders>
            <w:shd w:val="clear" w:color="auto" w:fill="auto"/>
          </w:tcPr>
          <w:p w14:paraId="5A2499BC" w14:textId="77777777" w:rsidR="005A2CA7" w:rsidRPr="00C335BA" w:rsidRDefault="005A2CA7" w:rsidP="000D01CF">
            <w:pPr>
              <w:pStyle w:val="TableText1"/>
              <w:keepLines/>
            </w:pPr>
            <w:r w:rsidRPr="00C335BA">
              <w:t xml:space="preserve">6.068 </w:t>
            </w:r>
            <w:r w:rsidR="00CA4FB8">
              <w:rPr>
                <w:position w:val="-4"/>
              </w:rPr>
              <w:pict w14:anchorId="740F1E2D">
                <v:shape id="_x0000_i1040" type="#_x0000_t75" style="width:8.25pt;height:8.25pt">
                  <v:imagedata r:id="rId43" o:title=""/>
                </v:shape>
              </w:pict>
            </w:r>
            <w:r w:rsidRPr="00C335BA">
              <w:t xml:space="preserve"> 10</w:t>
            </w:r>
            <w:r w:rsidRPr="00C335BA">
              <w:rPr>
                <w:vertAlign w:val="superscript"/>
              </w:rPr>
              <w:t>-3</w:t>
            </w:r>
          </w:p>
        </w:tc>
      </w:tr>
      <w:tr w:rsidR="005A2CA7" w:rsidRPr="00C335BA" w14:paraId="75A2BF3B" w14:textId="77777777" w:rsidTr="000D01CF">
        <w:trPr>
          <w:cantSplit/>
        </w:trPr>
        <w:tc>
          <w:tcPr>
            <w:tcW w:w="741" w:type="dxa"/>
            <w:shd w:val="clear" w:color="auto" w:fill="auto"/>
          </w:tcPr>
          <w:p w14:paraId="05E6F8DA" w14:textId="77777777" w:rsidR="005A2CA7" w:rsidRPr="00C335BA" w:rsidRDefault="005A2CA7" w:rsidP="000D01CF">
            <w:pPr>
              <w:pStyle w:val="TableText1"/>
              <w:keepLines/>
              <w:ind w:left="227"/>
            </w:pPr>
            <w:r w:rsidRPr="00C335BA">
              <w:t>2</w:t>
            </w:r>
          </w:p>
        </w:tc>
        <w:tc>
          <w:tcPr>
            <w:tcW w:w="3402" w:type="dxa"/>
            <w:shd w:val="clear" w:color="auto" w:fill="auto"/>
          </w:tcPr>
          <w:p w14:paraId="08E575C7" w14:textId="77777777" w:rsidR="005A2CA7" w:rsidRPr="00C335BA" w:rsidRDefault="005A2CA7" w:rsidP="000D01CF">
            <w:pPr>
              <w:pStyle w:val="TableText1"/>
              <w:keepLines/>
            </w:pPr>
            <w:r w:rsidRPr="00C335BA">
              <w:t>Victoria</w:t>
            </w:r>
          </w:p>
        </w:tc>
        <w:tc>
          <w:tcPr>
            <w:tcW w:w="3177" w:type="dxa"/>
            <w:shd w:val="clear" w:color="auto" w:fill="auto"/>
          </w:tcPr>
          <w:p w14:paraId="65E3F7B5" w14:textId="77777777" w:rsidR="005A2CA7" w:rsidRPr="00C335BA" w:rsidRDefault="005A2CA7" w:rsidP="000D01CF">
            <w:pPr>
              <w:pStyle w:val="TableText1"/>
              <w:keepLines/>
            </w:pPr>
            <w:r w:rsidRPr="00C335BA">
              <w:t xml:space="preserve">2.333 </w:t>
            </w:r>
            <w:r w:rsidR="00CA4FB8">
              <w:rPr>
                <w:position w:val="-4"/>
              </w:rPr>
              <w:pict w14:anchorId="0305A335">
                <v:shape id="_x0000_i1041" type="#_x0000_t75" style="width:8.25pt;height:8.25pt">
                  <v:imagedata r:id="rId43" o:title=""/>
                </v:shape>
              </w:pict>
            </w:r>
            <w:r w:rsidRPr="00C335BA">
              <w:t xml:space="preserve"> 10</w:t>
            </w:r>
            <w:r w:rsidRPr="00C335BA">
              <w:rPr>
                <w:vertAlign w:val="superscript"/>
              </w:rPr>
              <w:t>-4</w:t>
            </w:r>
          </w:p>
        </w:tc>
      </w:tr>
      <w:tr w:rsidR="005A2CA7" w:rsidRPr="00C335BA" w14:paraId="6D0D3D0F" w14:textId="77777777" w:rsidTr="000D01CF">
        <w:trPr>
          <w:cantSplit/>
        </w:trPr>
        <w:tc>
          <w:tcPr>
            <w:tcW w:w="741" w:type="dxa"/>
            <w:shd w:val="clear" w:color="auto" w:fill="auto"/>
          </w:tcPr>
          <w:p w14:paraId="7F8F2A86" w14:textId="77777777" w:rsidR="005A2CA7" w:rsidRPr="00C335BA" w:rsidRDefault="005A2CA7" w:rsidP="000D01CF">
            <w:pPr>
              <w:pStyle w:val="TableText1"/>
              <w:keepLines/>
              <w:ind w:left="227"/>
            </w:pPr>
            <w:r w:rsidRPr="00C335BA">
              <w:t>3</w:t>
            </w:r>
          </w:p>
        </w:tc>
        <w:tc>
          <w:tcPr>
            <w:tcW w:w="3402" w:type="dxa"/>
            <w:shd w:val="clear" w:color="auto" w:fill="auto"/>
          </w:tcPr>
          <w:p w14:paraId="325F4CB1" w14:textId="77777777" w:rsidR="005A2CA7" w:rsidRPr="00C335BA" w:rsidRDefault="005A2CA7" w:rsidP="000D01CF">
            <w:pPr>
              <w:pStyle w:val="TableText1"/>
              <w:keepLines/>
            </w:pPr>
            <w:r w:rsidRPr="00C335BA">
              <w:t>Queensland</w:t>
            </w:r>
          </w:p>
        </w:tc>
        <w:tc>
          <w:tcPr>
            <w:tcW w:w="3177" w:type="dxa"/>
            <w:shd w:val="clear" w:color="auto" w:fill="auto"/>
          </w:tcPr>
          <w:p w14:paraId="0D0DFF71" w14:textId="77777777" w:rsidR="005A2CA7" w:rsidRPr="00C335BA" w:rsidRDefault="005A2CA7" w:rsidP="000D01CF">
            <w:pPr>
              <w:pStyle w:val="TableText1"/>
              <w:keepLines/>
            </w:pPr>
            <w:r w:rsidRPr="00C335BA">
              <w:t xml:space="preserve">2.509 </w:t>
            </w:r>
            <w:r w:rsidR="00CA4FB8">
              <w:rPr>
                <w:position w:val="-4"/>
              </w:rPr>
              <w:pict w14:anchorId="0A52C94D">
                <v:shape id="_x0000_i1042" type="#_x0000_t75" style="width:8.25pt;height:8.25pt">
                  <v:imagedata r:id="rId43" o:title=""/>
                </v:shape>
              </w:pict>
            </w:r>
            <w:r w:rsidRPr="00C335BA">
              <w:t xml:space="preserve"> 10</w:t>
            </w:r>
            <w:r w:rsidRPr="00C335BA">
              <w:rPr>
                <w:vertAlign w:val="superscript"/>
              </w:rPr>
              <w:t>-3</w:t>
            </w:r>
          </w:p>
        </w:tc>
      </w:tr>
      <w:tr w:rsidR="005A2CA7" w:rsidRPr="00C335BA" w14:paraId="1CCABC1C" w14:textId="77777777" w:rsidTr="000D01CF">
        <w:trPr>
          <w:cantSplit/>
        </w:trPr>
        <w:tc>
          <w:tcPr>
            <w:tcW w:w="741" w:type="dxa"/>
            <w:shd w:val="clear" w:color="auto" w:fill="auto"/>
          </w:tcPr>
          <w:p w14:paraId="2FEC4C54" w14:textId="77777777" w:rsidR="005A2CA7" w:rsidRPr="00C335BA" w:rsidRDefault="005A2CA7" w:rsidP="000D01CF">
            <w:pPr>
              <w:pStyle w:val="TableText1"/>
              <w:keepLines/>
              <w:ind w:left="227"/>
            </w:pPr>
            <w:r w:rsidRPr="00C335BA">
              <w:t>4</w:t>
            </w:r>
          </w:p>
        </w:tc>
        <w:tc>
          <w:tcPr>
            <w:tcW w:w="3402" w:type="dxa"/>
            <w:shd w:val="clear" w:color="auto" w:fill="auto"/>
          </w:tcPr>
          <w:p w14:paraId="1739114D" w14:textId="77777777" w:rsidR="005A2CA7" w:rsidRPr="00C335BA" w:rsidRDefault="005A2CA7" w:rsidP="000D01CF">
            <w:pPr>
              <w:pStyle w:val="TableText1"/>
              <w:keepLines/>
            </w:pPr>
            <w:r w:rsidRPr="00C335BA">
              <w:t>Western Australia</w:t>
            </w:r>
          </w:p>
        </w:tc>
        <w:tc>
          <w:tcPr>
            <w:tcW w:w="3177" w:type="dxa"/>
            <w:shd w:val="clear" w:color="auto" w:fill="auto"/>
          </w:tcPr>
          <w:p w14:paraId="03598833" w14:textId="77777777" w:rsidR="005A2CA7" w:rsidRPr="00C335BA" w:rsidRDefault="005A2CA7" w:rsidP="000D01CF">
            <w:pPr>
              <w:pStyle w:val="TableText1"/>
              <w:keepLines/>
            </w:pPr>
            <w:r w:rsidRPr="00C335BA">
              <w:t xml:space="preserve">3.140 </w:t>
            </w:r>
            <w:r w:rsidR="00CA4FB8">
              <w:rPr>
                <w:position w:val="-4"/>
              </w:rPr>
              <w:pict w14:anchorId="2501466D">
                <v:shape id="_x0000_i1043" type="#_x0000_t75" style="width:8.25pt;height:8.25pt">
                  <v:imagedata r:id="rId43" o:title=""/>
                </v:shape>
              </w:pict>
            </w:r>
            <w:r w:rsidRPr="00C335BA">
              <w:t xml:space="preserve"> 10</w:t>
            </w:r>
            <w:r w:rsidRPr="00C335BA">
              <w:rPr>
                <w:vertAlign w:val="superscript"/>
              </w:rPr>
              <w:t>-4</w:t>
            </w:r>
          </w:p>
        </w:tc>
      </w:tr>
      <w:tr w:rsidR="005A2CA7" w:rsidRPr="00C335BA" w14:paraId="750FB753" w14:textId="77777777" w:rsidTr="000D01CF">
        <w:trPr>
          <w:cantSplit/>
        </w:trPr>
        <w:tc>
          <w:tcPr>
            <w:tcW w:w="741" w:type="dxa"/>
            <w:shd w:val="clear" w:color="auto" w:fill="auto"/>
          </w:tcPr>
          <w:p w14:paraId="289F3EC3" w14:textId="77777777" w:rsidR="005A2CA7" w:rsidRPr="00C335BA" w:rsidRDefault="005A2CA7" w:rsidP="000D01CF">
            <w:pPr>
              <w:pStyle w:val="TableText1"/>
              <w:keepLines/>
              <w:ind w:left="227"/>
            </w:pPr>
            <w:r w:rsidRPr="00C335BA">
              <w:t>5</w:t>
            </w:r>
          </w:p>
        </w:tc>
        <w:tc>
          <w:tcPr>
            <w:tcW w:w="3402" w:type="dxa"/>
            <w:shd w:val="clear" w:color="auto" w:fill="auto"/>
          </w:tcPr>
          <w:p w14:paraId="00378859" w14:textId="77777777" w:rsidR="005A2CA7" w:rsidRPr="00C335BA" w:rsidRDefault="005A2CA7" w:rsidP="000D01CF">
            <w:pPr>
              <w:pStyle w:val="TableText1"/>
              <w:keepLines/>
            </w:pPr>
            <w:r w:rsidRPr="00C335BA">
              <w:t>South Australia</w:t>
            </w:r>
          </w:p>
        </w:tc>
        <w:tc>
          <w:tcPr>
            <w:tcW w:w="3177" w:type="dxa"/>
            <w:shd w:val="clear" w:color="auto" w:fill="auto"/>
          </w:tcPr>
          <w:p w14:paraId="6D767913" w14:textId="77777777" w:rsidR="005A2CA7" w:rsidRPr="00C335BA" w:rsidRDefault="005A2CA7" w:rsidP="000D01CF">
            <w:pPr>
              <w:pStyle w:val="TableText1"/>
              <w:keepLines/>
            </w:pPr>
            <w:r w:rsidRPr="00C335BA">
              <w:t xml:space="preserve">5.170 </w:t>
            </w:r>
            <w:r w:rsidR="00CA4FB8">
              <w:rPr>
                <w:position w:val="-4"/>
              </w:rPr>
              <w:pict w14:anchorId="3CF77797">
                <v:shape id="_x0000_i1044" type="#_x0000_t75" style="width:8.25pt;height:8.25pt">
                  <v:imagedata r:id="rId43" o:title=""/>
                </v:shape>
              </w:pict>
            </w:r>
            <w:r w:rsidRPr="00C335BA">
              <w:t xml:space="preserve"> 10</w:t>
            </w:r>
            <w:r w:rsidRPr="00C335BA">
              <w:rPr>
                <w:vertAlign w:val="superscript"/>
              </w:rPr>
              <w:t>-4</w:t>
            </w:r>
          </w:p>
        </w:tc>
      </w:tr>
      <w:tr w:rsidR="005A2CA7" w:rsidRPr="00C335BA" w14:paraId="72DA7075" w14:textId="77777777" w:rsidTr="000D01CF">
        <w:trPr>
          <w:cantSplit/>
        </w:trPr>
        <w:tc>
          <w:tcPr>
            <w:tcW w:w="741" w:type="dxa"/>
            <w:shd w:val="clear" w:color="auto" w:fill="auto"/>
          </w:tcPr>
          <w:p w14:paraId="76F8E941" w14:textId="77777777" w:rsidR="005A2CA7" w:rsidRPr="00C335BA" w:rsidRDefault="005A2CA7" w:rsidP="000D01CF">
            <w:pPr>
              <w:pStyle w:val="TableText1"/>
              <w:keepLines/>
              <w:ind w:left="227"/>
            </w:pPr>
            <w:r w:rsidRPr="00C335BA">
              <w:t>6</w:t>
            </w:r>
          </w:p>
        </w:tc>
        <w:tc>
          <w:tcPr>
            <w:tcW w:w="3402" w:type="dxa"/>
            <w:shd w:val="clear" w:color="auto" w:fill="auto"/>
          </w:tcPr>
          <w:p w14:paraId="4619576D" w14:textId="77777777" w:rsidR="005A2CA7" w:rsidRPr="00C335BA" w:rsidRDefault="005A2CA7" w:rsidP="000D01CF">
            <w:pPr>
              <w:pStyle w:val="TableText1"/>
              <w:keepLines/>
            </w:pPr>
            <w:r w:rsidRPr="00C335BA">
              <w:t>Tasmania</w:t>
            </w:r>
          </w:p>
        </w:tc>
        <w:tc>
          <w:tcPr>
            <w:tcW w:w="3177" w:type="dxa"/>
            <w:shd w:val="clear" w:color="auto" w:fill="auto"/>
          </w:tcPr>
          <w:p w14:paraId="553BD154" w14:textId="77777777" w:rsidR="005A2CA7" w:rsidRPr="00C335BA" w:rsidRDefault="005A2CA7" w:rsidP="000D01CF">
            <w:pPr>
              <w:pStyle w:val="TableText1"/>
              <w:keepLines/>
            </w:pPr>
            <w:r w:rsidRPr="00C335BA">
              <w:t xml:space="preserve">1.050 </w:t>
            </w:r>
            <w:r w:rsidR="00CA4FB8">
              <w:rPr>
                <w:position w:val="-4"/>
              </w:rPr>
              <w:pict w14:anchorId="7CB3A8B1">
                <v:shape id="_x0000_i1045" type="#_x0000_t75" style="width:8.25pt;height:8.25pt">
                  <v:imagedata r:id="rId43" o:title=""/>
                </v:shape>
              </w:pict>
            </w:r>
            <w:r w:rsidRPr="00C335BA">
              <w:t xml:space="preserve"> 10</w:t>
            </w:r>
            <w:r w:rsidRPr="00C335BA">
              <w:rPr>
                <w:vertAlign w:val="superscript"/>
              </w:rPr>
              <w:t>-3</w:t>
            </w:r>
          </w:p>
        </w:tc>
      </w:tr>
      <w:tr w:rsidR="005A2CA7" w:rsidRPr="00C335BA" w14:paraId="298713FA" w14:textId="77777777" w:rsidTr="000D01CF">
        <w:trPr>
          <w:cantSplit/>
        </w:trPr>
        <w:tc>
          <w:tcPr>
            <w:tcW w:w="741" w:type="dxa"/>
            <w:shd w:val="clear" w:color="auto" w:fill="auto"/>
          </w:tcPr>
          <w:p w14:paraId="41193CC1" w14:textId="77777777" w:rsidR="005A2CA7" w:rsidRPr="00C335BA" w:rsidRDefault="005A2CA7" w:rsidP="000D01CF">
            <w:pPr>
              <w:pStyle w:val="TableText1"/>
              <w:keepLines/>
              <w:ind w:left="227"/>
            </w:pPr>
            <w:r w:rsidRPr="00C335BA">
              <w:t>7</w:t>
            </w:r>
          </w:p>
        </w:tc>
        <w:tc>
          <w:tcPr>
            <w:tcW w:w="3402" w:type="dxa"/>
            <w:shd w:val="clear" w:color="auto" w:fill="auto"/>
          </w:tcPr>
          <w:p w14:paraId="003C8285" w14:textId="77777777" w:rsidR="005A2CA7" w:rsidRPr="00C335BA" w:rsidRDefault="005A2CA7" w:rsidP="000D01CF">
            <w:pPr>
              <w:pStyle w:val="TableText1"/>
              <w:keepLines/>
            </w:pPr>
            <w:r w:rsidRPr="00C335BA">
              <w:t>Australian Capital Territory</w:t>
            </w:r>
          </w:p>
        </w:tc>
        <w:tc>
          <w:tcPr>
            <w:tcW w:w="3177" w:type="dxa"/>
            <w:shd w:val="clear" w:color="auto" w:fill="auto"/>
          </w:tcPr>
          <w:p w14:paraId="2C67E9F5" w14:textId="77777777" w:rsidR="005A2CA7" w:rsidRPr="00C335BA" w:rsidRDefault="005A2CA7" w:rsidP="000D01CF">
            <w:pPr>
              <w:pStyle w:val="TableText1"/>
              <w:keepLines/>
            </w:pPr>
            <w:r w:rsidRPr="00C335BA">
              <w:t xml:space="preserve">6.068 </w:t>
            </w:r>
            <w:r w:rsidR="00CA4FB8">
              <w:rPr>
                <w:position w:val="-4"/>
              </w:rPr>
              <w:pict w14:anchorId="135B85BD">
                <v:shape id="_x0000_i1046" type="#_x0000_t75" style="width:8.25pt;height:8.25pt">
                  <v:imagedata r:id="rId43" o:title=""/>
                </v:shape>
              </w:pict>
            </w:r>
            <w:r w:rsidRPr="00C335BA">
              <w:t xml:space="preserve"> 10</w:t>
            </w:r>
            <w:r w:rsidRPr="00C335BA">
              <w:rPr>
                <w:vertAlign w:val="superscript"/>
              </w:rPr>
              <w:t>-3</w:t>
            </w:r>
          </w:p>
        </w:tc>
      </w:tr>
      <w:tr w:rsidR="005A2CA7" w:rsidRPr="00C335BA" w14:paraId="1AA11030" w14:textId="77777777" w:rsidTr="000D01CF">
        <w:trPr>
          <w:cantSplit/>
        </w:trPr>
        <w:tc>
          <w:tcPr>
            <w:tcW w:w="741" w:type="dxa"/>
            <w:tcBorders>
              <w:bottom w:val="single" w:sz="4" w:space="0" w:color="auto"/>
            </w:tcBorders>
            <w:shd w:val="clear" w:color="auto" w:fill="auto"/>
          </w:tcPr>
          <w:p w14:paraId="3E1639FC" w14:textId="77777777" w:rsidR="005A2CA7" w:rsidRPr="00C335BA" w:rsidRDefault="005A2CA7" w:rsidP="000D01CF">
            <w:pPr>
              <w:pStyle w:val="TableText1"/>
              <w:keepLines/>
              <w:ind w:left="227"/>
            </w:pPr>
            <w:r w:rsidRPr="00C335BA">
              <w:t>8</w:t>
            </w:r>
          </w:p>
        </w:tc>
        <w:tc>
          <w:tcPr>
            <w:tcW w:w="3402" w:type="dxa"/>
            <w:tcBorders>
              <w:bottom w:val="single" w:sz="4" w:space="0" w:color="auto"/>
            </w:tcBorders>
            <w:shd w:val="clear" w:color="auto" w:fill="auto"/>
          </w:tcPr>
          <w:p w14:paraId="75BB3C0E" w14:textId="77777777" w:rsidR="005A2CA7" w:rsidRPr="00C335BA" w:rsidRDefault="005A2CA7" w:rsidP="000D01CF">
            <w:pPr>
              <w:pStyle w:val="TableText1"/>
              <w:keepLines/>
            </w:pPr>
            <w:r w:rsidRPr="00C335BA">
              <w:t>Northern Territory</w:t>
            </w:r>
          </w:p>
        </w:tc>
        <w:tc>
          <w:tcPr>
            <w:tcW w:w="3177" w:type="dxa"/>
            <w:tcBorders>
              <w:bottom w:val="single" w:sz="4" w:space="0" w:color="auto"/>
            </w:tcBorders>
            <w:shd w:val="clear" w:color="auto" w:fill="auto"/>
          </w:tcPr>
          <w:p w14:paraId="2AFBD82D" w14:textId="77777777" w:rsidR="005A2CA7" w:rsidRPr="00C335BA" w:rsidRDefault="005A2CA7" w:rsidP="000D01CF">
            <w:pPr>
              <w:pStyle w:val="TableText1"/>
              <w:keepLines/>
            </w:pPr>
            <w:r w:rsidRPr="00C335BA">
              <w:t xml:space="preserve">5.170 </w:t>
            </w:r>
            <w:r w:rsidR="00CA4FB8">
              <w:rPr>
                <w:position w:val="-4"/>
              </w:rPr>
              <w:pict w14:anchorId="39266BD1">
                <v:shape id="_x0000_i1047" type="#_x0000_t75" style="width:8.25pt;height:8.25pt">
                  <v:imagedata r:id="rId43" o:title=""/>
                </v:shape>
              </w:pict>
            </w:r>
            <w:r w:rsidRPr="00C335BA">
              <w:t xml:space="preserve"> 10</w:t>
            </w:r>
            <w:r w:rsidRPr="00C335BA">
              <w:rPr>
                <w:vertAlign w:val="superscript"/>
              </w:rPr>
              <w:t>-4</w:t>
            </w:r>
          </w:p>
        </w:tc>
      </w:tr>
    </w:tbl>
    <w:p w14:paraId="2FF6D31C" w14:textId="77777777" w:rsidR="005A2CA7" w:rsidRPr="00B90C7D" w:rsidRDefault="005A2CA7" w:rsidP="00B90C7D">
      <w:pPr>
        <w:pStyle w:val="Heading2"/>
        <w:numPr>
          <w:ilvl w:val="0"/>
          <w:numId w:val="0"/>
        </w:numPr>
        <w:tabs>
          <w:tab w:val="left" w:pos="0"/>
          <w:tab w:val="left" w:pos="2250"/>
        </w:tabs>
        <w:spacing w:before="120" w:after="0" w:line="312" w:lineRule="auto"/>
        <w:ind w:left="578"/>
        <w:rPr>
          <w:rStyle w:val="CharDivText"/>
        </w:rPr>
      </w:pPr>
    </w:p>
    <w:p w14:paraId="2B0DB290" w14:textId="77777777" w:rsidR="00010E2E" w:rsidRDefault="00010E2E">
      <w:pPr>
        <w:pStyle w:val="Heading2"/>
        <w:tabs>
          <w:tab w:val="left" w:pos="0"/>
          <w:tab w:val="left" w:pos="2250"/>
        </w:tabs>
        <w:spacing w:before="120" w:after="0" w:line="312" w:lineRule="auto"/>
        <w:ind w:left="578" w:hanging="578"/>
        <w:rPr>
          <w:rFonts w:ascii="Arial" w:hAnsi="Arial" w:cs="Arial"/>
        </w:rPr>
      </w:pPr>
      <w:r>
        <w:rPr>
          <w:rFonts w:ascii="Arial" w:hAnsi="Arial"/>
        </w:rPr>
        <w:t xml:space="preserve">Soda ash use </w:t>
      </w:r>
    </w:p>
    <w:p w14:paraId="47880C8A" w14:textId="77777777" w:rsidR="00010E2E" w:rsidRPr="00FE7726" w:rsidRDefault="00010E2E">
      <w:pPr>
        <w:pStyle w:val="BodyText"/>
        <w:spacing w:before="120" w:after="0" w:line="312" w:lineRule="auto"/>
        <w:ind w:left="0"/>
        <w:rPr>
          <w:rFonts w:ascii="Arial" w:hAnsi="Arial" w:cs="Arial"/>
        </w:rPr>
      </w:pPr>
      <w:r w:rsidRPr="00FE7726">
        <w:rPr>
          <w:rFonts w:ascii="Arial" w:hAnsi="Arial" w:cs="Arial"/>
        </w:rPr>
        <w:t>This section applies to the use of soda ash. Examples of soda ash in industrial processes include:</w:t>
      </w:r>
    </w:p>
    <w:p w14:paraId="4955D5E3" w14:textId="77777777" w:rsidR="00010E2E" w:rsidRPr="00FE7726" w:rsidRDefault="00010E2E" w:rsidP="008F6129">
      <w:pPr>
        <w:pStyle w:val="BodyText"/>
        <w:numPr>
          <w:ilvl w:val="0"/>
          <w:numId w:val="16"/>
        </w:numPr>
        <w:spacing w:before="120" w:after="0" w:line="312" w:lineRule="auto"/>
        <w:rPr>
          <w:rFonts w:ascii="Arial" w:hAnsi="Arial" w:cs="Arial"/>
        </w:rPr>
      </w:pPr>
      <w:r w:rsidRPr="00FE7726">
        <w:rPr>
          <w:rFonts w:ascii="Arial" w:hAnsi="Arial" w:cs="Arial"/>
        </w:rPr>
        <w:t xml:space="preserve">Glass production </w:t>
      </w:r>
    </w:p>
    <w:p w14:paraId="7CFB3170" w14:textId="77777777" w:rsidR="00010E2E" w:rsidRPr="00FE7726" w:rsidRDefault="00010E2E" w:rsidP="008F6129">
      <w:pPr>
        <w:pStyle w:val="BodyText"/>
        <w:numPr>
          <w:ilvl w:val="0"/>
          <w:numId w:val="16"/>
        </w:numPr>
        <w:spacing w:before="120" w:after="0" w:line="312" w:lineRule="auto"/>
        <w:rPr>
          <w:rFonts w:ascii="Arial" w:hAnsi="Arial" w:cs="Arial"/>
        </w:rPr>
      </w:pPr>
      <w:r w:rsidRPr="00FE7726">
        <w:rPr>
          <w:rFonts w:ascii="Arial" w:hAnsi="Arial" w:cs="Arial"/>
        </w:rPr>
        <w:t xml:space="preserve">Soap and detergent production </w:t>
      </w:r>
    </w:p>
    <w:p w14:paraId="4BA49CEF" w14:textId="77777777" w:rsidR="00010E2E" w:rsidRPr="00FE7726" w:rsidRDefault="009F1550" w:rsidP="008F6129">
      <w:pPr>
        <w:pStyle w:val="BodyText"/>
        <w:numPr>
          <w:ilvl w:val="0"/>
          <w:numId w:val="16"/>
        </w:numPr>
        <w:spacing w:before="120" w:after="0" w:line="312" w:lineRule="auto"/>
        <w:rPr>
          <w:rFonts w:ascii="Arial" w:hAnsi="Arial" w:cs="Arial"/>
        </w:rPr>
      </w:pPr>
      <w:r>
        <w:rPr>
          <w:rFonts w:ascii="Arial" w:hAnsi="Arial" w:cs="Arial"/>
        </w:rPr>
        <w:t>F</w:t>
      </w:r>
      <w:r w:rsidR="00010E2E" w:rsidRPr="00FE7726">
        <w:rPr>
          <w:rFonts w:ascii="Arial" w:hAnsi="Arial" w:cs="Arial"/>
        </w:rPr>
        <w:t>lue gas desulphurisation</w:t>
      </w:r>
    </w:p>
    <w:p w14:paraId="0525516C" w14:textId="77777777" w:rsidR="00525537" w:rsidRDefault="009F1550" w:rsidP="008F6129">
      <w:pPr>
        <w:pStyle w:val="BodyText"/>
        <w:numPr>
          <w:ilvl w:val="0"/>
          <w:numId w:val="16"/>
        </w:numPr>
        <w:spacing w:before="120" w:after="0" w:line="312" w:lineRule="auto"/>
        <w:rPr>
          <w:rFonts w:ascii="Arial" w:hAnsi="Arial" w:cs="Arial"/>
        </w:rPr>
      </w:pPr>
      <w:r>
        <w:rPr>
          <w:rFonts w:ascii="Arial" w:hAnsi="Arial" w:cs="Arial"/>
        </w:rPr>
        <w:t>P</w:t>
      </w:r>
      <w:r w:rsidR="00010E2E">
        <w:rPr>
          <w:rFonts w:ascii="Arial" w:hAnsi="Arial" w:cs="Arial"/>
        </w:rPr>
        <w:t>ulp and paper production</w:t>
      </w:r>
    </w:p>
    <w:p w14:paraId="03B1527D" w14:textId="77777777" w:rsidR="001363EF" w:rsidRDefault="00525537">
      <w:pPr>
        <w:pStyle w:val="BodyText"/>
        <w:tabs>
          <w:tab w:val="left" w:pos="0"/>
        </w:tabs>
        <w:spacing w:before="120" w:after="0" w:line="312" w:lineRule="auto"/>
        <w:ind w:left="0"/>
        <w:rPr>
          <w:rFonts w:ascii="Arial" w:hAnsi="Arial" w:cs="Arial"/>
        </w:rPr>
      </w:pPr>
      <w:r w:rsidRPr="00B64E56">
        <w:rPr>
          <w:rFonts w:ascii="Arial" w:hAnsi="Arial" w:cs="Arial"/>
        </w:rPr>
        <w:t>T</w:t>
      </w:r>
      <w:r w:rsidR="000B79B3" w:rsidRPr="000B79B3">
        <w:rPr>
          <w:rFonts w:ascii="Arial" w:hAnsi="Arial" w:cs="Arial"/>
        </w:rPr>
        <w:t xml:space="preserve">his Method is derived from the methodology used for the National Greenhouse Accounts. </w:t>
      </w:r>
      <w:r w:rsidR="000B79B3" w:rsidRPr="00BC56AA">
        <w:rPr>
          <w:rFonts w:ascii="Arial" w:hAnsi="Arial" w:cs="Arial"/>
        </w:rPr>
        <w:t>It involves the multiplication of the quantity of soda ash consumed in the production process by the emission factor for soda ash.</w:t>
      </w:r>
    </w:p>
    <w:p w14:paraId="44B62601" w14:textId="77777777" w:rsidR="00010E2E" w:rsidRDefault="00CA4FB8">
      <w:pPr>
        <w:pStyle w:val="Equation"/>
        <w:jc w:val="center"/>
        <w:rPr>
          <w:rFonts w:ascii="Times New Roman" w:hAnsi="Times New Roman" w:cs="Times New Roman"/>
          <w:sz w:val="28"/>
          <w:szCs w:val="28"/>
        </w:rPr>
      </w:pPr>
      <w:r>
        <w:rPr>
          <w:position w:val="-10"/>
        </w:rPr>
        <w:pict w14:anchorId="120307B2">
          <v:shape id="_x0000_i1048" type="#_x0000_t75" style="width:80.25pt;height:15.75pt">
            <v:imagedata r:id="rId44" o:title=""/>
          </v:shape>
        </w:pict>
      </w:r>
    </w:p>
    <w:p w14:paraId="1ADCCEBB" w14:textId="77777777" w:rsidR="00010E2E" w:rsidRPr="008870C0" w:rsidRDefault="00010E2E">
      <w:pPr>
        <w:pStyle w:val="EquationNote"/>
        <w:ind w:firstLine="0"/>
        <w:rPr>
          <w:rFonts w:ascii="Times New Roman" w:hAnsi="Times New Roman" w:cs="Times New Roman"/>
          <w:sz w:val="22"/>
          <w:szCs w:val="22"/>
        </w:rPr>
      </w:pPr>
      <w:r w:rsidRPr="008870C0">
        <w:rPr>
          <w:rFonts w:ascii="Times New Roman" w:hAnsi="Times New Roman" w:cs="Times New Roman"/>
          <w:sz w:val="22"/>
          <w:szCs w:val="22"/>
        </w:rPr>
        <w:t>where:</w:t>
      </w:r>
    </w:p>
    <w:p w14:paraId="23F391A9"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emissions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from the use of soda ash (CO</w:t>
      </w:r>
      <w:r w:rsidRPr="008870C0">
        <w:rPr>
          <w:rFonts w:ascii="Times New Roman" w:hAnsi="Times New Roman" w:cs="Times New Roman"/>
          <w:sz w:val="22"/>
          <w:szCs w:val="22"/>
          <w:vertAlign w:val="subscript"/>
        </w:rPr>
        <w:t>2</w:t>
      </w:r>
      <w:r w:rsidRPr="008870C0">
        <w:rPr>
          <w:rFonts w:ascii="Times New Roman" w:hAnsi="Times New Roman" w:cs="Times New Roman"/>
          <w:sz w:val="22"/>
          <w:szCs w:val="22"/>
        </w:rPr>
        <w:t>-e tonnes)</w:t>
      </w:r>
    </w:p>
    <w:p w14:paraId="5227BCF0"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Q</w:t>
      </w:r>
      <w:r w:rsidRPr="008870C0">
        <w:rPr>
          <w:rStyle w:val="Subscript"/>
          <w:rFonts w:ascii="Times New Roman" w:hAnsi="Times New Roman" w:cs="Times New Roman"/>
          <w:b/>
          <w:i/>
          <w:sz w:val="22"/>
          <w:szCs w:val="22"/>
        </w:rPr>
        <w:t>i</w:t>
      </w:r>
      <w:r w:rsidRPr="008870C0">
        <w:rPr>
          <w:rFonts w:ascii="Times New Roman" w:hAnsi="Times New Roman" w:cs="Times New Roman"/>
          <w:sz w:val="22"/>
          <w:szCs w:val="22"/>
        </w:rPr>
        <w:t xml:space="preserve"> is the amount of soda ash consumed (tonnes)</w:t>
      </w:r>
    </w:p>
    <w:p w14:paraId="59881409"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EF</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emission factor (tonnes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 tonnes of soda ash used). See Table 2</w:t>
      </w:r>
      <w:r w:rsidR="00D56BFE">
        <w:rPr>
          <w:rFonts w:ascii="Times New Roman" w:hAnsi="Times New Roman" w:cs="Times New Roman"/>
          <w:sz w:val="22"/>
          <w:szCs w:val="22"/>
        </w:rPr>
        <w:t>2</w:t>
      </w:r>
      <w:r w:rsidRPr="008870C0">
        <w:rPr>
          <w:rFonts w:ascii="Times New Roman" w:hAnsi="Times New Roman" w:cs="Times New Roman"/>
          <w:sz w:val="22"/>
          <w:szCs w:val="22"/>
        </w:rPr>
        <w:t>.</w:t>
      </w:r>
    </w:p>
    <w:p w14:paraId="547576BC" w14:textId="77777777" w:rsidR="00D76245" w:rsidRDefault="00D76245" w:rsidP="00C23E3B">
      <w:pPr>
        <w:pStyle w:val="Caption"/>
      </w:pPr>
    </w:p>
    <w:p w14:paraId="3958DF7E" w14:textId="77777777" w:rsidR="00D76245" w:rsidRDefault="00962F82" w:rsidP="00C23E3B">
      <w:pPr>
        <w:pStyle w:val="Caption"/>
      </w:pPr>
      <w:bookmarkStart w:id="90" w:name="_Toc391646707"/>
      <w:bookmarkStart w:id="91" w:name="_Toc485728130"/>
      <w:r>
        <w:t xml:space="preserve">Table </w:t>
      </w:r>
      <w:r w:rsidR="00DC52E0">
        <w:fldChar w:fldCharType="begin"/>
      </w:r>
      <w:r>
        <w:instrText xml:space="preserve"> SEQ Table \* ARABIC </w:instrText>
      </w:r>
      <w:r w:rsidR="00DC52E0">
        <w:fldChar w:fldCharType="separate"/>
      </w:r>
      <w:r w:rsidR="004A1330">
        <w:rPr>
          <w:noProof/>
        </w:rPr>
        <w:t>22</w:t>
      </w:r>
      <w:r w:rsidR="00DC52E0">
        <w:fldChar w:fldCharType="end"/>
      </w:r>
      <w:r w:rsidR="00010E2E">
        <w:t>: Soda ash consumption emission factor</w:t>
      </w:r>
      <w:bookmarkEnd w:id="90"/>
      <w:bookmarkEnd w:id="91"/>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6237"/>
      </w:tblGrid>
      <w:tr w:rsidR="00010E2E" w14:paraId="47829BB6" w14:textId="77777777" w:rsidTr="00DD4FF2">
        <w:trPr>
          <w:cantSplit/>
        </w:trPr>
        <w:tc>
          <w:tcPr>
            <w:tcW w:w="2410" w:type="dxa"/>
            <w:vMerge w:val="restart"/>
            <w:shd w:val="pct15" w:color="auto" w:fill="auto"/>
            <w:vAlign w:val="center"/>
          </w:tcPr>
          <w:p w14:paraId="2182AC68" w14:textId="77777777" w:rsidR="00010E2E" w:rsidRDefault="00010E2E" w:rsidP="00DD4FF2">
            <w:pPr>
              <w:pStyle w:val="Table"/>
              <w:jc w:val="center"/>
              <w:rPr>
                <w:b/>
                <w:bCs/>
              </w:rPr>
            </w:pPr>
            <w:r>
              <w:rPr>
                <w:b/>
                <w:bCs/>
              </w:rPr>
              <w:t>Source</w:t>
            </w:r>
          </w:p>
        </w:tc>
        <w:tc>
          <w:tcPr>
            <w:tcW w:w="6237" w:type="dxa"/>
            <w:shd w:val="pct15" w:color="auto" w:fill="auto"/>
            <w:vAlign w:val="center"/>
          </w:tcPr>
          <w:p w14:paraId="2D1CDE22" w14:textId="77777777" w:rsidR="00010E2E" w:rsidRDefault="00010E2E" w:rsidP="00DD4FF2">
            <w:pPr>
              <w:pStyle w:val="TableCentre"/>
              <w:rPr>
                <w:b/>
                <w:bCs/>
              </w:rPr>
            </w:pPr>
            <w:r>
              <w:rPr>
                <w:b/>
                <w:bCs/>
              </w:rPr>
              <w:t>Emission factor (</w:t>
            </w:r>
            <w:r>
              <w:rPr>
                <w:rFonts w:ascii="Times New Roman" w:hAnsi="Times New Roman" w:cs="Times New Roman"/>
                <w:b/>
                <w:i/>
                <w:sz w:val="24"/>
                <w:szCs w:val="24"/>
              </w:rPr>
              <w:t>EF</w:t>
            </w:r>
            <w:r>
              <w:rPr>
                <w:rStyle w:val="Subscript"/>
                <w:rFonts w:ascii="Times New Roman" w:hAnsi="Times New Roman" w:cs="Times New Roman"/>
                <w:b/>
                <w:i/>
                <w:sz w:val="24"/>
                <w:szCs w:val="24"/>
              </w:rPr>
              <w:t>ij</w:t>
            </w:r>
            <w:r>
              <w:t xml:space="preserve"> </w:t>
            </w:r>
            <w:r>
              <w:rPr>
                <w:b/>
                <w:bCs/>
              </w:rPr>
              <w:t>) (tonne CO</w:t>
            </w:r>
            <w:r>
              <w:rPr>
                <w:rStyle w:val="Subscript"/>
                <w:b/>
                <w:bCs/>
              </w:rPr>
              <w:t>2</w:t>
            </w:r>
            <w:r>
              <w:rPr>
                <w:b/>
                <w:bCs/>
              </w:rPr>
              <w:t>-e per tonne)</w:t>
            </w:r>
          </w:p>
        </w:tc>
      </w:tr>
      <w:tr w:rsidR="00010E2E" w14:paraId="1A063617" w14:textId="77777777" w:rsidTr="00DD4FF2">
        <w:trPr>
          <w:cantSplit/>
        </w:trPr>
        <w:tc>
          <w:tcPr>
            <w:tcW w:w="2410" w:type="dxa"/>
            <w:vMerge/>
            <w:shd w:val="pct15" w:color="auto" w:fill="auto"/>
          </w:tcPr>
          <w:p w14:paraId="789C7B64" w14:textId="77777777" w:rsidR="00010E2E" w:rsidRDefault="00010E2E">
            <w:pPr>
              <w:pStyle w:val="Table"/>
              <w:rPr>
                <w:b/>
                <w:bCs/>
              </w:rPr>
            </w:pPr>
          </w:p>
        </w:tc>
        <w:tc>
          <w:tcPr>
            <w:tcW w:w="6237" w:type="dxa"/>
            <w:shd w:val="pct15" w:color="auto" w:fill="auto"/>
          </w:tcPr>
          <w:p w14:paraId="2636A936" w14:textId="77777777" w:rsidR="00010E2E" w:rsidRDefault="00010E2E">
            <w:pPr>
              <w:pStyle w:val="TableCentre"/>
              <w:rPr>
                <w:b/>
                <w:bCs/>
              </w:rPr>
            </w:pPr>
            <w:r>
              <w:rPr>
                <w:b/>
                <w:bCs/>
              </w:rPr>
              <w:t>CO</w:t>
            </w:r>
            <w:r>
              <w:rPr>
                <w:rStyle w:val="Subscript"/>
                <w:b/>
                <w:bCs/>
              </w:rPr>
              <w:t>2</w:t>
            </w:r>
          </w:p>
        </w:tc>
      </w:tr>
      <w:tr w:rsidR="00010E2E" w14:paraId="797FFC5D" w14:textId="77777777" w:rsidTr="00DD4FF2">
        <w:trPr>
          <w:trHeight w:val="389"/>
        </w:trPr>
        <w:tc>
          <w:tcPr>
            <w:tcW w:w="2410" w:type="dxa"/>
            <w:vAlign w:val="center"/>
          </w:tcPr>
          <w:p w14:paraId="7B55D00B" w14:textId="77777777" w:rsidR="00010E2E" w:rsidRDefault="00010E2E" w:rsidP="00DD4FF2">
            <w:pPr>
              <w:pStyle w:val="Table"/>
              <w:jc w:val="center"/>
            </w:pPr>
            <w:r>
              <w:t>Soda ash use</w:t>
            </w:r>
          </w:p>
        </w:tc>
        <w:tc>
          <w:tcPr>
            <w:tcW w:w="6237" w:type="dxa"/>
            <w:vAlign w:val="center"/>
          </w:tcPr>
          <w:p w14:paraId="261B1EF9" w14:textId="77777777" w:rsidR="00010E2E" w:rsidRDefault="00010E2E" w:rsidP="00DD4FF2">
            <w:pPr>
              <w:pStyle w:val="TableCentre"/>
            </w:pPr>
            <w:r>
              <w:t>0.415</w:t>
            </w:r>
          </w:p>
        </w:tc>
      </w:tr>
    </w:tbl>
    <w:p w14:paraId="3E0167AF" w14:textId="747B7ACA" w:rsidR="00010E2E" w:rsidRDefault="00010E2E" w:rsidP="00656706">
      <w:pPr>
        <w:pStyle w:val="Heading2"/>
        <w:numPr>
          <w:ilvl w:val="0"/>
          <w:numId w:val="0"/>
        </w:numPr>
        <w:tabs>
          <w:tab w:val="left" w:pos="0"/>
          <w:tab w:val="left" w:pos="2250"/>
        </w:tabs>
        <w:spacing w:before="120" w:after="0" w:line="312" w:lineRule="auto"/>
        <w:rPr>
          <w:rFonts w:ascii="Arial" w:hAnsi="Arial" w:cs="Arial"/>
          <w:sz w:val="16"/>
          <w:szCs w:val="16"/>
        </w:rPr>
      </w:pPr>
      <w:r w:rsidRPr="00661B87">
        <w:rPr>
          <w:rFonts w:ascii="Arial" w:hAnsi="Arial" w:cs="Arial"/>
          <w:sz w:val="16"/>
          <w:szCs w:val="16"/>
        </w:rPr>
        <w:t>Source: National Greenhouse and Energy Reporting (Measurement) Determination 20</w:t>
      </w:r>
      <w:r w:rsidR="008977EF">
        <w:rPr>
          <w:rFonts w:ascii="Arial" w:hAnsi="Arial" w:cs="Arial"/>
          <w:sz w:val="16"/>
          <w:szCs w:val="16"/>
        </w:rPr>
        <w:t>08</w:t>
      </w:r>
      <w:r w:rsidRPr="00661B87">
        <w:rPr>
          <w:rFonts w:ascii="Arial" w:hAnsi="Arial" w:cs="Arial"/>
          <w:sz w:val="16"/>
          <w:szCs w:val="16"/>
        </w:rPr>
        <w:t xml:space="preserve"> (Section 4.29)</w:t>
      </w:r>
      <w:r w:rsidR="00554938" w:rsidRPr="00661B87">
        <w:rPr>
          <w:rFonts w:ascii="Arial" w:hAnsi="Arial" w:cs="Arial"/>
          <w:sz w:val="16"/>
          <w:szCs w:val="16"/>
        </w:rPr>
        <w:t>.</w:t>
      </w:r>
    </w:p>
    <w:p w14:paraId="318272D1" w14:textId="77777777" w:rsidR="007C5A97" w:rsidRPr="00656706" w:rsidRDefault="007C5A97" w:rsidP="00656706">
      <w:pPr>
        <w:pStyle w:val="BodyText"/>
      </w:pPr>
    </w:p>
    <w:p w14:paraId="0A495641" w14:textId="77777777" w:rsidR="00EA7592" w:rsidRPr="00521E61" w:rsidRDefault="00EA7592" w:rsidP="00EA7592">
      <w:pPr>
        <w:pStyle w:val="Heading2"/>
        <w:tabs>
          <w:tab w:val="left" w:pos="0"/>
          <w:tab w:val="left" w:pos="2250"/>
        </w:tabs>
        <w:spacing w:before="120" w:after="0" w:line="312" w:lineRule="auto"/>
        <w:ind w:left="578" w:hanging="578"/>
        <w:rPr>
          <w:rFonts w:ascii="Arial" w:hAnsi="Arial"/>
        </w:rPr>
      </w:pPr>
      <w:r>
        <w:rPr>
          <w:rFonts w:ascii="Arial" w:hAnsi="Arial"/>
        </w:rPr>
        <w:t xml:space="preserve">Soda ash production </w:t>
      </w:r>
    </w:p>
    <w:p w14:paraId="3A7EB695" w14:textId="77777777" w:rsidR="001363EF" w:rsidRDefault="001363EF">
      <w:pPr>
        <w:pStyle w:val="EquationNote"/>
      </w:pPr>
    </w:p>
    <w:p w14:paraId="2DCD13F1" w14:textId="3094E63D" w:rsidR="00B80F09" w:rsidRDefault="000B79B3" w:rsidP="00656706">
      <w:pPr>
        <w:pStyle w:val="BodyText"/>
        <w:spacing w:after="0" w:line="312" w:lineRule="auto"/>
        <w:ind w:left="0"/>
      </w:pPr>
      <w:r w:rsidRPr="000B79B3">
        <w:rPr>
          <w:rFonts w:ascii="Arial" w:hAnsi="Arial" w:cs="Arial"/>
        </w:rPr>
        <w:t>Emissions from soda ash production arise from the consumption of fuels for energy</w:t>
      </w:r>
      <w:r w:rsidR="007C5A97">
        <w:rPr>
          <w:rFonts w:ascii="Arial" w:hAnsi="Arial" w:cs="Arial"/>
        </w:rPr>
        <w:t xml:space="preserve"> </w:t>
      </w:r>
      <w:r w:rsidRPr="000B79B3">
        <w:rPr>
          <w:rFonts w:ascii="Arial" w:hAnsi="Arial" w:cs="Arial"/>
        </w:rPr>
        <w:t>and from the calcination of limestone and sodium bicarbonate. The production of</w:t>
      </w:r>
      <w:r w:rsidR="007C5A97">
        <w:rPr>
          <w:rFonts w:ascii="Arial" w:hAnsi="Arial" w:cs="Arial"/>
        </w:rPr>
        <w:t xml:space="preserve"> </w:t>
      </w:r>
      <w:r w:rsidRPr="000B79B3">
        <w:rPr>
          <w:rFonts w:ascii="Arial" w:hAnsi="Arial" w:cs="Arial"/>
        </w:rPr>
        <w:t>soda ash is a multi-step process involving the generation and reabsorption of carbon</w:t>
      </w:r>
      <w:r w:rsidR="007C5A97">
        <w:rPr>
          <w:rFonts w:ascii="Arial" w:hAnsi="Arial" w:cs="Arial"/>
        </w:rPr>
        <w:t xml:space="preserve"> </w:t>
      </w:r>
      <w:r w:rsidRPr="000B79B3">
        <w:rPr>
          <w:rFonts w:ascii="Arial" w:hAnsi="Arial" w:cs="Arial"/>
        </w:rPr>
        <w:t>dioxide. To obtain a more accurate estimation of emissions from the consumption of</w:t>
      </w:r>
      <w:r w:rsidR="007C5A97">
        <w:rPr>
          <w:rFonts w:ascii="Arial" w:hAnsi="Arial" w:cs="Arial"/>
        </w:rPr>
        <w:t xml:space="preserve"> </w:t>
      </w:r>
      <w:r w:rsidRPr="000B79B3">
        <w:rPr>
          <w:rFonts w:ascii="Arial" w:hAnsi="Arial" w:cs="Arial"/>
        </w:rPr>
        <w:t>fuels and calcination processes a carbon balance approach is taken.</w:t>
      </w:r>
    </w:p>
    <w:tbl>
      <w:tblPr>
        <w:tblW w:w="7524" w:type="dxa"/>
        <w:tblInd w:w="948" w:type="dxa"/>
        <w:tblLayout w:type="fixed"/>
        <w:tblLook w:val="0000" w:firstRow="0" w:lastRow="0" w:firstColumn="0" w:lastColumn="0" w:noHBand="0" w:noVBand="0"/>
      </w:tblPr>
      <w:tblGrid>
        <w:gridCol w:w="238"/>
        <w:gridCol w:w="830"/>
        <w:gridCol w:w="6456"/>
      </w:tblGrid>
      <w:tr w:rsidR="00525537" w:rsidRPr="00DA27C9" w14:paraId="1E622A7B" w14:textId="77777777" w:rsidTr="00525537">
        <w:trPr>
          <w:cantSplit/>
          <w:trHeight w:val="290"/>
        </w:trPr>
        <w:tc>
          <w:tcPr>
            <w:tcW w:w="238" w:type="dxa"/>
            <w:vMerge w:val="restart"/>
          </w:tcPr>
          <w:p w14:paraId="2F82E0F0" w14:textId="77777777" w:rsidR="00525537" w:rsidRPr="00DA27C9" w:rsidRDefault="00525537" w:rsidP="00524E45">
            <w:pPr>
              <w:keepNext/>
              <w:spacing w:before="60" w:after="60"/>
              <w:rPr>
                <w:i/>
                <w:color w:val="000000"/>
              </w:rPr>
            </w:pPr>
            <w:r w:rsidRPr="00DA27C9">
              <w:rPr>
                <w:i/>
                <w:color w:val="000000"/>
              </w:rPr>
              <w:t>Step 1</w:t>
            </w:r>
          </w:p>
        </w:tc>
        <w:tc>
          <w:tcPr>
            <w:tcW w:w="830" w:type="dxa"/>
          </w:tcPr>
          <w:p w14:paraId="4AFC2F9A" w14:textId="77777777" w:rsidR="00525537" w:rsidRPr="00DA27C9" w:rsidRDefault="00525537" w:rsidP="00524E45">
            <w:pPr>
              <w:ind w:left="0"/>
              <w:rPr>
                <w:i/>
                <w:color w:val="000000"/>
              </w:rPr>
            </w:pPr>
            <w:r w:rsidRPr="00DA27C9">
              <w:rPr>
                <w:i/>
                <w:color w:val="000000"/>
              </w:rPr>
              <w:t>Step 1</w:t>
            </w:r>
          </w:p>
        </w:tc>
        <w:tc>
          <w:tcPr>
            <w:tcW w:w="6456" w:type="dxa"/>
          </w:tcPr>
          <w:p w14:paraId="47BB0DAC" w14:textId="77777777" w:rsidR="00525537" w:rsidRDefault="00525537" w:rsidP="00524E45">
            <w:pPr>
              <w:pStyle w:val="TableText1"/>
              <w:keepNext/>
              <w:rPr>
                <w:rFonts w:ascii="TimesNewRoman" w:hAnsi="TimesNewRoman" w:cs="TimesNewRoman"/>
                <w:color w:val="000000"/>
                <w:szCs w:val="22"/>
              </w:rPr>
            </w:pPr>
            <w:r w:rsidRPr="00DA27C9">
              <w:rPr>
                <w:rFonts w:ascii="TimesNewRoman" w:hAnsi="TimesNewRoman" w:cs="TimesNewRoman"/>
                <w:color w:val="000000"/>
                <w:szCs w:val="22"/>
              </w:rPr>
              <w:t>Calculate the carbon content in fuel types (</w:t>
            </w:r>
            <w:r w:rsidRPr="00DA27C9">
              <w:rPr>
                <w:rFonts w:ascii="TimesNewRoman,BoldItalic" w:hAnsi="TimesNewRoman,BoldItalic" w:cs="TimesNewRoman,BoldItalic"/>
                <w:b/>
                <w:bCs/>
                <w:i/>
                <w:iCs/>
                <w:color w:val="000000"/>
                <w:szCs w:val="22"/>
              </w:rPr>
              <w:t>i</w:t>
            </w:r>
            <w:r w:rsidRPr="00DA27C9">
              <w:rPr>
                <w:rFonts w:ascii="TimesNewRoman" w:hAnsi="TimesNewRoman" w:cs="TimesNewRoman"/>
                <w:color w:val="000000"/>
                <w:szCs w:val="22"/>
              </w:rPr>
              <w:t>) or carbonate material (</w:t>
            </w:r>
            <w:r w:rsidRPr="00DA27C9">
              <w:rPr>
                <w:rFonts w:ascii="TimesNewRoman" w:hAnsi="TimesNewRoman" w:cs="TimesNewRoman"/>
                <w:b/>
                <w:i/>
                <w:color w:val="000000"/>
                <w:szCs w:val="22"/>
              </w:rPr>
              <w:t>j</w:t>
            </w:r>
            <w:r w:rsidRPr="00DA27C9">
              <w:rPr>
                <w:rFonts w:ascii="TimesNewRoman" w:hAnsi="TimesNewRoman" w:cs="TimesNewRoman"/>
                <w:color w:val="000000"/>
                <w:szCs w:val="22"/>
              </w:rPr>
              <w:t>) delivered for the activity during the year measured in tonnes of carbon as follows:</w:t>
            </w:r>
          </w:p>
          <w:p w14:paraId="6E085A72" w14:textId="77777777" w:rsidR="008977EF" w:rsidRPr="00DA27C9" w:rsidRDefault="008977EF" w:rsidP="00524E45">
            <w:pPr>
              <w:pStyle w:val="TableText1"/>
              <w:keepNext/>
              <w:rPr>
                <w:color w:val="000000"/>
              </w:rPr>
            </w:pPr>
          </w:p>
          <w:p w14:paraId="5182B4E2" w14:textId="77777777" w:rsidR="00525537" w:rsidRPr="00DA27C9" w:rsidRDefault="00CA4FB8" w:rsidP="00524E45">
            <w:pPr>
              <w:ind w:left="0"/>
              <w:jc w:val="center"/>
              <w:rPr>
                <w:i/>
                <w:color w:val="000000"/>
              </w:rPr>
            </w:pPr>
            <w:r>
              <w:rPr>
                <w:color w:val="000000"/>
                <w:position w:val="-14"/>
              </w:rPr>
              <w:pict w14:anchorId="194AF82E">
                <v:shape id="_x0000_i1049" type="#_x0000_t75" style="width:171pt;height:19.5pt">
                  <v:imagedata r:id="rId45" o:title=""/>
                </v:shape>
              </w:pict>
            </w:r>
          </w:p>
        </w:tc>
      </w:tr>
      <w:tr w:rsidR="00525537" w:rsidRPr="00DA27C9" w14:paraId="1D0CE49A" w14:textId="77777777" w:rsidTr="00525537">
        <w:trPr>
          <w:cantSplit/>
          <w:trHeight w:val="350"/>
        </w:trPr>
        <w:tc>
          <w:tcPr>
            <w:tcW w:w="238" w:type="dxa"/>
            <w:vMerge/>
          </w:tcPr>
          <w:p w14:paraId="37046522" w14:textId="77777777" w:rsidR="00525537" w:rsidRPr="00DA27C9" w:rsidRDefault="00525537" w:rsidP="00524E45">
            <w:pPr>
              <w:spacing w:before="60" w:after="60"/>
              <w:rPr>
                <w:i/>
                <w:color w:val="000000"/>
              </w:rPr>
            </w:pPr>
          </w:p>
        </w:tc>
        <w:tc>
          <w:tcPr>
            <w:tcW w:w="830" w:type="dxa"/>
          </w:tcPr>
          <w:p w14:paraId="3EA8A8E3" w14:textId="77777777" w:rsidR="001363EF" w:rsidRDefault="001363EF" w:rsidP="00524E45">
            <w:pPr>
              <w:ind w:left="-391"/>
              <w:rPr>
                <w:i/>
                <w:color w:val="000000"/>
              </w:rPr>
            </w:pPr>
          </w:p>
        </w:tc>
        <w:tc>
          <w:tcPr>
            <w:tcW w:w="6456" w:type="dxa"/>
          </w:tcPr>
          <w:p w14:paraId="6763D6A4" w14:textId="77777777" w:rsidR="00525537" w:rsidRDefault="00525537" w:rsidP="00524E45">
            <w:pPr>
              <w:pStyle w:val="TableText1"/>
              <w:rPr>
                <w:color w:val="000000"/>
              </w:rPr>
            </w:pPr>
            <w:r w:rsidRPr="00DA27C9">
              <w:rPr>
                <w:color w:val="000000"/>
              </w:rPr>
              <w:t>where:</w:t>
            </w:r>
          </w:p>
          <w:p w14:paraId="7C2E4B09" w14:textId="77777777" w:rsidR="00524E45" w:rsidRPr="00DA27C9" w:rsidRDefault="00524E45" w:rsidP="00524E45">
            <w:pPr>
              <w:pStyle w:val="TableText1"/>
              <w:rPr>
                <w:color w:val="000000"/>
              </w:rPr>
            </w:pPr>
          </w:p>
          <w:p w14:paraId="170182F8" w14:textId="77777777" w:rsidR="00525537" w:rsidRPr="00DA27C9" w:rsidRDefault="00525537" w:rsidP="00524E45">
            <w:pPr>
              <w:pStyle w:val="TableText1"/>
              <w:rPr>
                <w:color w:val="000000"/>
              </w:rPr>
            </w:pPr>
            <w:r w:rsidRPr="00DA27C9">
              <w:rPr>
                <w:rFonts w:ascii="TimesNewRoman" w:hAnsi="TimesNewRoman" w:cs="TimesNewRoman"/>
                <w:color w:val="000000"/>
                <w:szCs w:val="22"/>
              </w:rPr>
              <w:t>∑</w:t>
            </w:r>
            <w:r w:rsidRPr="00DA27C9">
              <w:rPr>
                <w:rFonts w:ascii="TimesNewRoman,BoldItalic" w:hAnsi="TimesNewRoman,BoldItalic" w:cs="TimesNewRoman,BoldItalic"/>
                <w:b/>
                <w:bCs/>
                <w:i/>
                <w:iCs/>
                <w:color w:val="000000"/>
                <w:sz w:val="14"/>
                <w:szCs w:val="14"/>
              </w:rPr>
              <w:t>i</w:t>
            </w:r>
            <w:r w:rsidRPr="00DA27C9">
              <w:rPr>
                <w:b/>
                <w:i/>
                <w:color w:val="000000"/>
                <w:vertAlign w:val="subscript"/>
              </w:rPr>
              <w:t xml:space="preserve"> </w:t>
            </w:r>
            <w:r w:rsidRPr="00DA27C9">
              <w:rPr>
                <w:color w:val="000000"/>
              </w:rPr>
              <w:t>means sum the carbon content values obtained for all fuel types (</w:t>
            </w:r>
            <w:r w:rsidRPr="00DA27C9">
              <w:rPr>
                <w:b/>
                <w:i/>
                <w:color w:val="000000"/>
              </w:rPr>
              <w:t>i</w:t>
            </w:r>
            <w:r w:rsidRPr="00DA27C9">
              <w:rPr>
                <w:color w:val="000000"/>
              </w:rPr>
              <w:t>).</w:t>
            </w:r>
          </w:p>
          <w:p w14:paraId="300A30BF" w14:textId="77777777" w:rsidR="008977EF" w:rsidRDefault="008977EF" w:rsidP="00524E45">
            <w:pPr>
              <w:pStyle w:val="TableText1"/>
              <w:rPr>
                <w:b/>
                <w:i/>
                <w:color w:val="000000"/>
              </w:rPr>
            </w:pPr>
          </w:p>
          <w:p w14:paraId="11FCE243" w14:textId="77777777" w:rsidR="00525537" w:rsidRPr="00DA27C9" w:rsidRDefault="00525537" w:rsidP="00524E45">
            <w:pPr>
              <w:pStyle w:val="TableText1"/>
              <w:rPr>
                <w:b/>
                <w:i/>
                <w:color w:val="000000"/>
              </w:rPr>
            </w:pPr>
            <w:r w:rsidRPr="00DA27C9">
              <w:rPr>
                <w:b/>
                <w:i/>
                <w:color w:val="000000"/>
              </w:rPr>
              <w:t>CCF</w:t>
            </w:r>
            <w:r w:rsidRPr="00DA27C9">
              <w:rPr>
                <w:b/>
                <w:i/>
                <w:color w:val="000000"/>
                <w:vertAlign w:val="subscript"/>
              </w:rPr>
              <w:t xml:space="preserve">i </w:t>
            </w:r>
            <w:r w:rsidRPr="00DA27C9">
              <w:rPr>
                <w:rFonts w:ascii="TimesNewRoman" w:hAnsi="TimesNewRoman" w:cs="TimesNewRoman"/>
                <w:color w:val="000000"/>
                <w:szCs w:val="22"/>
              </w:rPr>
              <w:t>is the carbon content factor mentioned in Schedule 3 measured in tonnes of carbon for each appropriate unit of fuel type (</w:t>
            </w:r>
            <w:r w:rsidRPr="00DA27C9">
              <w:rPr>
                <w:rFonts w:ascii="TimesNewRoman,BoldItalic" w:hAnsi="TimesNewRoman,BoldItalic" w:cs="TimesNewRoman,BoldItalic"/>
                <w:b/>
                <w:bCs/>
                <w:i/>
                <w:iCs/>
                <w:color w:val="000000"/>
                <w:szCs w:val="22"/>
              </w:rPr>
              <w:t>i</w:t>
            </w:r>
            <w:r w:rsidRPr="00DA27C9">
              <w:rPr>
                <w:rFonts w:ascii="TimesNewRoman" w:hAnsi="TimesNewRoman" w:cs="TimesNewRoman"/>
                <w:color w:val="000000"/>
                <w:szCs w:val="22"/>
              </w:rPr>
              <w:t>) consumed during the year from the operation of the activity.</w:t>
            </w:r>
          </w:p>
          <w:p w14:paraId="2D80D3C5" w14:textId="77777777" w:rsidR="008977EF" w:rsidRDefault="008977EF" w:rsidP="00524E45">
            <w:pPr>
              <w:pStyle w:val="TableText1"/>
              <w:rPr>
                <w:b/>
                <w:i/>
                <w:color w:val="000000"/>
              </w:rPr>
            </w:pPr>
          </w:p>
          <w:p w14:paraId="42490595" w14:textId="77777777" w:rsidR="00525537" w:rsidRPr="00DA27C9" w:rsidRDefault="00525537" w:rsidP="00524E45">
            <w:pPr>
              <w:pStyle w:val="TableText1"/>
              <w:rPr>
                <w:rFonts w:ascii="TimesNewRoman" w:hAnsi="TimesNewRoman" w:cs="TimesNewRoman"/>
                <w:color w:val="000000"/>
                <w:szCs w:val="22"/>
              </w:rPr>
            </w:pPr>
            <w:r w:rsidRPr="00DA27C9">
              <w:rPr>
                <w:b/>
                <w:i/>
                <w:color w:val="000000"/>
              </w:rPr>
              <w:t>Q</w:t>
            </w:r>
            <w:r w:rsidRPr="00DA27C9">
              <w:rPr>
                <w:b/>
                <w:i/>
                <w:color w:val="000000"/>
                <w:vertAlign w:val="subscript"/>
              </w:rPr>
              <w:t xml:space="preserve">i </w:t>
            </w:r>
            <w:r w:rsidRPr="00DA27C9">
              <w:rPr>
                <w:rFonts w:ascii="TimesNewRoman" w:hAnsi="TimesNewRoman" w:cs="TimesNewRoman"/>
                <w:color w:val="000000"/>
                <w:szCs w:val="22"/>
              </w:rPr>
              <w:t>is the quantity of fuel type (</w:t>
            </w:r>
            <w:r w:rsidRPr="00DA27C9">
              <w:rPr>
                <w:rFonts w:ascii="TimesNewRoman,BoldItalic" w:hAnsi="TimesNewRoman,BoldItalic" w:cs="TimesNewRoman,BoldItalic"/>
                <w:b/>
                <w:bCs/>
                <w:i/>
                <w:iCs/>
                <w:color w:val="000000"/>
                <w:szCs w:val="22"/>
              </w:rPr>
              <w:t>i</w:t>
            </w:r>
            <w:r w:rsidRPr="00DA27C9">
              <w:rPr>
                <w:rFonts w:ascii="TimesNewRoman" w:hAnsi="TimesNewRoman" w:cs="TimesNewRoman"/>
                <w:color w:val="000000"/>
                <w:szCs w:val="22"/>
              </w:rPr>
              <w:t>) delivered for the activity during the year measured in an appropriate unit and estimated in accordance with Division 2.2.5, 2.3.6 and 2.4.6.</w:t>
            </w:r>
          </w:p>
          <w:p w14:paraId="0667F6E1" w14:textId="77777777" w:rsidR="00525537" w:rsidRPr="00DA27C9" w:rsidRDefault="00525537" w:rsidP="00524E45">
            <w:pPr>
              <w:pStyle w:val="TableText1"/>
              <w:spacing w:line="240" w:lineRule="auto"/>
              <w:rPr>
                <w:rFonts w:ascii="TimesNewRoman" w:hAnsi="TimesNewRoman" w:cs="TimesNewRoman"/>
                <w:color w:val="000000"/>
                <w:szCs w:val="22"/>
              </w:rPr>
            </w:pPr>
            <w:r w:rsidRPr="00DA27C9">
              <w:rPr>
                <w:rFonts w:ascii="TimesNewRoman" w:hAnsi="TimesNewRoman" w:cs="TimesNewRoman"/>
                <w:color w:val="000000"/>
                <w:szCs w:val="22"/>
              </w:rPr>
              <w:t>∑</w:t>
            </w:r>
            <w:r w:rsidRPr="00DA27C9">
              <w:rPr>
                <w:rFonts w:ascii="TimesNewRoman,BoldItalic" w:hAnsi="TimesNewRoman,BoldItalic" w:cs="TimesNewRoman,BoldItalic"/>
                <w:b/>
                <w:bCs/>
                <w:i/>
                <w:iCs/>
                <w:color w:val="000000"/>
                <w:sz w:val="14"/>
                <w:szCs w:val="14"/>
              </w:rPr>
              <w:t>j</w:t>
            </w:r>
            <w:r w:rsidRPr="00DA27C9">
              <w:rPr>
                <w:b/>
                <w:i/>
                <w:color w:val="000000"/>
              </w:rPr>
              <w:t xml:space="preserve"> </w:t>
            </w:r>
            <w:r w:rsidRPr="00DA27C9">
              <w:rPr>
                <w:rFonts w:ascii="TimesNewRoman" w:hAnsi="TimesNewRoman" w:cs="TimesNewRoman"/>
                <w:color w:val="000000"/>
                <w:szCs w:val="22"/>
              </w:rPr>
              <w:t>means sum the carbon content values obtained for all pure carbonate material (</w:t>
            </w:r>
            <w:r w:rsidRPr="00DA27C9">
              <w:rPr>
                <w:rFonts w:ascii="TimesNewRoman" w:hAnsi="TimesNewRoman" w:cs="TimesNewRoman"/>
                <w:b/>
                <w:i/>
                <w:color w:val="000000"/>
                <w:szCs w:val="22"/>
              </w:rPr>
              <w:t>j</w:t>
            </w:r>
            <w:r w:rsidRPr="00DA27C9">
              <w:rPr>
                <w:rFonts w:ascii="TimesNewRoman" w:hAnsi="TimesNewRoman" w:cs="TimesNewRoman"/>
                <w:color w:val="000000"/>
                <w:szCs w:val="22"/>
              </w:rPr>
              <w:t>).</w:t>
            </w:r>
          </w:p>
          <w:p w14:paraId="5D76CFBB" w14:textId="77777777" w:rsidR="008977EF" w:rsidRDefault="008977EF" w:rsidP="00524E45">
            <w:pPr>
              <w:pStyle w:val="TableText1"/>
              <w:rPr>
                <w:rFonts w:ascii="TimesNewRoman,BoldItalic" w:hAnsi="TimesNewRoman,BoldItalic" w:cs="TimesNewRoman,BoldItalic"/>
                <w:b/>
                <w:bCs/>
                <w:i/>
                <w:iCs/>
                <w:color w:val="000000"/>
                <w:szCs w:val="22"/>
              </w:rPr>
            </w:pPr>
          </w:p>
          <w:p w14:paraId="320C2967" w14:textId="77777777" w:rsidR="00525537" w:rsidRPr="00DA27C9" w:rsidRDefault="00525537" w:rsidP="00524E45">
            <w:pPr>
              <w:pStyle w:val="TableText1"/>
              <w:rPr>
                <w:rFonts w:ascii="TimesNewRoman" w:hAnsi="TimesNewRoman" w:cs="TimesNewRoman"/>
                <w:color w:val="000000"/>
                <w:szCs w:val="22"/>
              </w:rPr>
            </w:pPr>
            <w:r w:rsidRPr="00DA27C9">
              <w:rPr>
                <w:rFonts w:ascii="TimesNewRoman,BoldItalic" w:hAnsi="TimesNewRoman,BoldItalic" w:cs="TimesNewRoman,BoldItalic"/>
                <w:b/>
                <w:bCs/>
                <w:i/>
                <w:iCs/>
                <w:color w:val="000000"/>
                <w:szCs w:val="22"/>
              </w:rPr>
              <w:t>CCF</w:t>
            </w:r>
            <w:r w:rsidRPr="00DA27C9">
              <w:rPr>
                <w:rFonts w:ascii="TimesNewRoman,BoldItalic" w:hAnsi="TimesNewRoman,BoldItalic" w:cs="TimesNewRoman,BoldItalic"/>
                <w:b/>
                <w:bCs/>
                <w:i/>
                <w:iCs/>
                <w:color w:val="000000"/>
                <w:sz w:val="14"/>
                <w:szCs w:val="14"/>
              </w:rPr>
              <w:t xml:space="preserve">j </w:t>
            </w:r>
            <w:r w:rsidRPr="00DA27C9">
              <w:rPr>
                <w:rFonts w:ascii="TimesNewRoman" w:hAnsi="TimesNewRoman" w:cs="TimesNewRoman"/>
                <w:color w:val="000000"/>
                <w:szCs w:val="22"/>
              </w:rPr>
              <w:t>is the carbon content factor mentioned in Schedule 3 measured in tonnes of carbon for each tonne of pure carbonate material (</w:t>
            </w:r>
            <w:r w:rsidRPr="00DA27C9">
              <w:rPr>
                <w:rFonts w:ascii="TimesNewRoman" w:hAnsi="TimesNewRoman" w:cs="TimesNewRoman"/>
                <w:b/>
                <w:i/>
                <w:color w:val="000000"/>
                <w:szCs w:val="22"/>
              </w:rPr>
              <w:t>j</w:t>
            </w:r>
            <w:r w:rsidRPr="00DA27C9">
              <w:rPr>
                <w:rFonts w:ascii="TimesNewRoman" w:hAnsi="TimesNewRoman" w:cs="TimesNewRoman"/>
                <w:color w:val="000000"/>
                <w:szCs w:val="22"/>
              </w:rPr>
              <w:t>) consumed during the year from the operation of the activity.</w:t>
            </w:r>
          </w:p>
          <w:p w14:paraId="179D208C" w14:textId="77777777" w:rsidR="008977EF" w:rsidRDefault="008977EF" w:rsidP="00524E45">
            <w:pPr>
              <w:pStyle w:val="TableText1"/>
              <w:rPr>
                <w:rFonts w:ascii="TimesNewRoman" w:hAnsi="TimesNewRoman" w:cs="TimesNewRoman"/>
                <w:b/>
                <w:i/>
                <w:color w:val="000000"/>
                <w:szCs w:val="22"/>
              </w:rPr>
            </w:pPr>
          </w:p>
          <w:p w14:paraId="01F66352" w14:textId="77777777" w:rsidR="00525537" w:rsidRPr="00DA27C9" w:rsidRDefault="00525537" w:rsidP="00524E45">
            <w:pPr>
              <w:pStyle w:val="TableText1"/>
              <w:rPr>
                <w:rFonts w:ascii="TimesNewRoman" w:hAnsi="TimesNewRoman" w:cs="TimesNewRoman"/>
                <w:color w:val="000000"/>
                <w:szCs w:val="22"/>
              </w:rPr>
            </w:pPr>
            <w:r w:rsidRPr="00DA27C9">
              <w:rPr>
                <w:rFonts w:ascii="TimesNewRoman" w:hAnsi="TimesNewRoman" w:cs="TimesNewRoman"/>
                <w:b/>
                <w:i/>
                <w:color w:val="000000"/>
                <w:szCs w:val="22"/>
              </w:rPr>
              <w:t>F</w:t>
            </w:r>
            <w:r w:rsidRPr="00DA27C9">
              <w:rPr>
                <w:rFonts w:ascii="TimesNewRoman" w:hAnsi="TimesNewRoman" w:cs="TimesNewRoman"/>
                <w:b/>
                <w:i/>
                <w:color w:val="000000"/>
                <w:sz w:val="14"/>
                <w:szCs w:val="18"/>
              </w:rPr>
              <w:t>j</w:t>
            </w:r>
            <w:r w:rsidRPr="00DA27C9">
              <w:rPr>
                <w:rFonts w:ascii="TimesNewRoman" w:hAnsi="TimesNewRoman" w:cs="TimesNewRoman"/>
                <w:b/>
                <w:i/>
                <w:color w:val="000000"/>
                <w:szCs w:val="22"/>
              </w:rPr>
              <w:t xml:space="preserve"> </w:t>
            </w:r>
            <w:r w:rsidRPr="00DA27C9">
              <w:rPr>
                <w:rFonts w:ascii="TimesNewRoman" w:hAnsi="TimesNewRoman" w:cs="TimesNewRoman"/>
                <w:color w:val="000000"/>
                <w:szCs w:val="22"/>
              </w:rPr>
              <w:t>is the fraction of pure carbonate material (</w:t>
            </w:r>
            <w:r w:rsidRPr="00DA27C9">
              <w:rPr>
                <w:rFonts w:ascii="TimesNewRoman" w:hAnsi="TimesNewRoman" w:cs="TimesNewRoman"/>
                <w:b/>
                <w:i/>
                <w:color w:val="000000"/>
                <w:szCs w:val="22"/>
              </w:rPr>
              <w:t>j</w:t>
            </w:r>
            <w:r w:rsidRPr="00DA27C9">
              <w:rPr>
                <w:rFonts w:ascii="TimesNewRoman" w:hAnsi="TimesNewRoman" w:cs="TimesNewRoman"/>
                <w:color w:val="000000"/>
                <w:szCs w:val="22"/>
              </w:rPr>
              <w:t>) in the raw carbonate input material and taken to be 0.97 for calcium carbonate and 0.018 for magnesium carbonate.</w:t>
            </w:r>
          </w:p>
          <w:p w14:paraId="644CE6B3" w14:textId="77777777" w:rsidR="008977EF" w:rsidRDefault="008977EF" w:rsidP="00524E45">
            <w:pPr>
              <w:ind w:left="0"/>
              <w:rPr>
                <w:rFonts w:ascii="TimesNewRoman" w:hAnsi="TimesNewRoman" w:cs="TimesNewRoman"/>
                <w:b/>
                <w:i/>
                <w:color w:val="000000"/>
                <w:sz w:val="22"/>
                <w:szCs w:val="22"/>
              </w:rPr>
            </w:pPr>
          </w:p>
          <w:p w14:paraId="753B5DC8" w14:textId="77777777" w:rsidR="00525537" w:rsidRDefault="00525537" w:rsidP="00524E45">
            <w:pPr>
              <w:ind w:left="0"/>
              <w:rPr>
                <w:rFonts w:ascii="TimesNewRoman" w:hAnsi="TimesNewRoman" w:cs="TimesNewRoman"/>
                <w:color w:val="000000"/>
                <w:sz w:val="22"/>
                <w:szCs w:val="22"/>
              </w:rPr>
            </w:pPr>
            <w:r w:rsidRPr="00BC56AA">
              <w:rPr>
                <w:rFonts w:ascii="TimesNewRoman" w:hAnsi="TimesNewRoman" w:cs="TimesNewRoman"/>
                <w:b/>
                <w:i/>
                <w:color w:val="000000"/>
                <w:sz w:val="22"/>
                <w:szCs w:val="22"/>
              </w:rPr>
              <w:t>L j</w:t>
            </w:r>
            <w:r w:rsidRPr="00BC56AA">
              <w:rPr>
                <w:rFonts w:ascii="TimesNewRoman" w:hAnsi="TimesNewRoman" w:cs="TimesNewRoman"/>
                <w:i/>
                <w:color w:val="000000"/>
                <w:sz w:val="22"/>
                <w:szCs w:val="22"/>
              </w:rPr>
              <w:t xml:space="preserve"> </w:t>
            </w:r>
            <w:r w:rsidRPr="00BC56AA">
              <w:rPr>
                <w:rFonts w:ascii="TimesNewRoman" w:hAnsi="TimesNewRoman" w:cs="TimesNewRoman"/>
                <w:color w:val="000000"/>
                <w:sz w:val="22"/>
                <w:szCs w:val="22"/>
              </w:rPr>
              <w:t>is the quantity of raw carbonate input material (</w:t>
            </w:r>
            <w:r w:rsidRPr="00BC56AA">
              <w:rPr>
                <w:rFonts w:ascii="TimesNewRoman" w:hAnsi="TimesNewRoman" w:cs="TimesNewRoman"/>
                <w:b/>
                <w:i/>
                <w:color w:val="000000"/>
                <w:sz w:val="22"/>
                <w:szCs w:val="22"/>
              </w:rPr>
              <w:t>j</w:t>
            </w:r>
            <w:r w:rsidRPr="00BC56AA">
              <w:rPr>
                <w:rFonts w:ascii="TimesNewRoman" w:hAnsi="TimesNewRoman" w:cs="TimesNewRoman"/>
                <w:color w:val="000000"/>
                <w:sz w:val="22"/>
                <w:szCs w:val="22"/>
              </w:rPr>
              <w:t>) delivered for the activity during the year measured in tonnes and estimated in accordance with Division 4.2.5.</w:t>
            </w:r>
          </w:p>
          <w:p w14:paraId="0189C310" w14:textId="77777777" w:rsidR="008977EF" w:rsidRPr="00BC56AA" w:rsidRDefault="008977EF" w:rsidP="00524E45">
            <w:pPr>
              <w:ind w:left="0"/>
              <w:rPr>
                <w:i/>
                <w:color w:val="000000"/>
                <w:sz w:val="22"/>
                <w:szCs w:val="22"/>
              </w:rPr>
            </w:pPr>
          </w:p>
        </w:tc>
      </w:tr>
      <w:tr w:rsidR="00525537" w:rsidRPr="00DA27C9" w14:paraId="156D7593" w14:textId="77777777" w:rsidTr="00525537">
        <w:trPr>
          <w:cantSplit/>
          <w:trHeight w:val="290"/>
        </w:trPr>
        <w:tc>
          <w:tcPr>
            <w:tcW w:w="238" w:type="dxa"/>
            <w:vMerge w:val="restart"/>
          </w:tcPr>
          <w:p w14:paraId="12AAACBC" w14:textId="77777777" w:rsidR="00525537" w:rsidRPr="00DA27C9" w:rsidRDefault="00525537" w:rsidP="00524E45">
            <w:pPr>
              <w:spacing w:before="60" w:after="60"/>
              <w:rPr>
                <w:i/>
                <w:color w:val="000000"/>
              </w:rPr>
            </w:pPr>
            <w:r w:rsidRPr="00DA27C9">
              <w:rPr>
                <w:i/>
                <w:color w:val="000000"/>
              </w:rPr>
              <w:t>Step 2</w:t>
            </w:r>
          </w:p>
        </w:tc>
        <w:tc>
          <w:tcPr>
            <w:tcW w:w="830" w:type="dxa"/>
          </w:tcPr>
          <w:p w14:paraId="38B15D89" w14:textId="77777777" w:rsidR="00525537" w:rsidRPr="00DA27C9" w:rsidRDefault="00525537" w:rsidP="00524E45">
            <w:pPr>
              <w:ind w:left="0"/>
              <w:rPr>
                <w:i/>
                <w:color w:val="000000"/>
              </w:rPr>
            </w:pPr>
            <w:r w:rsidRPr="00DA27C9">
              <w:rPr>
                <w:i/>
                <w:color w:val="000000"/>
              </w:rPr>
              <w:t>Step 2</w:t>
            </w:r>
          </w:p>
        </w:tc>
        <w:tc>
          <w:tcPr>
            <w:tcW w:w="6456" w:type="dxa"/>
          </w:tcPr>
          <w:p w14:paraId="075E1991" w14:textId="77777777" w:rsidR="00525537" w:rsidRDefault="00525537" w:rsidP="00524E45">
            <w:pPr>
              <w:pStyle w:val="TableText1"/>
              <w:rPr>
                <w:color w:val="000000"/>
              </w:rPr>
            </w:pPr>
            <w:r w:rsidRPr="00DA27C9">
              <w:rPr>
                <w:color w:val="000000"/>
              </w:rPr>
              <w:t>Calculate the carbon content in products (</w:t>
            </w:r>
            <w:r w:rsidRPr="00DA27C9">
              <w:rPr>
                <w:b/>
                <w:i/>
                <w:color w:val="000000"/>
              </w:rPr>
              <w:t>p</w:t>
            </w:r>
            <w:r w:rsidRPr="00DA27C9">
              <w:rPr>
                <w:color w:val="000000"/>
              </w:rPr>
              <w:t>) leaving the activity during the year measured in tonnes of carbon as follows:</w:t>
            </w:r>
          </w:p>
          <w:p w14:paraId="400781BA" w14:textId="77777777" w:rsidR="008977EF" w:rsidRPr="00DA27C9" w:rsidRDefault="008977EF" w:rsidP="00524E45">
            <w:pPr>
              <w:pStyle w:val="TableText1"/>
              <w:rPr>
                <w:color w:val="000000"/>
              </w:rPr>
            </w:pPr>
          </w:p>
          <w:p w14:paraId="7B08A34B" w14:textId="77777777" w:rsidR="00525537" w:rsidRPr="00DA27C9" w:rsidRDefault="00CA4FB8" w:rsidP="00524E45">
            <w:pPr>
              <w:ind w:left="0"/>
              <w:jc w:val="center"/>
              <w:rPr>
                <w:i/>
                <w:color w:val="000000"/>
              </w:rPr>
            </w:pPr>
            <w:r>
              <w:rPr>
                <w:color w:val="000000"/>
                <w:position w:val="-14"/>
              </w:rPr>
              <w:pict w14:anchorId="6C1FBF3F">
                <v:shape id="_x0000_i1050" type="#_x0000_t75" style="width:87.75pt;height:19.5pt">
                  <v:imagedata r:id="rId46" o:title=""/>
                </v:shape>
              </w:pict>
            </w:r>
          </w:p>
        </w:tc>
      </w:tr>
      <w:tr w:rsidR="00525537" w:rsidRPr="00DA27C9" w14:paraId="5E803F8E" w14:textId="77777777" w:rsidTr="00525537">
        <w:trPr>
          <w:cantSplit/>
          <w:trHeight w:val="350"/>
        </w:trPr>
        <w:tc>
          <w:tcPr>
            <w:tcW w:w="238" w:type="dxa"/>
            <w:vMerge/>
          </w:tcPr>
          <w:p w14:paraId="23444FA9" w14:textId="77777777" w:rsidR="00525537" w:rsidRPr="00DA27C9" w:rsidRDefault="00525537" w:rsidP="00524E45">
            <w:pPr>
              <w:spacing w:before="60" w:after="60"/>
              <w:rPr>
                <w:i/>
                <w:color w:val="000000"/>
              </w:rPr>
            </w:pPr>
          </w:p>
        </w:tc>
        <w:tc>
          <w:tcPr>
            <w:tcW w:w="830" w:type="dxa"/>
          </w:tcPr>
          <w:p w14:paraId="0EB0D645" w14:textId="77777777" w:rsidR="00525537" w:rsidRPr="00DA27C9" w:rsidRDefault="00525537" w:rsidP="00524E45">
            <w:pPr>
              <w:ind w:left="0"/>
              <w:rPr>
                <w:i/>
                <w:color w:val="000000"/>
              </w:rPr>
            </w:pPr>
          </w:p>
        </w:tc>
        <w:tc>
          <w:tcPr>
            <w:tcW w:w="6456" w:type="dxa"/>
          </w:tcPr>
          <w:p w14:paraId="3118E0AC" w14:textId="77777777" w:rsidR="00525537" w:rsidRPr="00DA27C9" w:rsidRDefault="00525537" w:rsidP="00524E45">
            <w:pPr>
              <w:pStyle w:val="TableText1"/>
              <w:rPr>
                <w:color w:val="000000"/>
              </w:rPr>
            </w:pPr>
            <w:r w:rsidRPr="00DA27C9">
              <w:rPr>
                <w:color w:val="000000"/>
              </w:rPr>
              <w:t>where:</w:t>
            </w:r>
          </w:p>
          <w:p w14:paraId="226FE487" w14:textId="77777777" w:rsidR="00525537" w:rsidRDefault="00525537" w:rsidP="0007283C">
            <w:pPr>
              <w:pStyle w:val="TableText1"/>
              <w:spacing w:before="0" w:after="120" w:line="240" w:lineRule="auto"/>
              <w:rPr>
                <w:rFonts w:ascii="TimesNewRoman" w:hAnsi="TimesNewRoman" w:cs="TimesNewRoman"/>
                <w:color w:val="000000"/>
                <w:szCs w:val="22"/>
              </w:rPr>
            </w:pPr>
            <w:r w:rsidRPr="00DA27C9">
              <w:rPr>
                <w:rFonts w:ascii="TimesNewRoman" w:hAnsi="TimesNewRoman" w:cs="TimesNewRoman"/>
                <w:i/>
                <w:color w:val="000000"/>
                <w:szCs w:val="22"/>
              </w:rPr>
              <w:t>∑</w:t>
            </w:r>
            <w:r w:rsidRPr="00DA27C9">
              <w:rPr>
                <w:rFonts w:ascii="TimesNewRoman,BoldItalic" w:hAnsi="TimesNewRoman,BoldItalic" w:cs="TimesNewRoman,BoldItalic"/>
                <w:bCs/>
                <w:i/>
                <w:iCs/>
                <w:color w:val="000000"/>
                <w:sz w:val="14"/>
                <w:szCs w:val="14"/>
              </w:rPr>
              <w:t>p</w:t>
            </w:r>
            <w:r w:rsidRPr="00DA27C9">
              <w:rPr>
                <w:rFonts w:ascii="TimesNewRoman,BoldItalic" w:hAnsi="TimesNewRoman,BoldItalic" w:cs="TimesNewRoman,BoldItalic"/>
                <w:b/>
                <w:bCs/>
                <w:i/>
                <w:iCs/>
                <w:color w:val="000000"/>
                <w:sz w:val="14"/>
                <w:szCs w:val="14"/>
              </w:rPr>
              <w:t xml:space="preserve"> </w:t>
            </w:r>
            <w:r w:rsidRPr="00DA27C9">
              <w:rPr>
                <w:rFonts w:ascii="TimesNewRoman" w:hAnsi="TimesNewRoman" w:cs="TimesNewRoman"/>
                <w:color w:val="000000"/>
                <w:szCs w:val="22"/>
              </w:rPr>
              <w:t>means sum the carbon content values obtained for all product types (</w:t>
            </w:r>
            <w:r w:rsidRPr="00DA27C9">
              <w:rPr>
                <w:rFonts w:ascii="TimesNewRoman,BoldItalic" w:hAnsi="TimesNewRoman,BoldItalic" w:cs="TimesNewRoman,BoldItalic"/>
                <w:b/>
                <w:bCs/>
                <w:i/>
                <w:iCs/>
                <w:color w:val="000000"/>
                <w:szCs w:val="22"/>
              </w:rPr>
              <w:t>p</w:t>
            </w:r>
            <w:r w:rsidRPr="00DA27C9">
              <w:rPr>
                <w:rFonts w:ascii="TimesNewRoman" w:hAnsi="TimesNewRoman" w:cs="TimesNewRoman"/>
                <w:color w:val="000000"/>
                <w:szCs w:val="22"/>
              </w:rPr>
              <w:t>).</w:t>
            </w:r>
          </w:p>
          <w:p w14:paraId="399ED1CE" w14:textId="77777777" w:rsidR="00525537" w:rsidRPr="00DA27C9" w:rsidRDefault="00525537" w:rsidP="0007283C">
            <w:pPr>
              <w:pStyle w:val="TableText1"/>
              <w:spacing w:before="0" w:after="120"/>
              <w:rPr>
                <w:rFonts w:ascii="TimesNewRoman" w:hAnsi="TimesNewRoman" w:cs="TimesNewRoman"/>
                <w:color w:val="000000"/>
                <w:szCs w:val="22"/>
              </w:rPr>
            </w:pPr>
            <w:r w:rsidRPr="00DA27C9">
              <w:rPr>
                <w:rFonts w:ascii="TimesNewRoman,BoldItalic" w:hAnsi="TimesNewRoman,BoldItalic" w:cs="TimesNewRoman,BoldItalic"/>
                <w:b/>
                <w:bCs/>
                <w:i/>
                <w:iCs/>
                <w:color w:val="000000"/>
                <w:szCs w:val="22"/>
              </w:rPr>
              <w:t>CCF</w:t>
            </w:r>
            <w:r w:rsidRPr="00DA27C9">
              <w:rPr>
                <w:rFonts w:ascii="TimesNewRoman,BoldItalic" w:hAnsi="TimesNewRoman,BoldItalic" w:cs="TimesNewRoman,BoldItalic"/>
                <w:b/>
                <w:bCs/>
                <w:i/>
                <w:iCs/>
                <w:color w:val="000000"/>
                <w:sz w:val="14"/>
                <w:szCs w:val="14"/>
              </w:rPr>
              <w:t xml:space="preserve">p </w:t>
            </w:r>
            <w:r w:rsidRPr="00DA27C9">
              <w:rPr>
                <w:rFonts w:ascii="TimesNewRoman" w:hAnsi="TimesNewRoman" w:cs="TimesNewRoman"/>
                <w:color w:val="000000"/>
                <w:szCs w:val="22"/>
              </w:rPr>
              <w:t>is the carbon content factor mentioned in Schedule 3 and measured in tonnes of carbon for each tonne of product type (</w:t>
            </w:r>
            <w:r w:rsidRPr="00DA27C9">
              <w:rPr>
                <w:rFonts w:ascii="TimesNewRoman,BoldItalic" w:hAnsi="TimesNewRoman,BoldItalic" w:cs="TimesNewRoman,BoldItalic"/>
                <w:b/>
                <w:bCs/>
                <w:i/>
                <w:iCs/>
                <w:color w:val="000000"/>
                <w:szCs w:val="22"/>
              </w:rPr>
              <w:t>p</w:t>
            </w:r>
            <w:r w:rsidRPr="00DA27C9">
              <w:rPr>
                <w:rFonts w:ascii="TimesNewRoman" w:hAnsi="TimesNewRoman" w:cs="TimesNewRoman"/>
                <w:color w:val="000000"/>
                <w:szCs w:val="22"/>
              </w:rPr>
              <w:t>) produced during the year.</w:t>
            </w:r>
          </w:p>
          <w:p w14:paraId="1CE39F9C" w14:textId="77777777" w:rsidR="00525537" w:rsidRPr="00DA27C9" w:rsidRDefault="00525537" w:rsidP="0007283C">
            <w:pPr>
              <w:pStyle w:val="TableText1"/>
              <w:spacing w:before="0" w:after="120"/>
              <w:rPr>
                <w:iCs/>
                <w:color w:val="000000"/>
              </w:rPr>
            </w:pPr>
            <w:r w:rsidRPr="00DA27C9">
              <w:rPr>
                <w:rFonts w:ascii="TimesNewRoman" w:hAnsi="TimesNewRoman" w:cs="TimesNewRoman"/>
                <w:b/>
                <w:i/>
                <w:color w:val="000000"/>
                <w:szCs w:val="22"/>
              </w:rPr>
              <w:t>F</w:t>
            </w:r>
            <w:r w:rsidRPr="00DA27C9">
              <w:rPr>
                <w:rFonts w:ascii="TimesNewRoman" w:hAnsi="TimesNewRoman" w:cs="TimesNewRoman"/>
                <w:b/>
                <w:i/>
                <w:color w:val="000000"/>
                <w:sz w:val="14"/>
                <w:szCs w:val="18"/>
              </w:rPr>
              <w:t>p</w:t>
            </w:r>
            <w:r w:rsidRPr="00DA27C9">
              <w:rPr>
                <w:rFonts w:ascii="TimesNewRoman" w:hAnsi="TimesNewRoman" w:cs="TimesNewRoman"/>
                <w:b/>
                <w:i/>
                <w:color w:val="000000"/>
                <w:szCs w:val="22"/>
              </w:rPr>
              <w:t xml:space="preserve"> </w:t>
            </w:r>
            <w:r w:rsidRPr="00DA27C9">
              <w:rPr>
                <w:rFonts w:ascii="TimesNewRoman" w:hAnsi="TimesNewRoman" w:cs="TimesNewRoman"/>
                <w:color w:val="000000"/>
                <w:szCs w:val="22"/>
              </w:rPr>
              <w:t>is the fraction of pure carbonate material in the product type (</w:t>
            </w:r>
            <w:r w:rsidRPr="00DA27C9">
              <w:rPr>
                <w:rFonts w:ascii="TimesNewRoman" w:hAnsi="TimesNewRoman" w:cs="TimesNewRoman"/>
                <w:b/>
                <w:i/>
                <w:color w:val="000000"/>
                <w:szCs w:val="22"/>
              </w:rPr>
              <w:t>p</w:t>
            </w:r>
            <w:r w:rsidRPr="00DA27C9">
              <w:rPr>
                <w:rFonts w:ascii="TimesNewRoman" w:hAnsi="TimesNewRoman" w:cs="TimesNewRoman"/>
                <w:color w:val="000000"/>
                <w:szCs w:val="22"/>
              </w:rPr>
              <w:t>).</w:t>
            </w:r>
          </w:p>
          <w:p w14:paraId="636ED9FE" w14:textId="77777777" w:rsidR="00525537" w:rsidRDefault="00525537" w:rsidP="0007283C">
            <w:pPr>
              <w:spacing w:after="120"/>
              <w:ind w:left="0"/>
              <w:rPr>
                <w:color w:val="000000"/>
                <w:sz w:val="22"/>
                <w:szCs w:val="22"/>
              </w:rPr>
            </w:pPr>
            <w:r w:rsidRPr="00BC56AA">
              <w:rPr>
                <w:b/>
                <w:bCs/>
                <w:i/>
                <w:iCs/>
                <w:color w:val="000000"/>
                <w:sz w:val="22"/>
                <w:szCs w:val="22"/>
              </w:rPr>
              <w:t xml:space="preserve">Ap </w:t>
            </w:r>
            <w:r w:rsidRPr="00BC56AA">
              <w:rPr>
                <w:color w:val="000000"/>
                <w:sz w:val="22"/>
                <w:szCs w:val="22"/>
              </w:rPr>
              <w:t>is the quantity of product types (</w:t>
            </w:r>
            <w:r w:rsidRPr="00BC56AA">
              <w:rPr>
                <w:b/>
                <w:bCs/>
                <w:i/>
                <w:iCs/>
                <w:color w:val="000000"/>
                <w:sz w:val="22"/>
                <w:szCs w:val="22"/>
              </w:rPr>
              <w:t>p</w:t>
            </w:r>
            <w:r w:rsidRPr="00BC56AA">
              <w:rPr>
                <w:color w:val="000000"/>
                <w:sz w:val="22"/>
                <w:szCs w:val="22"/>
              </w:rPr>
              <w:t>) produced leaving the activity during the year measured in tonnes.</w:t>
            </w:r>
          </w:p>
          <w:p w14:paraId="2EADD990" w14:textId="77777777" w:rsidR="008977EF" w:rsidRPr="00BC56AA" w:rsidRDefault="008977EF" w:rsidP="00524E45">
            <w:pPr>
              <w:ind w:left="0"/>
              <w:rPr>
                <w:i/>
                <w:color w:val="000000"/>
                <w:sz w:val="22"/>
                <w:szCs w:val="22"/>
              </w:rPr>
            </w:pPr>
          </w:p>
        </w:tc>
      </w:tr>
      <w:tr w:rsidR="00525537" w:rsidRPr="00DA27C9" w14:paraId="03948FD9" w14:textId="77777777" w:rsidTr="00525537">
        <w:trPr>
          <w:cantSplit/>
          <w:trHeight w:val="290"/>
        </w:trPr>
        <w:tc>
          <w:tcPr>
            <w:tcW w:w="238" w:type="dxa"/>
            <w:vMerge w:val="restart"/>
          </w:tcPr>
          <w:p w14:paraId="7913070B" w14:textId="77777777" w:rsidR="00525537" w:rsidRPr="00DA27C9" w:rsidRDefault="00525537" w:rsidP="00524E45">
            <w:pPr>
              <w:spacing w:before="60" w:after="60"/>
              <w:rPr>
                <w:i/>
                <w:color w:val="000000"/>
              </w:rPr>
            </w:pPr>
            <w:r w:rsidRPr="00DA27C9">
              <w:rPr>
                <w:i/>
                <w:color w:val="000000"/>
              </w:rPr>
              <w:t>Step 3</w:t>
            </w:r>
          </w:p>
        </w:tc>
        <w:tc>
          <w:tcPr>
            <w:tcW w:w="830" w:type="dxa"/>
          </w:tcPr>
          <w:p w14:paraId="6A0236BE" w14:textId="77777777" w:rsidR="00525537" w:rsidRPr="00DA27C9" w:rsidRDefault="00525537" w:rsidP="00524E45">
            <w:pPr>
              <w:ind w:left="0"/>
              <w:rPr>
                <w:i/>
                <w:color w:val="000000"/>
              </w:rPr>
            </w:pPr>
            <w:r w:rsidRPr="00DA27C9">
              <w:rPr>
                <w:i/>
                <w:color w:val="000000"/>
              </w:rPr>
              <w:t>Step 3</w:t>
            </w:r>
          </w:p>
        </w:tc>
        <w:tc>
          <w:tcPr>
            <w:tcW w:w="6456" w:type="dxa"/>
          </w:tcPr>
          <w:p w14:paraId="71FAF9B4" w14:textId="77777777" w:rsidR="00525537" w:rsidRDefault="00525537" w:rsidP="00524E45">
            <w:pPr>
              <w:pStyle w:val="TableText1"/>
              <w:rPr>
                <w:iCs/>
                <w:color w:val="000000"/>
              </w:rPr>
            </w:pPr>
            <w:r w:rsidRPr="00DA27C9">
              <w:rPr>
                <w:iCs/>
                <w:color w:val="000000"/>
              </w:rPr>
              <w:t xml:space="preserve">Calculate </w:t>
            </w:r>
            <w:r w:rsidRPr="00DA27C9">
              <w:rPr>
                <w:color w:val="000000"/>
              </w:rPr>
              <w:t xml:space="preserve">the carbon content in </w:t>
            </w:r>
            <w:r w:rsidRPr="00DA27C9">
              <w:rPr>
                <w:iCs/>
                <w:color w:val="000000"/>
              </w:rPr>
              <w:t>waste by</w:t>
            </w:r>
            <w:r w:rsidRPr="00DA27C9">
              <w:rPr>
                <w:iCs/>
                <w:color w:val="000000"/>
              </w:rPr>
              <w:noBreakHyphen/>
              <w:t xml:space="preserve">product types </w:t>
            </w:r>
            <w:r w:rsidRPr="00DA27C9">
              <w:rPr>
                <w:b/>
                <w:i/>
                <w:color w:val="000000"/>
              </w:rPr>
              <w:t xml:space="preserve">(r) </w:t>
            </w:r>
            <w:r w:rsidRPr="00DA27C9">
              <w:rPr>
                <w:color w:val="000000"/>
              </w:rPr>
              <w:t>leaving the activity,</w:t>
            </w:r>
            <w:r w:rsidRPr="00DA27C9">
              <w:rPr>
                <w:iCs/>
                <w:color w:val="000000"/>
              </w:rPr>
              <w:t xml:space="preserve"> other than as an emission of greenhouse gas, during the year, </w:t>
            </w:r>
            <w:r w:rsidRPr="00DA27C9">
              <w:rPr>
                <w:color w:val="000000"/>
              </w:rPr>
              <w:t xml:space="preserve">measured in tonnes of carbon, </w:t>
            </w:r>
            <w:r w:rsidRPr="00DA27C9">
              <w:rPr>
                <w:iCs/>
                <w:color w:val="000000"/>
              </w:rPr>
              <w:t>as follows:</w:t>
            </w:r>
          </w:p>
          <w:p w14:paraId="444A50B2" w14:textId="77777777" w:rsidR="00524E45" w:rsidRPr="00DA27C9" w:rsidRDefault="00524E45" w:rsidP="00524E45">
            <w:pPr>
              <w:pStyle w:val="TableText1"/>
              <w:rPr>
                <w:iCs/>
                <w:color w:val="000000"/>
              </w:rPr>
            </w:pPr>
          </w:p>
          <w:p w14:paraId="7206A27D" w14:textId="77777777" w:rsidR="00525537" w:rsidRPr="00DA27C9" w:rsidRDefault="00CA4FB8" w:rsidP="00524E45">
            <w:pPr>
              <w:ind w:left="0"/>
              <w:jc w:val="center"/>
              <w:rPr>
                <w:i/>
                <w:color w:val="000000"/>
              </w:rPr>
            </w:pPr>
            <w:r>
              <w:rPr>
                <w:color w:val="000000"/>
                <w:position w:val="-10"/>
              </w:rPr>
              <w:pict w14:anchorId="18F8B91E">
                <v:shape id="_x0000_i1051" type="#_x0000_t75" style="width:87pt;height:15.75pt">
                  <v:imagedata r:id="rId47" o:title=""/>
                </v:shape>
              </w:pict>
            </w:r>
          </w:p>
        </w:tc>
      </w:tr>
      <w:tr w:rsidR="00525537" w:rsidRPr="00DA27C9" w14:paraId="66491563" w14:textId="77777777" w:rsidTr="00525537">
        <w:trPr>
          <w:cantSplit/>
          <w:trHeight w:val="350"/>
        </w:trPr>
        <w:tc>
          <w:tcPr>
            <w:tcW w:w="238" w:type="dxa"/>
            <w:vMerge/>
          </w:tcPr>
          <w:p w14:paraId="755F23D0" w14:textId="77777777" w:rsidR="00525537" w:rsidRPr="00DA27C9" w:rsidRDefault="00525537" w:rsidP="00524E45">
            <w:pPr>
              <w:spacing w:before="60" w:after="60"/>
              <w:rPr>
                <w:i/>
                <w:color w:val="000000"/>
              </w:rPr>
            </w:pPr>
          </w:p>
        </w:tc>
        <w:tc>
          <w:tcPr>
            <w:tcW w:w="830" w:type="dxa"/>
          </w:tcPr>
          <w:p w14:paraId="5DEDD44D" w14:textId="77777777" w:rsidR="00525537" w:rsidRPr="00DA27C9" w:rsidRDefault="00525537" w:rsidP="00524E45">
            <w:pPr>
              <w:ind w:left="0"/>
              <w:rPr>
                <w:i/>
                <w:color w:val="000000"/>
              </w:rPr>
            </w:pPr>
          </w:p>
        </w:tc>
        <w:tc>
          <w:tcPr>
            <w:tcW w:w="6456" w:type="dxa"/>
          </w:tcPr>
          <w:p w14:paraId="1732379C" w14:textId="595238F8" w:rsidR="00524E45" w:rsidRPr="00DA27C9" w:rsidRDefault="00525537" w:rsidP="0007283C">
            <w:pPr>
              <w:pStyle w:val="TableText1"/>
              <w:spacing w:before="0" w:after="120"/>
              <w:rPr>
                <w:color w:val="000000"/>
              </w:rPr>
            </w:pPr>
            <w:r w:rsidRPr="00DA27C9">
              <w:rPr>
                <w:color w:val="000000"/>
              </w:rPr>
              <w:t>where:</w:t>
            </w:r>
          </w:p>
          <w:p w14:paraId="7C8C2613" w14:textId="77777777" w:rsidR="00525537" w:rsidRDefault="00525537" w:rsidP="0007283C">
            <w:pPr>
              <w:pStyle w:val="TableText1"/>
              <w:spacing w:before="0" w:after="120"/>
              <w:rPr>
                <w:color w:val="000000"/>
              </w:rPr>
            </w:pPr>
            <w:r w:rsidRPr="00DA27C9">
              <w:rPr>
                <w:rFonts w:ascii="Symbol" w:hAnsi="Symbol"/>
                <w:b/>
                <w:i/>
                <w:color w:val="000000"/>
              </w:rPr>
              <w:t></w:t>
            </w:r>
            <w:r w:rsidRPr="00DA27C9">
              <w:rPr>
                <w:b/>
                <w:i/>
                <w:color w:val="000000"/>
                <w:vertAlign w:val="subscript"/>
              </w:rPr>
              <w:t xml:space="preserve">r </w:t>
            </w:r>
            <w:r w:rsidRPr="00DA27C9">
              <w:rPr>
                <w:color w:val="000000"/>
              </w:rPr>
              <w:t>means sum the carbon content values obtained for all waste by</w:t>
            </w:r>
            <w:r w:rsidRPr="00DA27C9">
              <w:rPr>
                <w:color w:val="000000"/>
              </w:rPr>
              <w:noBreakHyphen/>
              <w:t>product types (</w:t>
            </w:r>
            <w:r w:rsidRPr="00DA27C9">
              <w:rPr>
                <w:b/>
                <w:i/>
                <w:color w:val="000000"/>
              </w:rPr>
              <w:t>r</w:t>
            </w:r>
            <w:r w:rsidRPr="00DA27C9">
              <w:rPr>
                <w:color w:val="000000"/>
              </w:rPr>
              <w:t>).</w:t>
            </w:r>
          </w:p>
          <w:p w14:paraId="279D8EE8" w14:textId="77777777" w:rsidR="00525537" w:rsidRPr="00DA27C9" w:rsidRDefault="00525537" w:rsidP="0007283C">
            <w:pPr>
              <w:pStyle w:val="TableText1"/>
              <w:spacing w:before="0" w:after="120"/>
              <w:rPr>
                <w:iCs/>
                <w:color w:val="000000"/>
              </w:rPr>
            </w:pPr>
            <w:r w:rsidRPr="00DA27C9">
              <w:rPr>
                <w:b/>
                <w:i/>
                <w:iCs/>
                <w:color w:val="000000"/>
              </w:rPr>
              <w:t>CCF</w:t>
            </w:r>
            <w:r w:rsidRPr="00DA27C9">
              <w:rPr>
                <w:b/>
                <w:i/>
                <w:iCs/>
                <w:color w:val="000000"/>
                <w:vertAlign w:val="subscript"/>
              </w:rPr>
              <w:t>r</w:t>
            </w:r>
            <w:r w:rsidRPr="00DA27C9">
              <w:rPr>
                <w:iCs/>
                <w:color w:val="000000"/>
              </w:rPr>
              <w:t xml:space="preserve"> is the carbon content factor mentioned in Schedule 3 measured in tonnes of carbon for each tonne of waste by</w:t>
            </w:r>
            <w:r w:rsidRPr="00DA27C9">
              <w:rPr>
                <w:iCs/>
                <w:color w:val="000000"/>
              </w:rPr>
              <w:noBreakHyphen/>
              <w:t>product types</w:t>
            </w:r>
            <w:r w:rsidRPr="00DA27C9">
              <w:rPr>
                <w:b/>
                <w:i/>
                <w:iCs/>
                <w:color w:val="000000"/>
              </w:rPr>
              <w:t xml:space="preserve"> </w:t>
            </w:r>
            <w:r w:rsidRPr="00DA27C9">
              <w:rPr>
                <w:iCs/>
                <w:color w:val="000000"/>
              </w:rPr>
              <w:t>(</w:t>
            </w:r>
            <w:r w:rsidRPr="00DA27C9">
              <w:rPr>
                <w:b/>
                <w:i/>
                <w:iCs/>
                <w:color w:val="000000"/>
              </w:rPr>
              <w:t>r</w:t>
            </w:r>
            <w:r w:rsidRPr="00DA27C9">
              <w:rPr>
                <w:iCs/>
                <w:color w:val="000000"/>
              </w:rPr>
              <w:t>).</w:t>
            </w:r>
          </w:p>
          <w:p w14:paraId="62801240" w14:textId="77777777" w:rsidR="00525537" w:rsidRPr="00BC56AA" w:rsidRDefault="00525537" w:rsidP="0007283C">
            <w:pPr>
              <w:spacing w:after="120"/>
              <w:ind w:left="0"/>
              <w:rPr>
                <w:i/>
                <w:color w:val="000000"/>
                <w:sz w:val="22"/>
                <w:szCs w:val="22"/>
              </w:rPr>
            </w:pPr>
            <w:r w:rsidRPr="00BC56AA">
              <w:rPr>
                <w:b/>
                <w:i/>
                <w:color w:val="000000"/>
                <w:sz w:val="22"/>
                <w:szCs w:val="22"/>
              </w:rPr>
              <w:t>Y</w:t>
            </w:r>
            <w:r w:rsidRPr="00BC56AA">
              <w:rPr>
                <w:b/>
                <w:i/>
                <w:color w:val="000000"/>
                <w:sz w:val="22"/>
                <w:szCs w:val="22"/>
                <w:vertAlign w:val="subscript"/>
              </w:rPr>
              <w:t xml:space="preserve">r </w:t>
            </w:r>
            <w:r w:rsidRPr="00BC56AA">
              <w:rPr>
                <w:color w:val="000000"/>
                <w:sz w:val="22"/>
                <w:szCs w:val="22"/>
              </w:rPr>
              <w:t>is the quantity of waste by</w:t>
            </w:r>
            <w:r w:rsidRPr="00BC56AA">
              <w:rPr>
                <w:color w:val="000000"/>
                <w:sz w:val="22"/>
                <w:szCs w:val="22"/>
              </w:rPr>
              <w:noBreakHyphen/>
              <w:t>product types (</w:t>
            </w:r>
            <w:r w:rsidRPr="00BC56AA">
              <w:rPr>
                <w:b/>
                <w:i/>
                <w:color w:val="000000"/>
                <w:sz w:val="22"/>
                <w:szCs w:val="22"/>
              </w:rPr>
              <w:t>r</w:t>
            </w:r>
            <w:r w:rsidRPr="00BC56AA">
              <w:rPr>
                <w:color w:val="000000"/>
                <w:sz w:val="22"/>
                <w:szCs w:val="22"/>
              </w:rPr>
              <w:t>) leaving the activity during the year measured in tonnes.</w:t>
            </w:r>
          </w:p>
        </w:tc>
      </w:tr>
      <w:tr w:rsidR="00525537" w:rsidRPr="00DA27C9" w14:paraId="6C292075" w14:textId="77777777" w:rsidTr="00525537">
        <w:trPr>
          <w:cantSplit/>
          <w:trHeight w:val="290"/>
        </w:trPr>
        <w:tc>
          <w:tcPr>
            <w:tcW w:w="238" w:type="dxa"/>
            <w:vMerge w:val="restart"/>
          </w:tcPr>
          <w:p w14:paraId="1CC665A3" w14:textId="77777777" w:rsidR="00525537" w:rsidRPr="00DA27C9" w:rsidRDefault="00525537" w:rsidP="00524E45">
            <w:pPr>
              <w:spacing w:before="60" w:after="60"/>
              <w:rPr>
                <w:i/>
                <w:color w:val="000000"/>
              </w:rPr>
            </w:pPr>
            <w:r w:rsidRPr="00DA27C9">
              <w:rPr>
                <w:i/>
                <w:color w:val="000000"/>
              </w:rPr>
              <w:t>Step 4</w:t>
            </w:r>
          </w:p>
        </w:tc>
        <w:tc>
          <w:tcPr>
            <w:tcW w:w="830" w:type="dxa"/>
          </w:tcPr>
          <w:p w14:paraId="0235DC8F" w14:textId="77777777" w:rsidR="00525537" w:rsidRPr="00DA27C9" w:rsidRDefault="00525537" w:rsidP="00524E45">
            <w:pPr>
              <w:ind w:left="0"/>
              <w:rPr>
                <w:i/>
                <w:color w:val="000000"/>
              </w:rPr>
            </w:pPr>
            <w:r w:rsidRPr="00DA27C9">
              <w:rPr>
                <w:i/>
                <w:color w:val="000000"/>
              </w:rPr>
              <w:t>Step 4</w:t>
            </w:r>
          </w:p>
        </w:tc>
        <w:tc>
          <w:tcPr>
            <w:tcW w:w="6456" w:type="dxa"/>
          </w:tcPr>
          <w:p w14:paraId="675B1238" w14:textId="77777777" w:rsidR="00525537" w:rsidRPr="00DA27C9" w:rsidRDefault="00525537" w:rsidP="00524E45">
            <w:pPr>
              <w:pStyle w:val="TableText1"/>
              <w:rPr>
                <w:iCs/>
                <w:color w:val="000000"/>
              </w:rPr>
            </w:pPr>
            <w:r w:rsidRPr="00DA27C9">
              <w:rPr>
                <w:color w:val="000000"/>
              </w:rPr>
              <w:t xml:space="preserve">Calculate the carbon content in the amount of the increase in </w:t>
            </w:r>
            <w:r w:rsidRPr="00DA27C9">
              <w:rPr>
                <w:iCs/>
                <w:color w:val="000000"/>
              </w:rPr>
              <w:t>stocks of inputs, products and waste by</w:t>
            </w:r>
            <w:r w:rsidRPr="00DA27C9">
              <w:rPr>
                <w:i/>
                <w:iCs/>
                <w:color w:val="000000"/>
              </w:rPr>
              <w:t>-</w:t>
            </w:r>
            <w:r w:rsidRPr="00DA27C9">
              <w:rPr>
                <w:iCs/>
                <w:color w:val="000000"/>
              </w:rPr>
              <w:t>products held within the boundary of the activity during the year in tonnes of carbon as follows:</w:t>
            </w:r>
          </w:p>
          <w:p w14:paraId="2BD6D7FF" w14:textId="77777777" w:rsidR="00525537" w:rsidRPr="00DA27C9" w:rsidRDefault="00CA4FB8" w:rsidP="00524E45">
            <w:pPr>
              <w:ind w:left="0"/>
              <w:rPr>
                <w:i/>
                <w:color w:val="000000"/>
              </w:rPr>
            </w:pPr>
            <w:r>
              <w:rPr>
                <w:color w:val="000000"/>
                <w:position w:val="-10"/>
              </w:rPr>
              <w:pict w14:anchorId="18E276AA">
                <v:shape id="_x0000_i1052" type="#_x0000_t75" style="width:322.5pt;height:15pt">
                  <v:imagedata r:id="rId48" o:title=""/>
                </v:shape>
              </w:pict>
            </w:r>
          </w:p>
        </w:tc>
      </w:tr>
      <w:tr w:rsidR="00525537" w:rsidRPr="00DA27C9" w14:paraId="75256304" w14:textId="77777777" w:rsidTr="00525537">
        <w:trPr>
          <w:cantSplit/>
          <w:trHeight w:val="350"/>
        </w:trPr>
        <w:tc>
          <w:tcPr>
            <w:tcW w:w="238" w:type="dxa"/>
            <w:vMerge/>
          </w:tcPr>
          <w:p w14:paraId="00CF2C02" w14:textId="77777777" w:rsidR="00525537" w:rsidRPr="00DA27C9" w:rsidRDefault="00525537" w:rsidP="00524E45">
            <w:pPr>
              <w:spacing w:before="60" w:after="60"/>
              <w:rPr>
                <w:i/>
                <w:color w:val="000000"/>
              </w:rPr>
            </w:pPr>
          </w:p>
        </w:tc>
        <w:tc>
          <w:tcPr>
            <w:tcW w:w="830" w:type="dxa"/>
          </w:tcPr>
          <w:p w14:paraId="26D7F3D0" w14:textId="77777777" w:rsidR="00525537" w:rsidRPr="00DA27C9" w:rsidRDefault="00525537" w:rsidP="00524E45">
            <w:pPr>
              <w:ind w:left="0"/>
              <w:rPr>
                <w:i/>
                <w:color w:val="000000"/>
              </w:rPr>
            </w:pPr>
          </w:p>
        </w:tc>
        <w:tc>
          <w:tcPr>
            <w:tcW w:w="6456" w:type="dxa"/>
          </w:tcPr>
          <w:p w14:paraId="3A99AD73" w14:textId="10DFF207" w:rsidR="00524E45" w:rsidRDefault="00525537" w:rsidP="0007283C">
            <w:pPr>
              <w:pStyle w:val="TableText1"/>
              <w:spacing w:before="0" w:after="120"/>
              <w:rPr>
                <w:rFonts w:ascii="Symbol" w:hAnsi="Symbol"/>
                <w:b/>
                <w:i/>
                <w:color w:val="000000"/>
              </w:rPr>
            </w:pPr>
            <w:r w:rsidRPr="00DA27C9">
              <w:rPr>
                <w:color w:val="000000"/>
              </w:rPr>
              <w:t>where:</w:t>
            </w:r>
          </w:p>
          <w:p w14:paraId="349FEE18" w14:textId="77777777" w:rsidR="00525537" w:rsidRPr="00DA27C9" w:rsidRDefault="00525537" w:rsidP="0007283C">
            <w:pPr>
              <w:pStyle w:val="TableText1"/>
              <w:spacing w:before="0" w:after="120"/>
              <w:rPr>
                <w:b/>
                <w:i/>
                <w:color w:val="000000"/>
              </w:rPr>
            </w:pPr>
            <w:r w:rsidRPr="00DA27C9">
              <w:rPr>
                <w:rFonts w:ascii="Symbol" w:hAnsi="Symbol"/>
                <w:b/>
                <w:i/>
                <w:color w:val="000000"/>
              </w:rPr>
              <w:t></w:t>
            </w:r>
            <w:r w:rsidRPr="00DA27C9">
              <w:rPr>
                <w:b/>
                <w:i/>
                <w:color w:val="000000"/>
                <w:vertAlign w:val="subscript"/>
              </w:rPr>
              <w:t xml:space="preserve">i </w:t>
            </w:r>
            <w:r w:rsidRPr="00DA27C9">
              <w:rPr>
                <w:color w:val="000000"/>
              </w:rPr>
              <w:t>has the same meaning as in step 1.</w:t>
            </w:r>
          </w:p>
          <w:p w14:paraId="767DD5F9" w14:textId="77777777" w:rsidR="00525537" w:rsidRPr="00DA27C9" w:rsidRDefault="00525537" w:rsidP="0007283C">
            <w:pPr>
              <w:pStyle w:val="TableText1"/>
              <w:spacing w:before="0" w:after="120"/>
              <w:rPr>
                <w:iCs/>
                <w:color w:val="000000"/>
              </w:rPr>
            </w:pPr>
            <w:r w:rsidRPr="00DA27C9">
              <w:rPr>
                <w:b/>
                <w:i/>
                <w:color w:val="000000"/>
              </w:rPr>
              <w:t>CCF</w:t>
            </w:r>
            <w:r w:rsidRPr="00DA27C9">
              <w:rPr>
                <w:b/>
                <w:i/>
                <w:color w:val="000000"/>
                <w:vertAlign w:val="subscript"/>
              </w:rPr>
              <w:t xml:space="preserve">i </w:t>
            </w:r>
            <w:r w:rsidRPr="00DA27C9">
              <w:rPr>
                <w:color w:val="000000"/>
              </w:rPr>
              <w:t>has the same meaning as in step 1.</w:t>
            </w:r>
          </w:p>
          <w:p w14:paraId="5486A7B1" w14:textId="77777777" w:rsidR="00F22412" w:rsidRDefault="00525537" w:rsidP="0007283C">
            <w:pPr>
              <w:pStyle w:val="TableText1"/>
              <w:spacing w:before="0" w:after="120"/>
              <w:rPr>
                <w:rFonts w:ascii="TimesNewRoman,BoldItalic" w:hAnsi="TimesNewRoman,BoldItalic" w:cs="TimesNewRoman,BoldItalic"/>
                <w:b/>
                <w:bCs/>
                <w:i/>
                <w:iCs/>
                <w:color w:val="000000"/>
                <w:szCs w:val="22"/>
              </w:rPr>
            </w:pPr>
            <w:r w:rsidRPr="00DA27C9">
              <w:rPr>
                <w:rFonts w:ascii="TimesNewRoman,BoldItalic" w:hAnsi="TimesNewRoman,BoldItalic" w:cs="TimesNewRoman,BoldItalic"/>
                <w:b/>
                <w:bCs/>
                <w:i/>
                <w:iCs/>
                <w:color w:val="000000"/>
                <w:szCs w:val="22"/>
              </w:rPr>
              <w:t>ΔS</w:t>
            </w:r>
            <w:r w:rsidRPr="00DA27C9">
              <w:rPr>
                <w:rFonts w:ascii="TimesNewRoman,BoldItalic" w:hAnsi="TimesNewRoman,BoldItalic" w:cs="TimesNewRoman,BoldItalic"/>
                <w:b/>
                <w:bCs/>
                <w:i/>
                <w:iCs/>
                <w:color w:val="000000"/>
                <w:sz w:val="14"/>
                <w:szCs w:val="14"/>
              </w:rPr>
              <w:t xml:space="preserve">qi </w:t>
            </w:r>
            <w:r w:rsidRPr="00DA27C9">
              <w:rPr>
                <w:rFonts w:ascii="TimesNewRoman" w:hAnsi="TimesNewRoman" w:cs="TimesNewRoman"/>
                <w:color w:val="000000"/>
                <w:szCs w:val="22"/>
              </w:rPr>
              <w:t>is the increase in stocks of fuel type (</w:t>
            </w:r>
            <w:r w:rsidRPr="00DA27C9">
              <w:rPr>
                <w:rFonts w:ascii="TimesNewRoman,BoldItalic" w:hAnsi="TimesNewRoman,BoldItalic" w:cs="TimesNewRoman,BoldItalic"/>
                <w:b/>
                <w:bCs/>
                <w:i/>
                <w:iCs/>
                <w:color w:val="000000"/>
                <w:szCs w:val="22"/>
              </w:rPr>
              <w:t>i</w:t>
            </w:r>
            <w:r w:rsidRPr="00DA27C9">
              <w:rPr>
                <w:rFonts w:ascii="TimesNewRoman" w:hAnsi="TimesNewRoman" w:cs="TimesNewRoman"/>
                <w:color w:val="000000"/>
                <w:szCs w:val="22"/>
              </w:rPr>
              <w:t>) for the activity and held within the boundary of the activity during the year measured in tonnes.</w:t>
            </w:r>
          </w:p>
          <w:p w14:paraId="4CDC236B" w14:textId="77777777" w:rsidR="00525537" w:rsidRPr="00DA27C9" w:rsidRDefault="00525537" w:rsidP="0007283C">
            <w:pPr>
              <w:pStyle w:val="TableText1"/>
              <w:spacing w:before="0" w:after="120"/>
              <w:rPr>
                <w:rFonts w:ascii="TimesNewRoman" w:hAnsi="TimesNewRoman" w:cs="TimesNewRoman"/>
                <w:color w:val="000000"/>
                <w:szCs w:val="22"/>
              </w:rPr>
            </w:pPr>
            <w:r w:rsidRPr="00DA27C9">
              <w:rPr>
                <w:rFonts w:ascii="TimesNewRoman,BoldItalic" w:hAnsi="TimesNewRoman,BoldItalic" w:cs="TimesNewRoman,BoldItalic"/>
                <w:b/>
                <w:bCs/>
                <w:i/>
                <w:iCs/>
                <w:color w:val="000000"/>
                <w:szCs w:val="22"/>
              </w:rPr>
              <w:t>CCF</w:t>
            </w:r>
            <w:r w:rsidRPr="00DA27C9">
              <w:rPr>
                <w:rFonts w:ascii="TimesNewRoman,BoldItalic" w:hAnsi="TimesNewRoman,BoldItalic" w:cs="TimesNewRoman,BoldItalic"/>
                <w:b/>
                <w:bCs/>
                <w:i/>
                <w:iCs/>
                <w:color w:val="000000"/>
                <w:sz w:val="14"/>
                <w:szCs w:val="14"/>
              </w:rPr>
              <w:t xml:space="preserve">j </w:t>
            </w:r>
            <w:r w:rsidRPr="00DA27C9">
              <w:rPr>
                <w:rFonts w:ascii="TimesNewRoman" w:hAnsi="TimesNewRoman" w:cs="TimesNewRoman"/>
                <w:color w:val="000000"/>
                <w:szCs w:val="22"/>
              </w:rPr>
              <w:t>has the same meaning as in step 1.</w:t>
            </w:r>
          </w:p>
          <w:p w14:paraId="34478BD9" w14:textId="77777777" w:rsidR="00525537" w:rsidRPr="00DA27C9" w:rsidRDefault="00525537" w:rsidP="0007283C">
            <w:pPr>
              <w:pStyle w:val="TableText1"/>
              <w:spacing w:before="0" w:after="120"/>
              <w:rPr>
                <w:iCs/>
                <w:color w:val="000000"/>
              </w:rPr>
            </w:pPr>
            <w:r w:rsidRPr="00DA27C9">
              <w:rPr>
                <w:rFonts w:ascii="TimesNewRoman,BoldItalic" w:hAnsi="TimesNewRoman,BoldItalic" w:cs="TimesNewRoman,BoldItalic"/>
                <w:b/>
                <w:bCs/>
                <w:i/>
                <w:iCs/>
                <w:color w:val="000000"/>
                <w:szCs w:val="22"/>
              </w:rPr>
              <w:t>ΔS</w:t>
            </w:r>
            <w:r w:rsidRPr="00DA27C9">
              <w:rPr>
                <w:rFonts w:ascii="TimesNewRoman,BoldItalic" w:hAnsi="TimesNewRoman,BoldItalic" w:cs="TimesNewRoman,BoldItalic"/>
                <w:b/>
                <w:bCs/>
                <w:i/>
                <w:iCs/>
                <w:color w:val="000000"/>
                <w:sz w:val="14"/>
                <w:szCs w:val="14"/>
              </w:rPr>
              <w:t xml:space="preserve">qj </w:t>
            </w:r>
            <w:r w:rsidRPr="00DA27C9">
              <w:rPr>
                <w:rFonts w:ascii="TimesNewRoman" w:hAnsi="TimesNewRoman" w:cs="TimesNewRoman"/>
                <w:color w:val="000000"/>
                <w:szCs w:val="22"/>
              </w:rPr>
              <w:t>is the increase in stocks of pure carbonate material (</w:t>
            </w:r>
            <w:r w:rsidRPr="00DA27C9">
              <w:rPr>
                <w:rFonts w:ascii="TimesNewRoman" w:hAnsi="TimesNewRoman" w:cs="TimesNewRoman"/>
                <w:b/>
                <w:i/>
                <w:color w:val="000000"/>
                <w:szCs w:val="22"/>
              </w:rPr>
              <w:t>j</w:t>
            </w:r>
            <w:r w:rsidRPr="00DA27C9">
              <w:rPr>
                <w:rFonts w:ascii="TimesNewRoman" w:hAnsi="TimesNewRoman" w:cs="TimesNewRoman"/>
                <w:color w:val="000000"/>
                <w:szCs w:val="22"/>
              </w:rPr>
              <w:t>) for the activity and held within the boundary of the activity during the year measured in tonnes.</w:t>
            </w:r>
          </w:p>
          <w:p w14:paraId="37CCE4B7" w14:textId="77777777" w:rsidR="00525537" w:rsidRPr="00DA27C9" w:rsidRDefault="00525537" w:rsidP="0007283C">
            <w:pPr>
              <w:pStyle w:val="TableText1"/>
              <w:spacing w:before="0" w:after="120"/>
              <w:rPr>
                <w:b/>
                <w:i/>
                <w:color w:val="000000"/>
              </w:rPr>
            </w:pPr>
            <w:r w:rsidRPr="00DA27C9">
              <w:rPr>
                <w:rFonts w:ascii="Symbol" w:hAnsi="Symbol"/>
                <w:b/>
                <w:i/>
                <w:color w:val="000000"/>
              </w:rPr>
              <w:t></w:t>
            </w:r>
            <w:r w:rsidRPr="00DA27C9">
              <w:rPr>
                <w:b/>
                <w:i/>
                <w:color w:val="000000"/>
                <w:vertAlign w:val="subscript"/>
              </w:rPr>
              <w:t xml:space="preserve">p </w:t>
            </w:r>
            <w:r w:rsidRPr="00DA27C9">
              <w:rPr>
                <w:color w:val="000000"/>
              </w:rPr>
              <w:t>has the same meaning as in step 2.</w:t>
            </w:r>
          </w:p>
          <w:p w14:paraId="4A6F1500" w14:textId="77777777" w:rsidR="00525537" w:rsidRPr="00DA27C9" w:rsidRDefault="00525537" w:rsidP="0007283C">
            <w:pPr>
              <w:pStyle w:val="TableText1"/>
              <w:spacing w:before="0" w:after="120"/>
              <w:rPr>
                <w:b/>
                <w:i/>
                <w:iCs/>
                <w:color w:val="000000"/>
              </w:rPr>
            </w:pPr>
            <w:r w:rsidRPr="00DA27C9">
              <w:rPr>
                <w:b/>
                <w:i/>
                <w:color w:val="000000"/>
              </w:rPr>
              <w:t>CCF</w:t>
            </w:r>
            <w:r w:rsidRPr="00DA27C9">
              <w:rPr>
                <w:b/>
                <w:i/>
                <w:color w:val="000000"/>
                <w:vertAlign w:val="subscript"/>
              </w:rPr>
              <w:t xml:space="preserve">p </w:t>
            </w:r>
            <w:r w:rsidRPr="00DA27C9">
              <w:rPr>
                <w:color w:val="000000"/>
              </w:rPr>
              <w:t>has the same meaning as in step 2.</w:t>
            </w:r>
          </w:p>
          <w:p w14:paraId="228576A5" w14:textId="77777777" w:rsidR="00525537" w:rsidRPr="00BC56AA" w:rsidRDefault="00525537" w:rsidP="0007283C">
            <w:pPr>
              <w:autoSpaceDE w:val="0"/>
              <w:autoSpaceDN w:val="0"/>
              <w:adjustRightInd w:val="0"/>
              <w:spacing w:after="120"/>
              <w:ind w:left="0"/>
              <w:rPr>
                <w:i/>
                <w:color w:val="000000"/>
                <w:sz w:val="22"/>
                <w:szCs w:val="22"/>
              </w:rPr>
            </w:pPr>
            <w:r w:rsidRPr="00DA27C9">
              <w:rPr>
                <w:rFonts w:ascii="TimesNewRoman,BoldItalic" w:hAnsi="TimesNewRoman,BoldItalic" w:cs="TimesNewRoman,BoldItalic"/>
                <w:b/>
                <w:bCs/>
                <w:i/>
                <w:iCs/>
                <w:color w:val="000000"/>
                <w:sz w:val="22"/>
                <w:szCs w:val="22"/>
              </w:rPr>
              <w:t>ΔS</w:t>
            </w:r>
            <w:r w:rsidRPr="00DA27C9">
              <w:rPr>
                <w:rFonts w:ascii="TimesNewRoman,BoldItalic" w:hAnsi="TimesNewRoman,BoldItalic" w:cs="TimesNewRoman,BoldItalic"/>
                <w:b/>
                <w:bCs/>
                <w:i/>
                <w:iCs/>
                <w:color w:val="000000"/>
                <w:sz w:val="14"/>
                <w:szCs w:val="14"/>
              </w:rPr>
              <w:t xml:space="preserve">ap </w:t>
            </w:r>
            <w:r w:rsidRPr="00DA27C9">
              <w:rPr>
                <w:rFonts w:ascii="TimesNewRoman" w:hAnsi="TimesNewRoman" w:cs="TimesNewRoman"/>
                <w:color w:val="000000"/>
                <w:sz w:val="22"/>
                <w:szCs w:val="22"/>
              </w:rPr>
              <w:t>is the increase in stocks of product types (</w:t>
            </w:r>
            <w:r w:rsidRPr="00DA27C9">
              <w:rPr>
                <w:rFonts w:ascii="TimesNewRoman,BoldItalic" w:hAnsi="TimesNewRoman,BoldItalic" w:cs="TimesNewRoman,BoldItalic"/>
                <w:b/>
                <w:bCs/>
                <w:i/>
                <w:iCs/>
                <w:color w:val="000000"/>
                <w:sz w:val="22"/>
                <w:szCs w:val="22"/>
              </w:rPr>
              <w:t xml:space="preserve">p) </w:t>
            </w:r>
            <w:r w:rsidRPr="00DA27C9">
              <w:rPr>
                <w:rFonts w:ascii="TimesNewRoman" w:hAnsi="TimesNewRoman" w:cs="TimesNewRoman"/>
                <w:color w:val="000000"/>
                <w:sz w:val="22"/>
                <w:szCs w:val="22"/>
              </w:rPr>
              <w:t>produced by the</w:t>
            </w:r>
            <w:r w:rsidR="0007283C">
              <w:rPr>
                <w:rFonts w:ascii="TimesNewRoman" w:hAnsi="TimesNewRoman" w:cs="TimesNewRoman"/>
                <w:color w:val="000000"/>
                <w:sz w:val="22"/>
                <w:szCs w:val="22"/>
              </w:rPr>
              <w:t xml:space="preserve"> </w:t>
            </w:r>
            <w:r w:rsidRPr="00DA27C9">
              <w:rPr>
                <w:rFonts w:ascii="TimesNewRoman" w:hAnsi="TimesNewRoman" w:cs="TimesNewRoman"/>
                <w:color w:val="000000"/>
                <w:sz w:val="22"/>
                <w:szCs w:val="22"/>
              </w:rPr>
              <w:t>activity and held within the boundary of the activity during the year</w:t>
            </w:r>
            <w:r w:rsidR="0007283C">
              <w:rPr>
                <w:rFonts w:ascii="TimesNewRoman" w:hAnsi="TimesNewRoman" w:cs="TimesNewRoman"/>
                <w:color w:val="000000"/>
                <w:sz w:val="22"/>
                <w:szCs w:val="22"/>
              </w:rPr>
              <w:t xml:space="preserve"> </w:t>
            </w:r>
            <w:r w:rsidRPr="00BC56AA">
              <w:rPr>
                <w:rFonts w:ascii="TimesNewRoman" w:hAnsi="TimesNewRoman" w:cs="TimesNewRoman"/>
                <w:color w:val="000000"/>
                <w:sz w:val="22"/>
                <w:szCs w:val="22"/>
              </w:rPr>
              <w:t>measured in tonnes.</w:t>
            </w:r>
          </w:p>
        </w:tc>
      </w:tr>
      <w:tr w:rsidR="00525537" w:rsidRPr="00DA27C9" w14:paraId="63BBD5C2" w14:textId="77777777" w:rsidTr="00525537">
        <w:trPr>
          <w:cantSplit/>
        </w:trPr>
        <w:tc>
          <w:tcPr>
            <w:tcW w:w="238" w:type="dxa"/>
          </w:tcPr>
          <w:p w14:paraId="365490CE" w14:textId="77777777" w:rsidR="00525537" w:rsidRPr="00DA27C9" w:rsidRDefault="00525537" w:rsidP="00524E45">
            <w:pPr>
              <w:spacing w:before="60" w:after="60"/>
              <w:rPr>
                <w:i/>
                <w:color w:val="000000"/>
              </w:rPr>
            </w:pPr>
          </w:p>
        </w:tc>
        <w:tc>
          <w:tcPr>
            <w:tcW w:w="830" w:type="dxa"/>
          </w:tcPr>
          <w:p w14:paraId="65440E84" w14:textId="77777777" w:rsidR="00525537" w:rsidRPr="00DA27C9" w:rsidRDefault="00525537" w:rsidP="00524E45">
            <w:pPr>
              <w:ind w:left="0"/>
              <w:rPr>
                <w:i/>
                <w:color w:val="000000"/>
              </w:rPr>
            </w:pPr>
          </w:p>
        </w:tc>
        <w:tc>
          <w:tcPr>
            <w:tcW w:w="6456" w:type="dxa"/>
          </w:tcPr>
          <w:p w14:paraId="7EEDDC6E" w14:textId="77777777" w:rsidR="00F22412" w:rsidRDefault="00F22412" w:rsidP="0007283C">
            <w:pPr>
              <w:pStyle w:val="TableText1"/>
              <w:spacing w:before="0" w:after="120"/>
              <w:rPr>
                <w:rFonts w:ascii="Symbol" w:hAnsi="Symbol"/>
                <w:b/>
                <w:i/>
                <w:color w:val="000000"/>
              </w:rPr>
            </w:pPr>
          </w:p>
          <w:p w14:paraId="062E592E" w14:textId="77777777" w:rsidR="00525537" w:rsidRPr="00DA27C9" w:rsidRDefault="00525537" w:rsidP="0007283C">
            <w:pPr>
              <w:pStyle w:val="TableText1"/>
              <w:spacing w:before="0" w:after="120"/>
              <w:rPr>
                <w:b/>
                <w:i/>
                <w:color w:val="000000"/>
              </w:rPr>
            </w:pPr>
            <w:r w:rsidRPr="00DA27C9">
              <w:rPr>
                <w:rFonts w:ascii="Symbol" w:hAnsi="Symbol"/>
                <w:b/>
                <w:i/>
                <w:color w:val="000000"/>
              </w:rPr>
              <w:t></w:t>
            </w:r>
            <w:r w:rsidRPr="00DA27C9">
              <w:rPr>
                <w:b/>
                <w:i/>
                <w:color w:val="000000"/>
                <w:vertAlign w:val="subscript"/>
              </w:rPr>
              <w:t xml:space="preserve">r </w:t>
            </w:r>
            <w:r w:rsidRPr="00DA27C9">
              <w:rPr>
                <w:color w:val="000000"/>
              </w:rPr>
              <w:t>has the same meaning as in step 3.</w:t>
            </w:r>
          </w:p>
          <w:p w14:paraId="3B1FFEDF" w14:textId="77777777" w:rsidR="00525537" w:rsidRPr="00DA27C9" w:rsidRDefault="00525537" w:rsidP="0007283C">
            <w:pPr>
              <w:pStyle w:val="TableText1"/>
              <w:spacing w:before="0" w:after="120"/>
              <w:rPr>
                <w:b/>
                <w:i/>
                <w:iCs/>
                <w:color w:val="000000"/>
              </w:rPr>
            </w:pPr>
            <w:r w:rsidRPr="00DA27C9">
              <w:rPr>
                <w:b/>
                <w:i/>
                <w:color w:val="000000"/>
              </w:rPr>
              <w:t>CCF</w:t>
            </w:r>
            <w:r w:rsidRPr="00DA27C9">
              <w:rPr>
                <w:b/>
                <w:i/>
                <w:color w:val="000000"/>
                <w:vertAlign w:val="subscript"/>
              </w:rPr>
              <w:t xml:space="preserve">r </w:t>
            </w:r>
            <w:r w:rsidRPr="00DA27C9">
              <w:rPr>
                <w:color w:val="000000"/>
              </w:rPr>
              <w:t>has the same meaning as in step 3.</w:t>
            </w:r>
          </w:p>
          <w:p w14:paraId="55817D96" w14:textId="77777777" w:rsidR="00F22412" w:rsidRPr="00BC56AA" w:rsidRDefault="00525537" w:rsidP="0007283C">
            <w:pPr>
              <w:spacing w:after="120"/>
              <w:ind w:left="0"/>
              <w:rPr>
                <w:i/>
                <w:color w:val="000000"/>
                <w:sz w:val="22"/>
                <w:szCs w:val="22"/>
              </w:rPr>
            </w:pPr>
            <w:r w:rsidRPr="00BC56AA">
              <w:rPr>
                <w:b/>
                <w:i/>
                <w:iCs/>
                <w:color w:val="000000"/>
                <w:sz w:val="22"/>
                <w:szCs w:val="22"/>
              </w:rPr>
              <w:t>ΔS</w:t>
            </w:r>
            <w:r w:rsidRPr="00BC56AA">
              <w:rPr>
                <w:b/>
                <w:i/>
                <w:iCs/>
                <w:color w:val="000000"/>
                <w:sz w:val="22"/>
                <w:szCs w:val="22"/>
                <w:vertAlign w:val="subscript"/>
              </w:rPr>
              <w:t>yr</w:t>
            </w:r>
            <w:r w:rsidRPr="00BC56AA">
              <w:rPr>
                <w:iCs/>
                <w:color w:val="000000"/>
                <w:sz w:val="22"/>
                <w:szCs w:val="22"/>
              </w:rPr>
              <w:t xml:space="preserve"> is the increase in stocks of waste by</w:t>
            </w:r>
            <w:r w:rsidRPr="00BC56AA">
              <w:rPr>
                <w:iCs/>
                <w:color w:val="000000"/>
                <w:sz w:val="22"/>
                <w:szCs w:val="22"/>
              </w:rPr>
              <w:noBreakHyphen/>
              <w:t>product types (</w:t>
            </w:r>
            <w:r w:rsidRPr="00BC56AA">
              <w:rPr>
                <w:b/>
                <w:i/>
                <w:iCs/>
                <w:color w:val="000000"/>
                <w:sz w:val="22"/>
                <w:szCs w:val="22"/>
              </w:rPr>
              <w:t>r</w:t>
            </w:r>
            <w:r w:rsidRPr="00BC56AA">
              <w:rPr>
                <w:iCs/>
                <w:color w:val="000000"/>
                <w:sz w:val="22"/>
                <w:szCs w:val="22"/>
              </w:rPr>
              <w:t xml:space="preserve">) produced from the operation of the activity and held </w:t>
            </w:r>
            <w:r w:rsidRPr="00BC56AA">
              <w:rPr>
                <w:color w:val="000000"/>
                <w:sz w:val="22"/>
                <w:szCs w:val="22"/>
              </w:rPr>
              <w:t xml:space="preserve">within </w:t>
            </w:r>
            <w:r w:rsidRPr="00BC56AA">
              <w:rPr>
                <w:iCs/>
                <w:color w:val="000000"/>
                <w:sz w:val="22"/>
                <w:szCs w:val="22"/>
              </w:rPr>
              <w:t xml:space="preserve">the boundary of </w:t>
            </w:r>
            <w:r w:rsidRPr="00BC56AA">
              <w:rPr>
                <w:color w:val="000000"/>
                <w:sz w:val="22"/>
                <w:szCs w:val="22"/>
              </w:rPr>
              <w:t xml:space="preserve">the activity </w:t>
            </w:r>
            <w:r w:rsidRPr="00BC56AA">
              <w:rPr>
                <w:iCs/>
                <w:color w:val="000000"/>
                <w:sz w:val="22"/>
                <w:szCs w:val="22"/>
              </w:rPr>
              <w:t>during the year measured in tonnes.</w:t>
            </w:r>
          </w:p>
        </w:tc>
      </w:tr>
      <w:tr w:rsidR="00525537" w:rsidRPr="00DA27C9" w14:paraId="553A254F" w14:textId="77777777" w:rsidTr="00525537">
        <w:trPr>
          <w:cantSplit/>
        </w:trPr>
        <w:tc>
          <w:tcPr>
            <w:tcW w:w="238" w:type="dxa"/>
          </w:tcPr>
          <w:p w14:paraId="38044D64" w14:textId="77777777" w:rsidR="00525537" w:rsidRPr="00DA27C9" w:rsidRDefault="00525537" w:rsidP="00524E45">
            <w:pPr>
              <w:spacing w:before="60" w:after="60"/>
              <w:rPr>
                <w:i/>
                <w:color w:val="000000"/>
              </w:rPr>
            </w:pPr>
            <w:r w:rsidRPr="00DA27C9">
              <w:rPr>
                <w:i/>
                <w:color w:val="000000"/>
              </w:rPr>
              <w:t>Step 5</w:t>
            </w:r>
          </w:p>
        </w:tc>
        <w:tc>
          <w:tcPr>
            <w:tcW w:w="830" w:type="dxa"/>
          </w:tcPr>
          <w:p w14:paraId="1819CDF9" w14:textId="77777777" w:rsidR="00525537" w:rsidRPr="00DA27C9" w:rsidRDefault="00525537" w:rsidP="00524E45">
            <w:pPr>
              <w:ind w:left="0"/>
              <w:rPr>
                <w:i/>
                <w:color w:val="000000"/>
              </w:rPr>
            </w:pPr>
            <w:r w:rsidRPr="00DA27C9">
              <w:rPr>
                <w:i/>
                <w:color w:val="000000"/>
              </w:rPr>
              <w:t>Step 5</w:t>
            </w:r>
          </w:p>
        </w:tc>
        <w:tc>
          <w:tcPr>
            <w:tcW w:w="6456" w:type="dxa"/>
          </w:tcPr>
          <w:p w14:paraId="30FF785D" w14:textId="77777777" w:rsidR="00524E45" w:rsidRPr="00DA27C9" w:rsidRDefault="00524E45" w:rsidP="00524E45">
            <w:pPr>
              <w:pStyle w:val="TableText1"/>
              <w:rPr>
                <w:color w:val="000000"/>
              </w:rPr>
            </w:pPr>
            <w:r w:rsidRPr="00DA27C9">
              <w:rPr>
                <w:color w:val="000000"/>
              </w:rPr>
              <w:t xml:space="preserve">Calculate the emissions of carbon dioxide released from the operation of the activity during the year measured in </w:t>
            </w:r>
            <w:r w:rsidRPr="00DA27C9">
              <w:rPr>
                <w:color w:val="000000"/>
                <w:szCs w:val="22"/>
              </w:rPr>
              <w:t>CO</w:t>
            </w:r>
            <w:r w:rsidRPr="00DA27C9">
              <w:rPr>
                <w:color w:val="000000"/>
                <w:szCs w:val="22"/>
                <w:vertAlign w:val="subscript"/>
              </w:rPr>
              <w:t>2</w:t>
            </w:r>
            <w:r w:rsidRPr="00DA27C9">
              <w:rPr>
                <w:color w:val="000000"/>
                <w:szCs w:val="22"/>
              </w:rPr>
              <w:noBreakHyphen/>
              <w:t>e</w:t>
            </w:r>
            <w:r w:rsidRPr="00DA27C9">
              <w:rPr>
                <w:color w:val="000000"/>
              </w:rPr>
              <w:t xml:space="preserve"> tonnes as follows:</w:t>
            </w:r>
          </w:p>
          <w:p w14:paraId="53B95662" w14:textId="77777777" w:rsidR="00524E45" w:rsidRPr="00DA27C9" w:rsidRDefault="00524E45" w:rsidP="00524E45">
            <w:pPr>
              <w:pStyle w:val="TableP1a"/>
              <w:rPr>
                <w:color w:val="000000"/>
              </w:rPr>
            </w:pPr>
            <w:r w:rsidRPr="00DA27C9">
              <w:rPr>
                <w:color w:val="000000"/>
              </w:rPr>
              <w:tab/>
              <w:t>(a)</w:t>
            </w:r>
            <w:r w:rsidRPr="00DA27C9">
              <w:rPr>
                <w:color w:val="000000"/>
              </w:rPr>
              <w:tab/>
              <w:t>add the amounts worked out under steps 2, 3 and 4 to work out a new amount (</w:t>
            </w:r>
            <w:r w:rsidRPr="00DA27C9">
              <w:rPr>
                <w:b/>
                <w:i/>
                <w:color w:val="000000"/>
              </w:rPr>
              <w:t>amount A</w:t>
            </w:r>
            <w:r w:rsidRPr="00DA27C9">
              <w:rPr>
                <w:color w:val="000000"/>
              </w:rPr>
              <w:t>);</w:t>
            </w:r>
          </w:p>
          <w:p w14:paraId="0833DC33" w14:textId="77777777" w:rsidR="00524E45" w:rsidRPr="00DA27C9" w:rsidRDefault="00524E45" w:rsidP="00524E45">
            <w:pPr>
              <w:pStyle w:val="TableP1a"/>
              <w:rPr>
                <w:color w:val="000000"/>
              </w:rPr>
            </w:pPr>
            <w:r w:rsidRPr="00DA27C9">
              <w:rPr>
                <w:color w:val="000000"/>
              </w:rPr>
              <w:tab/>
              <w:t>(b)</w:t>
            </w:r>
            <w:r w:rsidRPr="00DA27C9">
              <w:rPr>
                <w:color w:val="000000"/>
              </w:rPr>
              <w:tab/>
              <w:t>subtract amount A from the amount worked out under step 1 to work out a new amount (</w:t>
            </w:r>
            <w:r w:rsidRPr="00DA27C9">
              <w:rPr>
                <w:b/>
                <w:i/>
                <w:color w:val="000000"/>
              </w:rPr>
              <w:t>amount B</w:t>
            </w:r>
            <w:r w:rsidRPr="00DA27C9">
              <w:rPr>
                <w:color w:val="000000"/>
              </w:rPr>
              <w:t>);</w:t>
            </w:r>
          </w:p>
          <w:p w14:paraId="489347E6" w14:textId="77777777" w:rsidR="00525537" w:rsidRPr="00524E45" w:rsidRDefault="00524E45" w:rsidP="00524E45">
            <w:pPr>
              <w:ind w:left="0"/>
              <w:rPr>
                <w:i/>
                <w:color w:val="000000"/>
                <w:sz w:val="22"/>
                <w:szCs w:val="22"/>
              </w:rPr>
            </w:pPr>
            <w:r w:rsidRPr="00BC56AA">
              <w:rPr>
                <w:color w:val="000000"/>
                <w:sz w:val="22"/>
                <w:szCs w:val="24"/>
                <w:lang w:eastAsia="en-AU"/>
              </w:rPr>
              <w:t>(c)</w:t>
            </w:r>
            <w:r w:rsidRPr="00BC56AA">
              <w:rPr>
                <w:color w:val="000000"/>
                <w:sz w:val="22"/>
                <w:szCs w:val="24"/>
                <w:lang w:eastAsia="en-AU"/>
              </w:rPr>
              <w:tab/>
            </w:r>
            <w:r>
              <w:rPr>
                <w:color w:val="000000"/>
                <w:sz w:val="22"/>
                <w:szCs w:val="24"/>
                <w:lang w:eastAsia="en-AU"/>
              </w:rPr>
              <w:t xml:space="preserve">   </w:t>
            </w:r>
            <w:r w:rsidRPr="00BC56AA">
              <w:rPr>
                <w:color w:val="000000"/>
                <w:sz w:val="22"/>
                <w:szCs w:val="24"/>
                <w:lang w:eastAsia="en-AU"/>
              </w:rPr>
              <w:t xml:space="preserve">multiply amount B by 3.664 to work out the amount of </w:t>
            </w:r>
            <w:r>
              <w:rPr>
                <w:color w:val="000000"/>
                <w:sz w:val="22"/>
                <w:szCs w:val="24"/>
                <w:lang w:eastAsia="en-AU"/>
              </w:rPr>
              <w:t xml:space="preserve">          </w:t>
            </w:r>
            <w:r w:rsidRPr="00BC56AA">
              <w:rPr>
                <w:color w:val="000000"/>
                <w:sz w:val="22"/>
                <w:szCs w:val="24"/>
                <w:lang w:eastAsia="en-AU"/>
              </w:rPr>
              <w:t>emissions released from the operation of the activity during a year</w:t>
            </w:r>
            <w:r w:rsidRPr="00BC56AA">
              <w:rPr>
                <w:color w:val="000000"/>
                <w:sz w:val="22"/>
                <w:szCs w:val="22"/>
              </w:rPr>
              <w:t>.</w:t>
            </w:r>
          </w:p>
        </w:tc>
      </w:tr>
    </w:tbl>
    <w:p w14:paraId="32B630F9" w14:textId="77777777" w:rsidR="001363EF" w:rsidRDefault="001363EF">
      <w:pPr>
        <w:pStyle w:val="EquationNote"/>
      </w:pPr>
    </w:p>
    <w:p w14:paraId="1281A22B" w14:textId="77777777" w:rsidR="001363EF" w:rsidRDefault="00010E2E">
      <w:pPr>
        <w:pStyle w:val="Heading2"/>
        <w:tabs>
          <w:tab w:val="left" w:pos="0"/>
          <w:tab w:val="left" w:pos="851"/>
        </w:tabs>
        <w:spacing w:before="120" w:after="0" w:line="312" w:lineRule="auto"/>
        <w:ind w:left="578" w:hanging="578"/>
        <w:rPr>
          <w:rFonts w:ascii="Arial" w:hAnsi="Arial"/>
        </w:rPr>
      </w:pPr>
      <w:bookmarkStart w:id="92" w:name="_Toc205806006"/>
      <w:bookmarkStart w:id="93" w:name="_Toc205806380"/>
      <w:r>
        <w:rPr>
          <w:rFonts w:ascii="Arial" w:hAnsi="Arial"/>
        </w:rPr>
        <w:t>Ammonia production</w:t>
      </w:r>
      <w:bookmarkEnd w:id="92"/>
      <w:bookmarkEnd w:id="93"/>
    </w:p>
    <w:p w14:paraId="1236F9B5" w14:textId="77777777" w:rsidR="00010E2E" w:rsidRDefault="00CA4FB8">
      <w:pPr>
        <w:pStyle w:val="Equation"/>
        <w:jc w:val="center"/>
        <w:rPr>
          <w:rFonts w:ascii="Times New Roman" w:hAnsi="Times New Roman" w:cs="Times New Roman"/>
          <w:sz w:val="28"/>
          <w:szCs w:val="28"/>
        </w:rPr>
      </w:pPr>
      <w:r>
        <w:rPr>
          <w:position w:val="-24"/>
        </w:rPr>
        <w:pict w14:anchorId="42EF052A">
          <v:shape id="_x0000_i1053" type="#_x0000_t75" style="width:156.75pt;height:30.75pt">
            <v:imagedata r:id="rId49" o:title=""/>
          </v:shape>
        </w:pict>
      </w:r>
    </w:p>
    <w:p w14:paraId="62163D10" w14:textId="77777777" w:rsidR="00010E2E" w:rsidRPr="00011928" w:rsidRDefault="00010E2E">
      <w:pPr>
        <w:pStyle w:val="EquationNote"/>
        <w:ind w:firstLine="0"/>
        <w:rPr>
          <w:rFonts w:ascii="Times New Roman" w:hAnsi="Times New Roman" w:cs="Times New Roman"/>
          <w:sz w:val="22"/>
          <w:szCs w:val="22"/>
        </w:rPr>
      </w:pPr>
      <w:r w:rsidRPr="00011928">
        <w:rPr>
          <w:rFonts w:ascii="Times New Roman" w:hAnsi="Times New Roman" w:cs="Times New Roman"/>
          <w:sz w:val="22"/>
          <w:szCs w:val="22"/>
        </w:rPr>
        <w:t>where:</w:t>
      </w:r>
    </w:p>
    <w:p w14:paraId="0A318461" w14:textId="77777777" w:rsidR="00524E45" w:rsidRPr="00011928" w:rsidRDefault="00524E45">
      <w:pPr>
        <w:pStyle w:val="EquationNote"/>
        <w:ind w:firstLine="0"/>
        <w:rPr>
          <w:rFonts w:ascii="Times New Roman" w:hAnsi="Times New Roman" w:cs="Times New Roman"/>
          <w:sz w:val="22"/>
          <w:szCs w:val="22"/>
        </w:rPr>
      </w:pPr>
    </w:p>
    <w:p w14:paraId="28B0307E"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E</w:t>
      </w:r>
      <w:r w:rsidRPr="00011928">
        <w:rPr>
          <w:rStyle w:val="Subscript"/>
          <w:rFonts w:ascii="Times New Roman" w:hAnsi="Times New Roman" w:cs="Times New Roman"/>
          <w:b/>
          <w:i/>
          <w:sz w:val="22"/>
          <w:szCs w:val="22"/>
        </w:rPr>
        <w:t>ij</w:t>
      </w:r>
      <w:r w:rsidRPr="00011928">
        <w:rPr>
          <w:rFonts w:ascii="Times New Roman" w:hAnsi="Times New Roman" w:cs="Times New Roman"/>
          <w:sz w:val="22"/>
          <w:szCs w:val="22"/>
        </w:rPr>
        <w:t xml:space="preserve"> is emissions of CO</w:t>
      </w:r>
      <w:r w:rsidRPr="00011928">
        <w:rPr>
          <w:rStyle w:val="Subscript"/>
          <w:rFonts w:ascii="Times New Roman" w:hAnsi="Times New Roman" w:cs="Times New Roman"/>
          <w:sz w:val="22"/>
          <w:szCs w:val="22"/>
        </w:rPr>
        <w:t xml:space="preserve">2 </w:t>
      </w:r>
      <w:r w:rsidRPr="00011928">
        <w:rPr>
          <w:rFonts w:ascii="Times New Roman" w:hAnsi="Times New Roman" w:cs="Times New Roman"/>
          <w:sz w:val="22"/>
          <w:szCs w:val="22"/>
        </w:rPr>
        <w:t>(tonnes of CO</w:t>
      </w:r>
      <w:r w:rsidRPr="00011928">
        <w:rPr>
          <w:rFonts w:ascii="Times New Roman" w:hAnsi="Times New Roman" w:cs="Times New Roman"/>
          <w:sz w:val="22"/>
          <w:szCs w:val="22"/>
          <w:vertAlign w:val="subscript"/>
        </w:rPr>
        <w:t>2</w:t>
      </w:r>
      <w:r w:rsidRPr="00011928">
        <w:rPr>
          <w:rFonts w:ascii="Times New Roman" w:hAnsi="Times New Roman" w:cs="Times New Roman"/>
          <w:sz w:val="22"/>
          <w:szCs w:val="22"/>
        </w:rPr>
        <w:t>-e)</w:t>
      </w:r>
    </w:p>
    <w:p w14:paraId="0A410E8B"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Q</w:t>
      </w:r>
      <w:r w:rsidRPr="00011928">
        <w:rPr>
          <w:rFonts w:ascii="Times New Roman" w:hAnsi="Times New Roman" w:cs="Times New Roman"/>
          <w:b/>
          <w:i/>
          <w:sz w:val="22"/>
          <w:szCs w:val="22"/>
          <w:vertAlign w:val="subscript"/>
        </w:rPr>
        <w:t>i</w:t>
      </w:r>
      <w:r w:rsidRPr="00011928">
        <w:rPr>
          <w:rFonts w:ascii="Times New Roman" w:hAnsi="Times New Roman" w:cs="Times New Roman"/>
          <w:sz w:val="22"/>
          <w:szCs w:val="22"/>
        </w:rPr>
        <w:t xml:space="preserve"> is the quantity of each fuel consumed </w:t>
      </w:r>
      <w:r w:rsidR="00E102FE" w:rsidRPr="00011928">
        <w:rPr>
          <w:rFonts w:ascii="Times New Roman" w:hAnsi="Times New Roman" w:cs="Times New Roman"/>
          <w:sz w:val="22"/>
          <w:szCs w:val="22"/>
        </w:rPr>
        <w:t>as a feedstock</w:t>
      </w:r>
      <w:r w:rsidRPr="00011928">
        <w:rPr>
          <w:rFonts w:ascii="Times New Roman" w:hAnsi="Times New Roman" w:cs="Times New Roman"/>
          <w:sz w:val="22"/>
          <w:szCs w:val="22"/>
        </w:rPr>
        <w:t>(cubic metres)</w:t>
      </w:r>
    </w:p>
    <w:p w14:paraId="7CD7A9E2"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EC</w:t>
      </w:r>
      <w:r w:rsidRPr="00011928">
        <w:rPr>
          <w:rFonts w:ascii="Times New Roman" w:hAnsi="Times New Roman" w:cs="Times New Roman"/>
          <w:b/>
          <w:i/>
          <w:sz w:val="22"/>
          <w:szCs w:val="22"/>
          <w:vertAlign w:val="subscript"/>
        </w:rPr>
        <w:t>i</w:t>
      </w:r>
      <w:r w:rsidRPr="00011928">
        <w:rPr>
          <w:rFonts w:ascii="Times New Roman" w:hAnsi="Times New Roman" w:cs="Times New Roman"/>
          <w:b/>
          <w:i/>
          <w:sz w:val="22"/>
          <w:szCs w:val="22"/>
        </w:rPr>
        <w:t xml:space="preserve"> </w:t>
      </w:r>
      <w:r w:rsidRPr="00011928">
        <w:rPr>
          <w:rFonts w:ascii="Times New Roman" w:hAnsi="Times New Roman" w:cs="Times New Roman"/>
          <w:sz w:val="22"/>
          <w:szCs w:val="22"/>
        </w:rPr>
        <w:t xml:space="preserve">is the energy content of the fuel type </w:t>
      </w:r>
      <w:r w:rsidRPr="00011928">
        <w:rPr>
          <w:rFonts w:ascii="Times New Roman" w:hAnsi="Times New Roman" w:cs="Times New Roman"/>
          <w:b/>
          <w:i/>
          <w:sz w:val="22"/>
          <w:szCs w:val="22"/>
        </w:rPr>
        <w:t>(i)</w:t>
      </w:r>
      <w:r w:rsidRPr="00011928">
        <w:rPr>
          <w:rFonts w:ascii="Times New Roman" w:hAnsi="Times New Roman" w:cs="Times New Roman"/>
          <w:sz w:val="22"/>
          <w:szCs w:val="22"/>
        </w:rPr>
        <w:t xml:space="preserve"> </w:t>
      </w:r>
      <w:r w:rsidR="00E102FE" w:rsidRPr="00011928">
        <w:rPr>
          <w:rFonts w:ascii="Times New Roman" w:hAnsi="Times New Roman" w:cs="Times New Roman"/>
          <w:sz w:val="22"/>
          <w:szCs w:val="22"/>
        </w:rPr>
        <w:t xml:space="preserve">used as a feedstock </w:t>
      </w:r>
      <w:r w:rsidRPr="00011928">
        <w:rPr>
          <w:rFonts w:ascii="Times New Roman" w:hAnsi="Times New Roman" w:cs="Times New Roman"/>
          <w:sz w:val="22"/>
          <w:szCs w:val="22"/>
        </w:rPr>
        <w:t>(gigajoules per cubic metre)</w:t>
      </w:r>
    </w:p>
    <w:p w14:paraId="789D3690" w14:textId="77777777" w:rsidR="00010E2E" w:rsidRPr="00011928" w:rsidRDefault="00010E2E">
      <w:pPr>
        <w:pStyle w:val="EquationNote"/>
        <w:ind w:left="1134"/>
        <w:rPr>
          <w:rFonts w:ascii="Times New Roman" w:hAnsi="Times New Roman" w:cs="Times New Roman"/>
          <w:sz w:val="22"/>
          <w:szCs w:val="22"/>
        </w:rPr>
      </w:pPr>
      <w:r w:rsidRPr="00011928">
        <w:rPr>
          <w:rFonts w:ascii="Times New Roman" w:hAnsi="Times New Roman" w:cs="Times New Roman"/>
          <w:sz w:val="22"/>
          <w:szCs w:val="22"/>
        </w:rPr>
        <w:tab/>
        <w:t xml:space="preserve">If </w:t>
      </w:r>
      <w:r w:rsidRPr="00011928">
        <w:rPr>
          <w:rFonts w:ascii="Times New Roman" w:hAnsi="Times New Roman" w:cs="Times New Roman"/>
          <w:b/>
          <w:i/>
          <w:sz w:val="22"/>
          <w:szCs w:val="22"/>
        </w:rPr>
        <w:t>Q</w:t>
      </w:r>
      <w:r w:rsidRPr="00011928">
        <w:rPr>
          <w:rStyle w:val="Subscript"/>
          <w:rFonts w:ascii="Times New Roman" w:hAnsi="Times New Roman" w:cs="Times New Roman"/>
          <w:b/>
          <w:i/>
          <w:sz w:val="22"/>
          <w:szCs w:val="22"/>
        </w:rPr>
        <w:t>i</w:t>
      </w:r>
      <w:r w:rsidRPr="00011928">
        <w:rPr>
          <w:rFonts w:ascii="Times New Roman" w:hAnsi="Times New Roman" w:cs="Times New Roman"/>
          <w:sz w:val="22"/>
          <w:szCs w:val="22"/>
        </w:rPr>
        <w:t xml:space="preserve"> is measured in gigajoules, then </w:t>
      </w:r>
      <w:r w:rsidRPr="00011928">
        <w:rPr>
          <w:rFonts w:ascii="Times New Roman" w:hAnsi="Times New Roman" w:cs="Times New Roman"/>
          <w:b/>
          <w:i/>
          <w:sz w:val="22"/>
          <w:szCs w:val="22"/>
        </w:rPr>
        <w:t>EC</w:t>
      </w:r>
      <w:r w:rsidRPr="00011928">
        <w:rPr>
          <w:rStyle w:val="Subscript"/>
          <w:rFonts w:ascii="Times New Roman" w:hAnsi="Times New Roman" w:cs="Times New Roman"/>
          <w:b/>
          <w:i/>
          <w:sz w:val="22"/>
          <w:szCs w:val="22"/>
        </w:rPr>
        <w:t>i</w:t>
      </w:r>
      <w:r w:rsidRPr="00011928">
        <w:rPr>
          <w:rFonts w:ascii="Times New Roman" w:hAnsi="Times New Roman" w:cs="Times New Roman"/>
          <w:sz w:val="22"/>
          <w:szCs w:val="22"/>
        </w:rPr>
        <w:t xml:space="preserve"> is 1. </w:t>
      </w:r>
    </w:p>
    <w:p w14:paraId="42432F11"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EF</w:t>
      </w:r>
      <w:r w:rsidRPr="00011928">
        <w:rPr>
          <w:rFonts w:ascii="Times New Roman" w:hAnsi="Times New Roman" w:cs="Times New Roman"/>
          <w:b/>
          <w:i/>
          <w:sz w:val="22"/>
          <w:szCs w:val="22"/>
          <w:vertAlign w:val="subscript"/>
        </w:rPr>
        <w:t>ij</w:t>
      </w:r>
      <w:r w:rsidRPr="00011928">
        <w:rPr>
          <w:rFonts w:ascii="Times New Roman" w:hAnsi="Times New Roman" w:cs="Times New Roman"/>
          <w:b/>
          <w:i/>
          <w:sz w:val="22"/>
          <w:szCs w:val="22"/>
        </w:rPr>
        <w:t xml:space="preserve"> </w:t>
      </w:r>
      <w:r w:rsidRPr="00011928">
        <w:rPr>
          <w:rFonts w:ascii="Times New Roman" w:hAnsi="Times New Roman" w:cs="Times New Roman"/>
          <w:sz w:val="22"/>
          <w:szCs w:val="22"/>
        </w:rPr>
        <w:t xml:space="preserve">is the emission factor for each fuel type </w:t>
      </w:r>
      <w:r w:rsidRPr="00011928">
        <w:rPr>
          <w:rFonts w:ascii="Times New Roman" w:hAnsi="Times New Roman" w:cs="Times New Roman"/>
          <w:b/>
          <w:i/>
          <w:sz w:val="22"/>
          <w:szCs w:val="22"/>
        </w:rPr>
        <w:t>(i)</w:t>
      </w:r>
      <w:r w:rsidRPr="00011928">
        <w:rPr>
          <w:rFonts w:ascii="Times New Roman" w:hAnsi="Times New Roman" w:cs="Times New Roman"/>
          <w:sz w:val="22"/>
          <w:szCs w:val="22"/>
        </w:rPr>
        <w:t xml:space="preserve"> </w:t>
      </w:r>
      <w:r w:rsidR="00E102FE" w:rsidRPr="00011928">
        <w:rPr>
          <w:rFonts w:ascii="Times New Roman" w:hAnsi="Times New Roman" w:cs="Times New Roman"/>
          <w:sz w:val="22"/>
          <w:szCs w:val="22"/>
        </w:rPr>
        <w:t xml:space="preserve">used as a feedstock </w:t>
      </w:r>
      <w:r w:rsidRPr="00011928">
        <w:rPr>
          <w:rFonts w:ascii="Times New Roman" w:hAnsi="Times New Roman" w:cs="Times New Roman"/>
          <w:sz w:val="22"/>
          <w:szCs w:val="22"/>
        </w:rPr>
        <w:t>(kilograms CO</w:t>
      </w:r>
      <w:r w:rsidRPr="00011928">
        <w:rPr>
          <w:rFonts w:ascii="Times New Roman" w:hAnsi="Times New Roman" w:cs="Times New Roman"/>
          <w:sz w:val="22"/>
          <w:szCs w:val="22"/>
          <w:vertAlign w:val="subscript"/>
        </w:rPr>
        <w:t>2</w:t>
      </w:r>
      <w:r w:rsidRPr="00011928">
        <w:rPr>
          <w:rFonts w:ascii="Times New Roman" w:hAnsi="Times New Roman" w:cs="Times New Roman"/>
          <w:sz w:val="22"/>
          <w:szCs w:val="22"/>
        </w:rPr>
        <w:t>-e per gigajoule)</w:t>
      </w:r>
    </w:p>
    <w:p w14:paraId="267189A7"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R</w:t>
      </w:r>
      <w:r w:rsidRPr="00011928">
        <w:rPr>
          <w:rFonts w:ascii="Times New Roman" w:hAnsi="Times New Roman" w:cs="Times New Roman"/>
          <w:sz w:val="22"/>
          <w:szCs w:val="22"/>
        </w:rPr>
        <w:t xml:space="preserve"> is the CO</w:t>
      </w:r>
      <w:r w:rsidRPr="00011928">
        <w:rPr>
          <w:rStyle w:val="Subscript"/>
          <w:rFonts w:ascii="Times New Roman" w:hAnsi="Times New Roman" w:cs="Times New Roman"/>
          <w:sz w:val="22"/>
          <w:szCs w:val="22"/>
        </w:rPr>
        <w:t>2</w:t>
      </w:r>
      <w:r w:rsidRPr="00011928">
        <w:rPr>
          <w:rFonts w:ascii="Times New Roman" w:hAnsi="Times New Roman" w:cs="Times New Roman"/>
          <w:sz w:val="22"/>
          <w:szCs w:val="22"/>
        </w:rPr>
        <w:t xml:space="preserve"> recovered for downstream use (tonnes of CO</w:t>
      </w:r>
      <w:r w:rsidRPr="00011928">
        <w:rPr>
          <w:rFonts w:ascii="Times New Roman" w:hAnsi="Times New Roman" w:cs="Times New Roman"/>
          <w:sz w:val="22"/>
          <w:szCs w:val="22"/>
          <w:vertAlign w:val="subscript"/>
        </w:rPr>
        <w:t>2</w:t>
      </w:r>
      <w:r w:rsidRPr="00011928">
        <w:rPr>
          <w:rFonts w:ascii="Times New Roman" w:hAnsi="Times New Roman" w:cs="Times New Roman"/>
          <w:sz w:val="22"/>
          <w:szCs w:val="22"/>
        </w:rPr>
        <w:t>-e)</w:t>
      </w:r>
    </w:p>
    <w:p w14:paraId="6CBA836A" w14:textId="77777777" w:rsidR="00010E2E" w:rsidRDefault="00010E2E">
      <w:pPr>
        <w:pStyle w:val="EquationNote"/>
        <w:ind w:left="720"/>
      </w:pPr>
      <w:r>
        <w:tab/>
      </w:r>
    </w:p>
    <w:p w14:paraId="4A5058BE" w14:textId="77777777" w:rsidR="00010E2E" w:rsidRDefault="00010E2E">
      <w:pPr>
        <w:pStyle w:val="BodyText"/>
        <w:spacing w:before="120" w:after="0" w:line="312" w:lineRule="auto"/>
        <w:ind w:left="709"/>
        <w:rPr>
          <w:rFonts w:ascii="Arial" w:hAnsi="Arial"/>
        </w:rPr>
      </w:pPr>
      <w:r>
        <w:rPr>
          <w:rFonts w:ascii="Arial" w:hAnsi="Arial"/>
        </w:rPr>
        <w:t xml:space="preserve">Energy content and gas emission factors for each fuel type should be taken from the fuel combustion emission factors listed in Tables 1, 2 and 3. </w:t>
      </w:r>
    </w:p>
    <w:p w14:paraId="076945C5" w14:textId="77777777" w:rsidR="00010E2E" w:rsidRDefault="00010E2E">
      <w:pPr>
        <w:pStyle w:val="BodyText"/>
        <w:spacing w:before="120" w:after="0" w:line="312" w:lineRule="auto"/>
        <w:ind w:left="709"/>
        <w:rPr>
          <w:rFonts w:ascii="Arial" w:hAnsi="Arial"/>
        </w:rPr>
      </w:pPr>
    </w:p>
    <w:p w14:paraId="6CA65AC0" w14:textId="77777777" w:rsidR="001363EF" w:rsidRDefault="00010E2E">
      <w:pPr>
        <w:pStyle w:val="Heading2"/>
        <w:tabs>
          <w:tab w:val="left" w:pos="0"/>
          <w:tab w:val="left" w:pos="851"/>
        </w:tabs>
        <w:spacing w:before="120" w:after="0" w:line="312" w:lineRule="auto"/>
        <w:ind w:left="578" w:hanging="578"/>
        <w:rPr>
          <w:rFonts w:ascii="Arial" w:hAnsi="Arial"/>
        </w:rPr>
      </w:pPr>
      <w:bookmarkStart w:id="94" w:name="_Toc205806007"/>
      <w:bookmarkStart w:id="95" w:name="_Toc205806381"/>
      <w:r>
        <w:rPr>
          <w:rFonts w:ascii="Arial" w:hAnsi="Arial"/>
        </w:rPr>
        <w:t>Nitric acid production</w:t>
      </w:r>
      <w:bookmarkEnd w:id="94"/>
      <w:bookmarkEnd w:id="95"/>
    </w:p>
    <w:p w14:paraId="44F45CD4" w14:textId="77777777" w:rsidR="00010E2E" w:rsidRDefault="00CA4FB8">
      <w:pPr>
        <w:pStyle w:val="Equation"/>
        <w:jc w:val="center"/>
        <w:rPr>
          <w:rFonts w:ascii="Times New Roman" w:hAnsi="Times New Roman" w:cs="Times New Roman"/>
          <w:sz w:val="28"/>
          <w:szCs w:val="28"/>
        </w:rPr>
      </w:pPr>
      <w:r>
        <w:rPr>
          <w:position w:val="-8"/>
        </w:rPr>
        <w:pict w14:anchorId="66A5F8F1">
          <v:shape id="_x0000_i1054" type="#_x0000_t75" style="width:96pt;height:15.75pt">
            <v:imagedata r:id="rId50" o:title=""/>
          </v:shape>
        </w:pict>
      </w:r>
    </w:p>
    <w:p w14:paraId="6D9A0C33" w14:textId="77777777" w:rsidR="00010E2E" w:rsidRPr="00011928" w:rsidRDefault="00010E2E">
      <w:pPr>
        <w:pStyle w:val="EquationNote"/>
        <w:ind w:firstLine="0"/>
        <w:rPr>
          <w:rFonts w:ascii="Times New Roman" w:hAnsi="Times New Roman" w:cs="Times New Roman"/>
          <w:sz w:val="22"/>
          <w:szCs w:val="22"/>
        </w:rPr>
      </w:pPr>
      <w:r w:rsidRPr="00011928">
        <w:rPr>
          <w:rFonts w:ascii="Times New Roman" w:hAnsi="Times New Roman" w:cs="Times New Roman"/>
          <w:sz w:val="22"/>
          <w:szCs w:val="22"/>
        </w:rPr>
        <w:t>where:</w:t>
      </w:r>
    </w:p>
    <w:p w14:paraId="49D302E7"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E</w:t>
      </w:r>
      <w:r w:rsidRPr="00011928">
        <w:rPr>
          <w:rFonts w:ascii="Times New Roman" w:hAnsi="Times New Roman" w:cs="Times New Roman"/>
          <w:b/>
          <w:i/>
          <w:sz w:val="22"/>
          <w:szCs w:val="22"/>
          <w:vertAlign w:val="subscript"/>
        </w:rPr>
        <w:t>ijk</w:t>
      </w:r>
      <w:r w:rsidRPr="00011928">
        <w:rPr>
          <w:rFonts w:ascii="Times New Roman" w:hAnsi="Times New Roman" w:cs="Times New Roman"/>
          <w:sz w:val="22"/>
          <w:szCs w:val="22"/>
        </w:rPr>
        <w:t xml:space="preserve"> is the emissions of nitrous oxide from the production of nitric acid at the plant type k (tonnes)</w:t>
      </w:r>
    </w:p>
    <w:p w14:paraId="3F2333DB"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A</w:t>
      </w:r>
      <w:r w:rsidRPr="00011928">
        <w:rPr>
          <w:rFonts w:ascii="Times New Roman" w:hAnsi="Times New Roman" w:cs="Times New Roman"/>
          <w:b/>
          <w:i/>
          <w:sz w:val="22"/>
          <w:szCs w:val="22"/>
          <w:vertAlign w:val="subscript"/>
        </w:rPr>
        <w:t>ik</w:t>
      </w:r>
      <w:r w:rsidRPr="00011928">
        <w:rPr>
          <w:rFonts w:ascii="Times New Roman" w:hAnsi="Times New Roman" w:cs="Times New Roman"/>
          <w:sz w:val="22"/>
          <w:szCs w:val="22"/>
        </w:rPr>
        <w:t xml:space="preserve"> is the quantity of nitric acid produced from plant type k (tonnes)</w:t>
      </w:r>
    </w:p>
    <w:p w14:paraId="44892D87" w14:textId="77777777" w:rsidR="00010E2E" w:rsidRPr="00011928" w:rsidRDefault="00010E2E">
      <w:pPr>
        <w:pStyle w:val="EquationNote"/>
        <w:ind w:left="720"/>
        <w:rPr>
          <w:rFonts w:ascii="Times New Roman" w:hAnsi="Times New Roman" w:cs="Times New Roman"/>
          <w:sz w:val="22"/>
          <w:szCs w:val="22"/>
        </w:rPr>
      </w:pPr>
      <w:r w:rsidRPr="00011928">
        <w:rPr>
          <w:rFonts w:ascii="Times New Roman" w:hAnsi="Times New Roman" w:cs="Times New Roman"/>
          <w:sz w:val="22"/>
          <w:szCs w:val="22"/>
        </w:rPr>
        <w:tab/>
      </w:r>
      <w:r w:rsidRPr="00011928">
        <w:rPr>
          <w:rFonts w:ascii="Times New Roman" w:hAnsi="Times New Roman" w:cs="Times New Roman"/>
          <w:b/>
          <w:i/>
          <w:sz w:val="22"/>
          <w:szCs w:val="22"/>
        </w:rPr>
        <w:t>EF</w:t>
      </w:r>
      <w:r w:rsidRPr="00011928">
        <w:rPr>
          <w:rFonts w:ascii="Times New Roman" w:hAnsi="Times New Roman" w:cs="Times New Roman"/>
          <w:b/>
          <w:i/>
          <w:sz w:val="22"/>
          <w:szCs w:val="22"/>
          <w:vertAlign w:val="subscript"/>
        </w:rPr>
        <w:t>ijk</w:t>
      </w:r>
      <w:r w:rsidRPr="00011928">
        <w:rPr>
          <w:rFonts w:ascii="Times New Roman" w:hAnsi="Times New Roman" w:cs="Times New Roman"/>
          <w:sz w:val="22"/>
          <w:szCs w:val="22"/>
        </w:rPr>
        <w:t xml:space="preserve"> is the emission factor of nitrous oxide from plant type k (tonnes). See Table 2</w:t>
      </w:r>
      <w:r w:rsidR="00D56BFE">
        <w:rPr>
          <w:rFonts w:ascii="Times New Roman" w:hAnsi="Times New Roman" w:cs="Times New Roman"/>
          <w:sz w:val="22"/>
          <w:szCs w:val="22"/>
        </w:rPr>
        <w:t>3</w:t>
      </w:r>
      <w:r w:rsidRPr="00011928">
        <w:rPr>
          <w:rFonts w:ascii="Times New Roman" w:hAnsi="Times New Roman" w:cs="Times New Roman"/>
          <w:sz w:val="22"/>
          <w:szCs w:val="22"/>
        </w:rPr>
        <w:t xml:space="preserve">. </w:t>
      </w:r>
    </w:p>
    <w:p w14:paraId="57EC8A69" w14:textId="77777777" w:rsidR="0007283C" w:rsidRPr="0007283C" w:rsidRDefault="0007283C" w:rsidP="00656706">
      <w:pPr>
        <w:ind w:left="0"/>
        <w:rPr>
          <w:lang w:eastAsia="en-AU"/>
        </w:rPr>
      </w:pPr>
    </w:p>
    <w:p w14:paraId="2886CEFD" w14:textId="77777777" w:rsidR="00D76245" w:rsidRDefault="00962F82" w:rsidP="00C23E3B">
      <w:pPr>
        <w:pStyle w:val="Caption"/>
      </w:pPr>
      <w:bookmarkStart w:id="96" w:name="_Toc391646708"/>
      <w:bookmarkStart w:id="97" w:name="_Toc485728131"/>
      <w:r>
        <w:t xml:space="preserve">Table </w:t>
      </w:r>
      <w:r w:rsidR="00DC52E0">
        <w:fldChar w:fldCharType="begin"/>
      </w:r>
      <w:r>
        <w:instrText xml:space="preserve"> SEQ Table \* ARABIC </w:instrText>
      </w:r>
      <w:r w:rsidR="00DC52E0">
        <w:fldChar w:fldCharType="separate"/>
      </w:r>
      <w:r w:rsidR="004A1330">
        <w:rPr>
          <w:noProof/>
        </w:rPr>
        <w:t>23</w:t>
      </w:r>
      <w:r w:rsidR="00DC52E0">
        <w:fldChar w:fldCharType="end"/>
      </w:r>
      <w:r w:rsidR="00010E2E">
        <w:t>: Nitric acid production emission factors</w:t>
      </w:r>
      <w:bookmarkEnd w:id="96"/>
      <w:bookmarkEnd w:id="97"/>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9"/>
        <w:gridCol w:w="4646"/>
      </w:tblGrid>
      <w:tr w:rsidR="00010E2E" w14:paraId="49C3E1C5" w14:textId="77777777" w:rsidTr="00DD4FF2">
        <w:trPr>
          <w:cantSplit/>
        </w:trPr>
        <w:tc>
          <w:tcPr>
            <w:tcW w:w="3859" w:type="dxa"/>
            <w:vMerge w:val="restart"/>
            <w:shd w:val="pct15" w:color="auto" w:fill="auto"/>
            <w:vAlign w:val="center"/>
          </w:tcPr>
          <w:p w14:paraId="56BF8884" w14:textId="77777777" w:rsidR="00010E2E" w:rsidRDefault="00010E2E" w:rsidP="00DD4FF2">
            <w:pPr>
              <w:pStyle w:val="Table"/>
              <w:jc w:val="center"/>
              <w:rPr>
                <w:b/>
                <w:bCs/>
              </w:rPr>
            </w:pPr>
            <w:r>
              <w:rPr>
                <w:b/>
                <w:bCs/>
              </w:rPr>
              <w:t>Plant type (k)</w:t>
            </w:r>
          </w:p>
        </w:tc>
        <w:tc>
          <w:tcPr>
            <w:tcW w:w="4646" w:type="dxa"/>
            <w:shd w:val="pct15" w:color="auto" w:fill="auto"/>
            <w:vAlign w:val="center"/>
          </w:tcPr>
          <w:p w14:paraId="0CE50A2C" w14:textId="77777777" w:rsidR="00010E2E" w:rsidRDefault="00010E2E" w:rsidP="00DD4FF2">
            <w:pPr>
              <w:pStyle w:val="TableCentre"/>
              <w:ind w:left="432" w:hanging="432"/>
              <w:rPr>
                <w:b/>
                <w:bCs/>
              </w:rPr>
            </w:pPr>
            <w:r>
              <w:rPr>
                <w:b/>
                <w:bCs/>
              </w:rPr>
              <w:t>Emission factor (tonnes CO</w:t>
            </w:r>
            <w:r>
              <w:rPr>
                <w:b/>
                <w:bCs/>
                <w:vertAlign w:val="subscript"/>
              </w:rPr>
              <w:t>2</w:t>
            </w:r>
            <w:r>
              <w:rPr>
                <w:b/>
                <w:bCs/>
              </w:rPr>
              <w:t>-e per tonne of production)</w:t>
            </w:r>
          </w:p>
        </w:tc>
      </w:tr>
      <w:tr w:rsidR="00010E2E" w14:paraId="16462F5A" w14:textId="77777777" w:rsidTr="00DD4FF2">
        <w:trPr>
          <w:cantSplit/>
        </w:trPr>
        <w:tc>
          <w:tcPr>
            <w:tcW w:w="3859" w:type="dxa"/>
            <w:vMerge/>
            <w:shd w:val="pct15" w:color="auto" w:fill="auto"/>
            <w:vAlign w:val="center"/>
          </w:tcPr>
          <w:p w14:paraId="7AB92DB6" w14:textId="77777777" w:rsidR="00010E2E" w:rsidRDefault="00010E2E" w:rsidP="00DD4FF2">
            <w:pPr>
              <w:pStyle w:val="Table"/>
              <w:jc w:val="center"/>
              <w:rPr>
                <w:b/>
                <w:bCs/>
              </w:rPr>
            </w:pPr>
          </w:p>
        </w:tc>
        <w:tc>
          <w:tcPr>
            <w:tcW w:w="4646" w:type="dxa"/>
            <w:shd w:val="pct15" w:color="auto" w:fill="auto"/>
            <w:vAlign w:val="center"/>
          </w:tcPr>
          <w:p w14:paraId="2D1B9595" w14:textId="77777777" w:rsidR="00010E2E" w:rsidRDefault="00010E2E" w:rsidP="00DD4FF2">
            <w:pPr>
              <w:pStyle w:val="TableCentre"/>
              <w:rPr>
                <w:b/>
                <w:bCs/>
              </w:rPr>
            </w:pPr>
            <w:r>
              <w:rPr>
                <w:b/>
                <w:bCs/>
              </w:rPr>
              <w:t>N</w:t>
            </w:r>
            <w:r>
              <w:rPr>
                <w:rStyle w:val="Subscript"/>
                <w:b/>
                <w:bCs/>
              </w:rPr>
              <w:t>2</w:t>
            </w:r>
            <w:r>
              <w:rPr>
                <w:b/>
                <w:bCs/>
              </w:rPr>
              <w:t>O</w:t>
            </w:r>
          </w:p>
        </w:tc>
      </w:tr>
      <w:tr w:rsidR="00010E2E" w14:paraId="79DA50E0" w14:textId="77777777" w:rsidTr="00DD4FF2">
        <w:tc>
          <w:tcPr>
            <w:tcW w:w="3859" w:type="dxa"/>
            <w:vAlign w:val="center"/>
          </w:tcPr>
          <w:p w14:paraId="1D934858" w14:textId="77777777" w:rsidR="00010E2E" w:rsidRDefault="00010E2E" w:rsidP="00DD4FF2">
            <w:pPr>
              <w:pStyle w:val="Table"/>
              <w:jc w:val="center"/>
            </w:pPr>
            <w:r>
              <w:t>Atmospheric pressure plants (low pressure)</w:t>
            </w:r>
          </w:p>
        </w:tc>
        <w:tc>
          <w:tcPr>
            <w:tcW w:w="4646" w:type="dxa"/>
            <w:vAlign w:val="center"/>
          </w:tcPr>
          <w:p w14:paraId="364B17BC" w14:textId="77777777" w:rsidR="00010E2E" w:rsidRDefault="001A093D" w:rsidP="00DD4FF2">
            <w:pPr>
              <w:pStyle w:val="TableCentre"/>
            </w:pPr>
            <w:r>
              <w:t>1.49</w:t>
            </w:r>
          </w:p>
        </w:tc>
      </w:tr>
      <w:tr w:rsidR="00010E2E" w14:paraId="3B805D28" w14:textId="77777777" w:rsidTr="00DD4FF2">
        <w:tc>
          <w:tcPr>
            <w:tcW w:w="3859" w:type="dxa"/>
            <w:vAlign w:val="center"/>
          </w:tcPr>
          <w:p w14:paraId="475D8973" w14:textId="77777777" w:rsidR="00010E2E" w:rsidRDefault="00010E2E" w:rsidP="00DD4FF2">
            <w:pPr>
              <w:pStyle w:val="Table"/>
              <w:jc w:val="center"/>
            </w:pPr>
            <w:r>
              <w:t>Medium pressure combustion plant</w:t>
            </w:r>
          </w:p>
        </w:tc>
        <w:tc>
          <w:tcPr>
            <w:tcW w:w="4646" w:type="dxa"/>
            <w:vAlign w:val="center"/>
          </w:tcPr>
          <w:p w14:paraId="6A6EE627" w14:textId="77777777" w:rsidR="00010E2E" w:rsidRDefault="00010E2E" w:rsidP="00DD4FF2">
            <w:pPr>
              <w:pStyle w:val="TableCentre"/>
            </w:pPr>
            <w:r>
              <w:t>2.</w:t>
            </w:r>
            <w:r w:rsidR="001A093D">
              <w:t>09</w:t>
            </w:r>
          </w:p>
        </w:tc>
      </w:tr>
      <w:tr w:rsidR="00010E2E" w14:paraId="0E4BEA85" w14:textId="77777777" w:rsidTr="00DD4FF2">
        <w:tc>
          <w:tcPr>
            <w:tcW w:w="3859" w:type="dxa"/>
            <w:vAlign w:val="center"/>
          </w:tcPr>
          <w:p w14:paraId="46828C17" w14:textId="77777777" w:rsidR="00010E2E" w:rsidRDefault="00010E2E" w:rsidP="00DD4FF2">
            <w:pPr>
              <w:pStyle w:val="Table"/>
              <w:jc w:val="center"/>
            </w:pPr>
            <w:r>
              <w:t>High pressure plant</w:t>
            </w:r>
          </w:p>
        </w:tc>
        <w:tc>
          <w:tcPr>
            <w:tcW w:w="4646" w:type="dxa"/>
            <w:vAlign w:val="center"/>
          </w:tcPr>
          <w:p w14:paraId="19452FEA" w14:textId="77777777" w:rsidR="00010E2E" w:rsidRDefault="00010E2E" w:rsidP="00DD4FF2">
            <w:pPr>
              <w:pStyle w:val="TableCentre"/>
            </w:pPr>
            <w:r>
              <w:t>2.</w:t>
            </w:r>
            <w:r w:rsidR="001A093D">
              <w:t>68</w:t>
            </w:r>
          </w:p>
        </w:tc>
      </w:tr>
    </w:tbl>
    <w:p w14:paraId="1170A0E0" w14:textId="77777777" w:rsidR="00010E2E" w:rsidRDefault="00010E2E">
      <w:pPr>
        <w:pStyle w:val="TableNote"/>
      </w:pPr>
      <w:r>
        <w:t xml:space="preserve">Source: </w:t>
      </w:r>
      <w:r>
        <w:rPr>
          <w:szCs w:val="16"/>
        </w:rPr>
        <w:t xml:space="preserve">National Greenhouse and Energy Reporting (Measurement) Determination </w:t>
      </w:r>
      <w:r w:rsidR="00FA3080">
        <w:rPr>
          <w:szCs w:val="16"/>
        </w:rPr>
        <w:t>2008</w:t>
      </w:r>
      <w:r w:rsidR="004B2F8B">
        <w:rPr>
          <w:szCs w:val="16"/>
        </w:rPr>
        <w:t xml:space="preserve"> </w:t>
      </w:r>
      <w:r>
        <w:rPr>
          <w:szCs w:val="16"/>
        </w:rPr>
        <w:t>(Section 4.47).</w:t>
      </w:r>
      <w:r>
        <w:t xml:space="preserve">  </w:t>
      </w:r>
    </w:p>
    <w:p w14:paraId="28D85977" w14:textId="77777777" w:rsidR="00010E2E" w:rsidRDefault="00010E2E">
      <w:pPr>
        <w:pStyle w:val="TableNote"/>
      </w:pPr>
      <w:r>
        <w:tab/>
      </w:r>
    </w:p>
    <w:p w14:paraId="0EECE487" w14:textId="77777777" w:rsidR="001363EF" w:rsidRDefault="00010E2E">
      <w:pPr>
        <w:pStyle w:val="Heading2"/>
        <w:tabs>
          <w:tab w:val="left" w:pos="0"/>
          <w:tab w:val="left" w:pos="851"/>
        </w:tabs>
        <w:spacing w:before="120" w:after="0" w:line="312" w:lineRule="auto"/>
        <w:ind w:left="578" w:hanging="578"/>
        <w:rPr>
          <w:rFonts w:ascii="Arial" w:hAnsi="Arial"/>
        </w:rPr>
      </w:pPr>
      <w:r>
        <w:rPr>
          <w:rFonts w:ascii="Arial" w:hAnsi="Arial"/>
        </w:rPr>
        <w:t>Adipic acid production</w:t>
      </w:r>
    </w:p>
    <w:p w14:paraId="3107CEA9" w14:textId="77777777" w:rsidR="00010E2E" w:rsidRDefault="00010E2E">
      <w:pPr>
        <w:pStyle w:val="R1"/>
        <w:ind w:left="0" w:firstLine="0"/>
        <w:rPr>
          <w:rFonts w:ascii="Arial" w:hAnsi="Arial" w:cs="Arial"/>
          <w:sz w:val="20"/>
          <w:szCs w:val="20"/>
        </w:rPr>
      </w:pPr>
      <w:r>
        <w:rPr>
          <w:rFonts w:ascii="Arial" w:hAnsi="Arial" w:cs="Arial"/>
          <w:sz w:val="20"/>
          <w:szCs w:val="20"/>
        </w:rPr>
        <w:t>Methods for estimating emissions from the production of adipic acid are given in section 3.4 of the 2006 IPCC Guidelines.</w:t>
      </w:r>
    </w:p>
    <w:p w14:paraId="138FE50A" w14:textId="77777777" w:rsidR="00010E2E" w:rsidRDefault="00010E2E">
      <w:pPr>
        <w:rPr>
          <w:rFonts w:ascii="Arial" w:hAnsi="Arial" w:cs="Arial"/>
          <w:lang w:eastAsia="en-AU"/>
        </w:rPr>
      </w:pPr>
    </w:p>
    <w:p w14:paraId="12527A97" w14:textId="77777777" w:rsidR="001363EF" w:rsidRDefault="00010E2E">
      <w:pPr>
        <w:pStyle w:val="Heading2"/>
        <w:tabs>
          <w:tab w:val="left" w:pos="0"/>
          <w:tab w:val="left" w:pos="851"/>
        </w:tabs>
        <w:spacing w:before="120" w:after="0" w:line="312" w:lineRule="auto"/>
        <w:ind w:left="578" w:hanging="578"/>
        <w:rPr>
          <w:rFonts w:ascii="Arial" w:hAnsi="Arial"/>
        </w:rPr>
      </w:pPr>
      <w:r>
        <w:rPr>
          <w:rFonts w:ascii="Arial" w:hAnsi="Arial"/>
        </w:rPr>
        <w:t>Carbide production</w:t>
      </w:r>
    </w:p>
    <w:p w14:paraId="0135B10D" w14:textId="77777777" w:rsidR="00010E2E" w:rsidRDefault="00010E2E">
      <w:pPr>
        <w:pStyle w:val="R1"/>
        <w:ind w:left="0" w:firstLine="0"/>
        <w:rPr>
          <w:rFonts w:ascii="Arial" w:hAnsi="Arial" w:cs="Arial"/>
          <w:sz w:val="20"/>
          <w:szCs w:val="20"/>
        </w:rPr>
      </w:pPr>
      <w:r>
        <w:rPr>
          <w:rFonts w:ascii="Arial" w:hAnsi="Arial" w:cs="Arial"/>
          <w:sz w:val="20"/>
          <w:szCs w:val="20"/>
        </w:rPr>
        <w:t>Methods for estimating emissions from the carbide production are given in section 3.6 of the 2006 IPCC Guidelines.</w:t>
      </w:r>
    </w:p>
    <w:p w14:paraId="03D5EA10" w14:textId="77777777" w:rsidR="00345E7B" w:rsidRPr="00345E7B" w:rsidRDefault="00345E7B" w:rsidP="00345E7B"/>
    <w:p w14:paraId="40810CFA" w14:textId="77777777" w:rsidR="001363EF" w:rsidRDefault="00E102FE">
      <w:pPr>
        <w:pStyle w:val="Heading2"/>
        <w:tabs>
          <w:tab w:val="left" w:pos="0"/>
          <w:tab w:val="left" w:pos="851"/>
        </w:tabs>
        <w:spacing w:before="120" w:after="0" w:line="312" w:lineRule="auto"/>
        <w:ind w:left="578" w:hanging="578"/>
        <w:rPr>
          <w:rFonts w:ascii="Arial" w:hAnsi="Arial"/>
        </w:rPr>
      </w:pPr>
      <w:r>
        <w:rPr>
          <w:rFonts w:ascii="Arial" w:hAnsi="Arial"/>
        </w:rPr>
        <w:t>Chemical or mineral production, other than carbide production, using a carbon reductant</w:t>
      </w:r>
    </w:p>
    <w:p w14:paraId="31DBBBC1" w14:textId="77777777" w:rsidR="00E102FE" w:rsidRDefault="00E102FE" w:rsidP="00E102FE">
      <w:pPr>
        <w:pStyle w:val="R1"/>
        <w:ind w:left="0" w:firstLine="0"/>
        <w:rPr>
          <w:rFonts w:ascii="Arial" w:hAnsi="Arial" w:cs="Arial"/>
          <w:sz w:val="20"/>
          <w:szCs w:val="20"/>
        </w:rPr>
      </w:pPr>
      <w:r>
        <w:rPr>
          <w:rFonts w:ascii="Arial" w:hAnsi="Arial" w:cs="Arial"/>
          <w:sz w:val="20"/>
          <w:szCs w:val="20"/>
        </w:rPr>
        <w:t>This section covers emissions from the production of chemical or mineral product</w:t>
      </w:r>
      <w:r w:rsidR="0083748E">
        <w:rPr>
          <w:rFonts w:ascii="Arial" w:hAnsi="Arial" w:cs="Arial"/>
          <w:sz w:val="20"/>
          <w:szCs w:val="20"/>
        </w:rPr>
        <w:t>s</w:t>
      </w:r>
      <w:r>
        <w:rPr>
          <w:rFonts w:ascii="Arial" w:hAnsi="Arial" w:cs="Arial"/>
          <w:sz w:val="20"/>
          <w:szCs w:val="20"/>
        </w:rPr>
        <w:t>, other than carbide where a carbon reductant is used (for example, the production of titanium dioxide or synthetic rutile)</w:t>
      </w:r>
    </w:p>
    <w:p w14:paraId="55BEA90A" w14:textId="77777777" w:rsidR="000570E2" w:rsidRDefault="000570E2" w:rsidP="000570E2">
      <w:pPr>
        <w:ind w:left="0"/>
      </w:pPr>
    </w:p>
    <w:p w14:paraId="0E67BAE1" w14:textId="77777777" w:rsidR="005E156F" w:rsidRDefault="000570E2">
      <w:pPr>
        <w:autoSpaceDE w:val="0"/>
        <w:autoSpaceDN w:val="0"/>
        <w:adjustRightInd w:val="0"/>
        <w:ind w:left="0"/>
        <w:rPr>
          <w:sz w:val="22"/>
          <w:szCs w:val="22"/>
          <w:lang w:eastAsia="en-AU"/>
        </w:rPr>
      </w:pPr>
      <w:r w:rsidRPr="000570E2">
        <w:rPr>
          <w:i/>
          <w:color w:val="000000"/>
        </w:rPr>
        <w:t xml:space="preserve">Step 1 </w:t>
      </w:r>
      <w:r w:rsidR="0083748E">
        <w:rPr>
          <w:i/>
          <w:color w:val="000000"/>
        </w:rPr>
        <w:tab/>
      </w:r>
      <w:r w:rsidR="0083748E" w:rsidRPr="0083748E">
        <w:rPr>
          <w:sz w:val="22"/>
          <w:szCs w:val="22"/>
          <w:lang w:eastAsia="en-AU"/>
        </w:rPr>
        <w:t>Work out the carbon content in fuel types (</w:t>
      </w:r>
      <w:r w:rsidRPr="000570E2">
        <w:rPr>
          <w:sz w:val="22"/>
          <w:szCs w:val="22"/>
          <w:lang w:eastAsia="en-AU"/>
        </w:rPr>
        <w:t>i</w:t>
      </w:r>
      <w:r w:rsidR="0083748E" w:rsidRPr="0083748E">
        <w:rPr>
          <w:sz w:val="22"/>
          <w:szCs w:val="22"/>
          <w:lang w:eastAsia="en-AU"/>
        </w:rPr>
        <w:t>) or carbonaceous input</w:t>
      </w:r>
    </w:p>
    <w:p w14:paraId="3C78FFD6" w14:textId="77777777" w:rsidR="000570E2" w:rsidRDefault="0083748E" w:rsidP="000570E2">
      <w:pPr>
        <w:autoSpaceDE w:val="0"/>
        <w:autoSpaceDN w:val="0"/>
        <w:adjustRightInd w:val="0"/>
        <w:ind w:left="714"/>
        <w:rPr>
          <w:sz w:val="22"/>
          <w:szCs w:val="22"/>
          <w:lang w:eastAsia="en-AU"/>
        </w:rPr>
      </w:pPr>
      <w:r w:rsidRPr="0083748E">
        <w:rPr>
          <w:sz w:val="22"/>
          <w:szCs w:val="22"/>
          <w:lang w:eastAsia="en-AU"/>
        </w:rPr>
        <w:t>material delivered for the activity during the year measured in tonnes of</w:t>
      </w:r>
    </w:p>
    <w:p w14:paraId="08FB9421" w14:textId="77777777" w:rsidR="000570E2" w:rsidRDefault="0083748E" w:rsidP="000570E2">
      <w:pPr>
        <w:autoSpaceDE w:val="0"/>
        <w:autoSpaceDN w:val="0"/>
        <w:adjustRightInd w:val="0"/>
        <w:ind w:left="714"/>
        <w:rPr>
          <w:sz w:val="22"/>
          <w:szCs w:val="22"/>
          <w:lang w:eastAsia="en-AU"/>
        </w:rPr>
      </w:pPr>
      <w:r w:rsidRPr="0083748E">
        <w:rPr>
          <w:sz w:val="22"/>
          <w:szCs w:val="22"/>
          <w:lang w:eastAsia="en-AU"/>
        </w:rPr>
        <w:t>carbon as follows:</w:t>
      </w:r>
    </w:p>
    <w:p w14:paraId="366E723B" w14:textId="77777777" w:rsidR="000570E2" w:rsidRDefault="0083748E" w:rsidP="000570E2">
      <w:pPr>
        <w:autoSpaceDE w:val="0"/>
        <w:autoSpaceDN w:val="0"/>
        <w:adjustRightInd w:val="0"/>
        <w:ind w:left="2151" w:firstLine="348"/>
        <w:rPr>
          <w:sz w:val="18"/>
          <w:szCs w:val="18"/>
          <w:lang w:eastAsia="en-AU"/>
        </w:rPr>
      </w:pPr>
      <w:r>
        <w:rPr>
          <w:rFonts w:ascii="Symbol" w:hAnsi="Symbol" w:cs="Symbol"/>
          <w:sz w:val="29"/>
          <w:szCs w:val="29"/>
          <w:lang w:eastAsia="en-AU"/>
        </w:rPr>
        <w:t></w:t>
      </w:r>
      <w:r>
        <w:rPr>
          <w:sz w:val="18"/>
          <w:szCs w:val="18"/>
          <w:lang w:eastAsia="en-AU"/>
        </w:rPr>
        <w:t xml:space="preserve">i </w:t>
      </w:r>
      <w:r>
        <w:rPr>
          <w:sz w:val="29"/>
          <w:szCs w:val="29"/>
          <w:lang w:eastAsia="en-AU"/>
        </w:rPr>
        <w:t>CCF</w:t>
      </w:r>
      <w:r>
        <w:rPr>
          <w:sz w:val="18"/>
          <w:szCs w:val="18"/>
          <w:lang w:eastAsia="en-AU"/>
        </w:rPr>
        <w:t>i</w:t>
      </w:r>
      <w:r>
        <w:rPr>
          <w:rFonts w:ascii="Symbol" w:hAnsi="Symbol" w:cs="Symbol"/>
          <w:sz w:val="29"/>
          <w:szCs w:val="29"/>
          <w:lang w:eastAsia="en-AU"/>
        </w:rPr>
        <w:t></w:t>
      </w:r>
      <w:r>
        <w:rPr>
          <w:sz w:val="29"/>
          <w:szCs w:val="29"/>
          <w:lang w:eastAsia="en-AU"/>
        </w:rPr>
        <w:t>Q</w:t>
      </w:r>
      <w:r>
        <w:rPr>
          <w:sz w:val="18"/>
          <w:szCs w:val="18"/>
          <w:lang w:eastAsia="en-AU"/>
        </w:rPr>
        <w:t>i</w:t>
      </w:r>
    </w:p>
    <w:p w14:paraId="46211CC5" w14:textId="77777777" w:rsidR="000570E2" w:rsidRDefault="0083748E" w:rsidP="0007283C">
      <w:pPr>
        <w:autoSpaceDE w:val="0"/>
        <w:autoSpaceDN w:val="0"/>
        <w:adjustRightInd w:val="0"/>
        <w:spacing w:after="120"/>
        <w:ind w:left="357" w:firstLine="357"/>
        <w:rPr>
          <w:sz w:val="22"/>
          <w:szCs w:val="22"/>
          <w:lang w:eastAsia="en-AU"/>
        </w:rPr>
      </w:pPr>
      <w:r>
        <w:rPr>
          <w:sz w:val="22"/>
          <w:szCs w:val="22"/>
          <w:lang w:eastAsia="en-AU"/>
        </w:rPr>
        <w:t>where:</w:t>
      </w:r>
    </w:p>
    <w:p w14:paraId="7F599B83" w14:textId="77777777" w:rsidR="000570E2" w:rsidRDefault="0083748E" w:rsidP="0007283C">
      <w:pPr>
        <w:autoSpaceDE w:val="0"/>
        <w:autoSpaceDN w:val="0"/>
        <w:adjustRightInd w:val="0"/>
        <w:spacing w:after="120"/>
        <w:ind w:left="714"/>
        <w:rPr>
          <w:sz w:val="22"/>
          <w:szCs w:val="22"/>
          <w:lang w:eastAsia="en-AU"/>
        </w:rPr>
      </w:pPr>
      <w:r>
        <w:rPr>
          <w:rFonts w:ascii="Symbol" w:hAnsi="Symbol" w:cs="Symbol"/>
          <w:sz w:val="23"/>
          <w:szCs w:val="23"/>
          <w:lang w:eastAsia="en-AU"/>
        </w:rPr>
        <w:t></w:t>
      </w:r>
      <w:r>
        <w:rPr>
          <w:rFonts w:ascii="Symbol" w:hAnsi="Symbol" w:cs="Symbol"/>
          <w:sz w:val="23"/>
          <w:szCs w:val="23"/>
          <w:lang w:eastAsia="en-AU"/>
        </w:rPr>
        <w:t></w:t>
      </w:r>
      <w:r>
        <w:rPr>
          <w:b/>
          <w:bCs/>
          <w:i/>
          <w:iCs/>
          <w:sz w:val="14"/>
          <w:szCs w:val="14"/>
          <w:lang w:eastAsia="en-AU"/>
        </w:rPr>
        <w:t xml:space="preserve">i </w:t>
      </w:r>
      <w:r>
        <w:rPr>
          <w:sz w:val="22"/>
          <w:szCs w:val="22"/>
          <w:lang w:eastAsia="en-AU"/>
        </w:rPr>
        <w:t>means sum the carbon content values obtained for all fuel types (</w:t>
      </w:r>
      <w:r>
        <w:rPr>
          <w:b/>
          <w:bCs/>
          <w:i/>
          <w:iCs/>
          <w:sz w:val="22"/>
          <w:szCs w:val="22"/>
          <w:lang w:eastAsia="en-AU"/>
        </w:rPr>
        <w:t>i</w:t>
      </w:r>
      <w:r>
        <w:rPr>
          <w:sz w:val="22"/>
          <w:szCs w:val="22"/>
          <w:lang w:eastAsia="en-AU"/>
        </w:rPr>
        <w:t>) or</w:t>
      </w:r>
      <w:r w:rsidR="0007283C">
        <w:rPr>
          <w:sz w:val="22"/>
          <w:szCs w:val="22"/>
          <w:lang w:eastAsia="en-AU"/>
        </w:rPr>
        <w:t xml:space="preserve"> </w:t>
      </w:r>
      <w:r>
        <w:rPr>
          <w:sz w:val="22"/>
          <w:szCs w:val="22"/>
          <w:lang w:eastAsia="en-AU"/>
        </w:rPr>
        <w:t>carbonaceous input material.</w:t>
      </w:r>
    </w:p>
    <w:p w14:paraId="2BAFEAA6" w14:textId="77777777" w:rsidR="000570E2" w:rsidRDefault="0083748E" w:rsidP="0007283C">
      <w:pPr>
        <w:autoSpaceDE w:val="0"/>
        <w:autoSpaceDN w:val="0"/>
        <w:adjustRightInd w:val="0"/>
        <w:spacing w:after="120"/>
        <w:ind w:left="714"/>
        <w:rPr>
          <w:sz w:val="22"/>
          <w:szCs w:val="22"/>
          <w:lang w:eastAsia="en-AU"/>
        </w:rPr>
      </w:pPr>
      <w:r>
        <w:rPr>
          <w:b/>
          <w:bCs/>
          <w:i/>
          <w:iCs/>
          <w:sz w:val="22"/>
          <w:szCs w:val="22"/>
          <w:lang w:eastAsia="en-AU"/>
        </w:rPr>
        <w:t>CCF</w:t>
      </w:r>
      <w:r>
        <w:rPr>
          <w:b/>
          <w:bCs/>
          <w:i/>
          <w:iCs/>
          <w:sz w:val="14"/>
          <w:szCs w:val="14"/>
          <w:lang w:eastAsia="en-AU"/>
        </w:rPr>
        <w:t xml:space="preserve">i </w:t>
      </w:r>
      <w:r>
        <w:rPr>
          <w:sz w:val="22"/>
          <w:szCs w:val="22"/>
          <w:lang w:eastAsia="en-AU"/>
        </w:rPr>
        <w:t>is the carbon content factor mentioned in Schedule 3 measured in</w:t>
      </w:r>
      <w:r w:rsidR="0007283C">
        <w:rPr>
          <w:sz w:val="22"/>
          <w:szCs w:val="22"/>
          <w:lang w:eastAsia="en-AU"/>
        </w:rPr>
        <w:t xml:space="preserve"> </w:t>
      </w:r>
      <w:r>
        <w:rPr>
          <w:sz w:val="22"/>
          <w:szCs w:val="22"/>
          <w:lang w:eastAsia="en-AU"/>
        </w:rPr>
        <w:t>tonnes of carbon for each appropriate unit of fuel type (</w:t>
      </w:r>
      <w:r>
        <w:rPr>
          <w:b/>
          <w:bCs/>
          <w:i/>
          <w:iCs/>
          <w:sz w:val="22"/>
          <w:szCs w:val="22"/>
          <w:lang w:eastAsia="en-AU"/>
        </w:rPr>
        <w:t>i</w:t>
      </w:r>
      <w:r>
        <w:rPr>
          <w:sz w:val="22"/>
          <w:szCs w:val="22"/>
          <w:lang w:eastAsia="en-AU"/>
        </w:rPr>
        <w:t>) or</w:t>
      </w:r>
      <w:r w:rsidR="0007283C">
        <w:rPr>
          <w:sz w:val="22"/>
          <w:szCs w:val="22"/>
          <w:lang w:eastAsia="en-AU"/>
        </w:rPr>
        <w:t xml:space="preserve"> </w:t>
      </w:r>
      <w:r>
        <w:rPr>
          <w:sz w:val="22"/>
          <w:szCs w:val="22"/>
          <w:lang w:eastAsia="en-AU"/>
        </w:rPr>
        <w:t>carbonaceous input material consumed during the year from the</w:t>
      </w:r>
      <w:r w:rsidR="0007283C">
        <w:rPr>
          <w:sz w:val="22"/>
          <w:szCs w:val="22"/>
          <w:lang w:eastAsia="en-AU"/>
        </w:rPr>
        <w:t xml:space="preserve"> </w:t>
      </w:r>
      <w:r>
        <w:rPr>
          <w:sz w:val="22"/>
          <w:szCs w:val="22"/>
          <w:lang w:eastAsia="en-AU"/>
        </w:rPr>
        <w:t>operation of the activity.</w:t>
      </w:r>
    </w:p>
    <w:p w14:paraId="16C9B81A" w14:textId="77777777" w:rsidR="000570E2" w:rsidRDefault="0083748E" w:rsidP="0007283C">
      <w:pPr>
        <w:autoSpaceDE w:val="0"/>
        <w:autoSpaceDN w:val="0"/>
        <w:adjustRightInd w:val="0"/>
        <w:spacing w:after="120"/>
        <w:ind w:left="714"/>
        <w:rPr>
          <w:sz w:val="22"/>
          <w:szCs w:val="22"/>
          <w:lang w:eastAsia="en-AU"/>
        </w:rPr>
      </w:pPr>
      <w:r>
        <w:rPr>
          <w:b/>
          <w:bCs/>
          <w:i/>
          <w:iCs/>
          <w:sz w:val="22"/>
          <w:szCs w:val="22"/>
          <w:lang w:eastAsia="en-AU"/>
        </w:rPr>
        <w:t>Q</w:t>
      </w:r>
      <w:r>
        <w:rPr>
          <w:b/>
          <w:bCs/>
          <w:i/>
          <w:iCs/>
          <w:sz w:val="14"/>
          <w:szCs w:val="14"/>
          <w:lang w:eastAsia="en-AU"/>
        </w:rPr>
        <w:t xml:space="preserve">i </w:t>
      </w:r>
      <w:r>
        <w:rPr>
          <w:sz w:val="22"/>
          <w:szCs w:val="22"/>
          <w:lang w:eastAsia="en-AU"/>
        </w:rPr>
        <w:t>is the quantity of fuel type (</w:t>
      </w:r>
      <w:r>
        <w:rPr>
          <w:b/>
          <w:bCs/>
          <w:i/>
          <w:iCs/>
          <w:sz w:val="22"/>
          <w:szCs w:val="22"/>
          <w:lang w:eastAsia="en-AU"/>
        </w:rPr>
        <w:t>i</w:t>
      </w:r>
      <w:r>
        <w:rPr>
          <w:sz w:val="22"/>
          <w:szCs w:val="22"/>
          <w:lang w:eastAsia="en-AU"/>
        </w:rPr>
        <w:t>) or carbonaceous input material delivered</w:t>
      </w:r>
      <w:r w:rsidR="0007283C">
        <w:rPr>
          <w:sz w:val="22"/>
          <w:szCs w:val="22"/>
          <w:lang w:eastAsia="en-AU"/>
        </w:rPr>
        <w:t xml:space="preserve"> </w:t>
      </w:r>
      <w:r>
        <w:rPr>
          <w:sz w:val="22"/>
          <w:szCs w:val="22"/>
          <w:lang w:eastAsia="en-AU"/>
        </w:rPr>
        <w:t>for the activity during the year measured in an appropriate unit and</w:t>
      </w:r>
      <w:r w:rsidR="0007283C">
        <w:rPr>
          <w:sz w:val="22"/>
          <w:szCs w:val="22"/>
          <w:lang w:eastAsia="en-AU"/>
        </w:rPr>
        <w:t xml:space="preserve"> </w:t>
      </w:r>
      <w:r>
        <w:rPr>
          <w:sz w:val="22"/>
          <w:szCs w:val="22"/>
          <w:lang w:eastAsia="en-AU"/>
        </w:rPr>
        <w:t>estimated in accordance with criterion A in Division 2.2.5, 2.3.6</w:t>
      </w:r>
      <w:r w:rsidR="0007283C">
        <w:rPr>
          <w:sz w:val="22"/>
          <w:szCs w:val="22"/>
          <w:lang w:eastAsia="en-AU"/>
        </w:rPr>
        <w:t xml:space="preserve"> </w:t>
      </w:r>
      <w:r>
        <w:rPr>
          <w:sz w:val="22"/>
          <w:szCs w:val="22"/>
          <w:lang w:eastAsia="en-AU"/>
        </w:rPr>
        <w:t>and 2.4.6.</w:t>
      </w:r>
    </w:p>
    <w:p w14:paraId="53A87019" w14:textId="77777777" w:rsidR="0083748E" w:rsidRDefault="0083748E" w:rsidP="0083748E">
      <w:pPr>
        <w:autoSpaceDE w:val="0"/>
        <w:autoSpaceDN w:val="0"/>
        <w:adjustRightInd w:val="0"/>
        <w:ind w:left="0"/>
        <w:rPr>
          <w:i/>
          <w:iCs/>
          <w:sz w:val="24"/>
          <w:szCs w:val="24"/>
          <w:lang w:eastAsia="en-AU"/>
        </w:rPr>
      </w:pPr>
    </w:p>
    <w:p w14:paraId="7FE140D3" w14:textId="77777777" w:rsidR="000570E2" w:rsidRDefault="000570E2" w:rsidP="0007283C">
      <w:pPr>
        <w:autoSpaceDE w:val="0"/>
        <w:autoSpaceDN w:val="0"/>
        <w:adjustRightInd w:val="0"/>
        <w:ind w:left="714" w:hanging="714"/>
        <w:rPr>
          <w:sz w:val="22"/>
          <w:szCs w:val="22"/>
          <w:lang w:eastAsia="en-AU"/>
        </w:rPr>
      </w:pPr>
      <w:r w:rsidRPr="000570E2">
        <w:rPr>
          <w:i/>
          <w:color w:val="000000"/>
        </w:rPr>
        <w:t>Step 2</w:t>
      </w:r>
      <w:r w:rsidR="0083748E">
        <w:rPr>
          <w:i/>
          <w:iCs/>
          <w:sz w:val="24"/>
          <w:szCs w:val="24"/>
          <w:lang w:eastAsia="en-AU"/>
        </w:rPr>
        <w:t xml:space="preserve"> </w:t>
      </w:r>
      <w:r w:rsidR="0083748E">
        <w:rPr>
          <w:i/>
          <w:iCs/>
          <w:sz w:val="24"/>
          <w:szCs w:val="24"/>
          <w:lang w:eastAsia="en-AU"/>
        </w:rPr>
        <w:tab/>
      </w:r>
      <w:r w:rsidR="0083748E">
        <w:rPr>
          <w:sz w:val="22"/>
          <w:szCs w:val="22"/>
          <w:lang w:eastAsia="en-AU"/>
        </w:rPr>
        <w:t>Work out the carbon content in products (</w:t>
      </w:r>
      <w:r w:rsidR="0083748E">
        <w:rPr>
          <w:b/>
          <w:bCs/>
          <w:i/>
          <w:iCs/>
          <w:sz w:val="22"/>
          <w:szCs w:val="22"/>
          <w:lang w:eastAsia="en-AU"/>
        </w:rPr>
        <w:t>p</w:t>
      </w:r>
      <w:r w:rsidR="0083748E">
        <w:rPr>
          <w:sz w:val="22"/>
          <w:szCs w:val="22"/>
          <w:lang w:eastAsia="en-AU"/>
        </w:rPr>
        <w:t>) leaving the activity during</w:t>
      </w:r>
      <w:r w:rsidR="0007283C">
        <w:rPr>
          <w:sz w:val="22"/>
          <w:szCs w:val="22"/>
          <w:lang w:eastAsia="en-AU"/>
        </w:rPr>
        <w:t xml:space="preserve"> </w:t>
      </w:r>
      <w:r w:rsidR="0083748E">
        <w:rPr>
          <w:sz w:val="22"/>
          <w:szCs w:val="22"/>
          <w:lang w:eastAsia="en-AU"/>
        </w:rPr>
        <w:t>the year measured in tonnes of carbon as follows:</w:t>
      </w:r>
    </w:p>
    <w:p w14:paraId="7F80E55F" w14:textId="77777777" w:rsidR="000570E2" w:rsidRDefault="000570E2" w:rsidP="000570E2">
      <w:pPr>
        <w:autoSpaceDE w:val="0"/>
        <w:autoSpaceDN w:val="0"/>
        <w:adjustRightInd w:val="0"/>
        <w:ind w:left="357" w:firstLine="357"/>
        <w:rPr>
          <w:sz w:val="22"/>
          <w:szCs w:val="22"/>
          <w:lang w:eastAsia="en-AU"/>
        </w:rPr>
      </w:pPr>
    </w:p>
    <w:p w14:paraId="0EEC5E22" w14:textId="77777777" w:rsidR="000570E2" w:rsidRDefault="0083748E" w:rsidP="000570E2">
      <w:pPr>
        <w:autoSpaceDE w:val="0"/>
        <w:autoSpaceDN w:val="0"/>
        <w:adjustRightInd w:val="0"/>
        <w:ind w:left="2142" w:firstLine="357"/>
        <w:rPr>
          <w:sz w:val="17"/>
          <w:szCs w:val="17"/>
          <w:lang w:eastAsia="en-AU"/>
        </w:rPr>
      </w:pPr>
      <w:r>
        <w:rPr>
          <w:rFonts w:ascii="Symbol" w:hAnsi="Symbol" w:cs="Symbol"/>
          <w:sz w:val="27"/>
          <w:szCs w:val="27"/>
          <w:lang w:eastAsia="en-AU"/>
        </w:rPr>
        <w:t></w:t>
      </w:r>
      <w:r>
        <w:rPr>
          <w:sz w:val="17"/>
          <w:szCs w:val="17"/>
          <w:lang w:eastAsia="en-AU"/>
        </w:rPr>
        <w:t xml:space="preserve">p </w:t>
      </w:r>
      <w:r>
        <w:rPr>
          <w:sz w:val="27"/>
          <w:szCs w:val="27"/>
          <w:lang w:eastAsia="en-AU"/>
        </w:rPr>
        <w:t>CCF</w:t>
      </w:r>
      <w:r>
        <w:rPr>
          <w:sz w:val="17"/>
          <w:szCs w:val="17"/>
          <w:lang w:eastAsia="en-AU"/>
        </w:rPr>
        <w:t>p</w:t>
      </w:r>
      <w:r>
        <w:rPr>
          <w:rFonts w:ascii="Symbol" w:hAnsi="Symbol" w:cs="Symbol"/>
          <w:sz w:val="27"/>
          <w:szCs w:val="27"/>
          <w:lang w:eastAsia="en-AU"/>
        </w:rPr>
        <w:t></w:t>
      </w:r>
      <w:r>
        <w:rPr>
          <w:sz w:val="27"/>
          <w:szCs w:val="27"/>
          <w:lang w:eastAsia="en-AU"/>
        </w:rPr>
        <w:t>A</w:t>
      </w:r>
      <w:r>
        <w:rPr>
          <w:sz w:val="17"/>
          <w:szCs w:val="17"/>
          <w:lang w:eastAsia="en-AU"/>
        </w:rPr>
        <w:t>p</w:t>
      </w:r>
    </w:p>
    <w:p w14:paraId="1CE3F221" w14:textId="77777777" w:rsidR="000570E2" w:rsidRDefault="0083748E" w:rsidP="000570E2">
      <w:pPr>
        <w:autoSpaceDE w:val="0"/>
        <w:autoSpaceDN w:val="0"/>
        <w:adjustRightInd w:val="0"/>
        <w:ind w:left="357" w:firstLine="357"/>
        <w:rPr>
          <w:sz w:val="22"/>
          <w:szCs w:val="22"/>
          <w:lang w:eastAsia="en-AU"/>
        </w:rPr>
      </w:pPr>
      <w:r>
        <w:rPr>
          <w:sz w:val="22"/>
          <w:szCs w:val="22"/>
          <w:lang w:eastAsia="en-AU"/>
        </w:rPr>
        <w:t>where:</w:t>
      </w:r>
    </w:p>
    <w:p w14:paraId="6FCCA32B" w14:textId="77777777" w:rsidR="0007283C" w:rsidRDefault="0007283C" w:rsidP="000570E2">
      <w:pPr>
        <w:autoSpaceDE w:val="0"/>
        <w:autoSpaceDN w:val="0"/>
        <w:adjustRightInd w:val="0"/>
        <w:ind w:left="357" w:firstLine="357"/>
        <w:rPr>
          <w:sz w:val="22"/>
          <w:szCs w:val="22"/>
          <w:lang w:eastAsia="en-AU"/>
        </w:rPr>
      </w:pPr>
    </w:p>
    <w:p w14:paraId="189C97E4" w14:textId="77777777" w:rsidR="000570E2" w:rsidRDefault="0083748E" w:rsidP="000570E2">
      <w:pPr>
        <w:autoSpaceDE w:val="0"/>
        <w:autoSpaceDN w:val="0"/>
        <w:adjustRightInd w:val="0"/>
        <w:ind w:left="714"/>
        <w:rPr>
          <w:sz w:val="22"/>
          <w:szCs w:val="22"/>
          <w:lang w:eastAsia="en-AU"/>
        </w:rPr>
      </w:pPr>
      <w:r>
        <w:rPr>
          <w:rFonts w:ascii="Symbol" w:hAnsi="Symbol" w:cs="Symbol"/>
          <w:sz w:val="23"/>
          <w:szCs w:val="23"/>
          <w:lang w:eastAsia="en-AU"/>
        </w:rPr>
        <w:t></w:t>
      </w:r>
      <w:r>
        <w:rPr>
          <w:rFonts w:ascii="Symbol" w:hAnsi="Symbol" w:cs="Symbol"/>
          <w:sz w:val="23"/>
          <w:szCs w:val="23"/>
          <w:lang w:eastAsia="en-AU"/>
        </w:rPr>
        <w:t></w:t>
      </w:r>
      <w:r>
        <w:rPr>
          <w:b/>
          <w:bCs/>
          <w:i/>
          <w:iCs/>
          <w:sz w:val="14"/>
          <w:szCs w:val="14"/>
          <w:lang w:eastAsia="en-AU"/>
        </w:rPr>
        <w:t xml:space="preserve">p </w:t>
      </w:r>
      <w:r>
        <w:rPr>
          <w:sz w:val="22"/>
          <w:szCs w:val="22"/>
          <w:lang w:eastAsia="en-AU"/>
        </w:rPr>
        <w:t>means sum the carbon content values obtained for all product</w:t>
      </w:r>
    </w:p>
    <w:p w14:paraId="4A7BD5A0" w14:textId="77777777" w:rsidR="000570E2" w:rsidRDefault="0083748E" w:rsidP="000570E2">
      <w:pPr>
        <w:autoSpaceDE w:val="0"/>
        <w:autoSpaceDN w:val="0"/>
        <w:adjustRightInd w:val="0"/>
        <w:ind w:left="714"/>
        <w:rPr>
          <w:sz w:val="22"/>
          <w:szCs w:val="22"/>
          <w:lang w:eastAsia="en-AU"/>
        </w:rPr>
      </w:pPr>
      <w:r>
        <w:rPr>
          <w:sz w:val="22"/>
          <w:szCs w:val="22"/>
          <w:lang w:eastAsia="en-AU"/>
        </w:rPr>
        <w:t>types (</w:t>
      </w:r>
      <w:r>
        <w:rPr>
          <w:b/>
          <w:bCs/>
          <w:i/>
          <w:iCs/>
          <w:sz w:val="22"/>
          <w:szCs w:val="22"/>
          <w:lang w:eastAsia="en-AU"/>
        </w:rPr>
        <w:t>p</w:t>
      </w:r>
      <w:r>
        <w:rPr>
          <w:sz w:val="22"/>
          <w:szCs w:val="22"/>
          <w:lang w:eastAsia="en-AU"/>
        </w:rPr>
        <w:t>).</w:t>
      </w:r>
    </w:p>
    <w:p w14:paraId="0BBF4620" w14:textId="77777777" w:rsidR="000570E2" w:rsidRDefault="000570E2" w:rsidP="000570E2">
      <w:pPr>
        <w:autoSpaceDE w:val="0"/>
        <w:autoSpaceDN w:val="0"/>
        <w:adjustRightInd w:val="0"/>
        <w:ind w:left="714"/>
        <w:rPr>
          <w:sz w:val="22"/>
          <w:szCs w:val="22"/>
          <w:lang w:eastAsia="en-AU"/>
        </w:rPr>
      </w:pPr>
    </w:p>
    <w:p w14:paraId="43F1FBC9" w14:textId="77777777" w:rsidR="000570E2" w:rsidRDefault="0083748E" w:rsidP="000570E2">
      <w:pPr>
        <w:autoSpaceDE w:val="0"/>
        <w:autoSpaceDN w:val="0"/>
        <w:adjustRightInd w:val="0"/>
        <w:ind w:left="714"/>
        <w:rPr>
          <w:sz w:val="22"/>
          <w:szCs w:val="22"/>
          <w:lang w:eastAsia="en-AU"/>
        </w:rPr>
      </w:pPr>
      <w:r>
        <w:rPr>
          <w:b/>
          <w:bCs/>
          <w:i/>
          <w:iCs/>
          <w:sz w:val="22"/>
          <w:szCs w:val="22"/>
          <w:lang w:eastAsia="en-AU"/>
        </w:rPr>
        <w:t>CCF</w:t>
      </w:r>
      <w:r>
        <w:rPr>
          <w:b/>
          <w:bCs/>
          <w:i/>
          <w:iCs/>
          <w:sz w:val="14"/>
          <w:szCs w:val="14"/>
          <w:lang w:eastAsia="en-AU"/>
        </w:rPr>
        <w:t xml:space="preserve">p </w:t>
      </w:r>
      <w:r>
        <w:rPr>
          <w:sz w:val="22"/>
          <w:szCs w:val="22"/>
          <w:lang w:eastAsia="en-AU"/>
        </w:rPr>
        <w:t>is the carbon content factor measured in tonnes of carbon for each</w:t>
      </w:r>
      <w:r w:rsidR="0007283C">
        <w:rPr>
          <w:sz w:val="22"/>
          <w:szCs w:val="22"/>
          <w:lang w:eastAsia="en-AU"/>
        </w:rPr>
        <w:t xml:space="preserve"> </w:t>
      </w:r>
      <w:r>
        <w:rPr>
          <w:sz w:val="22"/>
          <w:szCs w:val="22"/>
          <w:lang w:eastAsia="en-AU"/>
        </w:rPr>
        <w:t>tonne of product type (</w:t>
      </w:r>
      <w:r>
        <w:rPr>
          <w:b/>
          <w:bCs/>
          <w:i/>
          <w:iCs/>
          <w:sz w:val="22"/>
          <w:szCs w:val="22"/>
          <w:lang w:eastAsia="en-AU"/>
        </w:rPr>
        <w:t>p</w:t>
      </w:r>
      <w:r>
        <w:rPr>
          <w:sz w:val="22"/>
          <w:szCs w:val="22"/>
          <w:lang w:eastAsia="en-AU"/>
        </w:rPr>
        <w:t>) produced during the year.</w:t>
      </w:r>
    </w:p>
    <w:p w14:paraId="355536C5" w14:textId="77777777" w:rsidR="000570E2" w:rsidRDefault="000570E2" w:rsidP="000570E2">
      <w:pPr>
        <w:autoSpaceDE w:val="0"/>
        <w:autoSpaceDN w:val="0"/>
        <w:adjustRightInd w:val="0"/>
        <w:ind w:left="357"/>
        <w:rPr>
          <w:sz w:val="22"/>
          <w:szCs w:val="22"/>
          <w:lang w:eastAsia="en-AU"/>
        </w:rPr>
      </w:pPr>
    </w:p>
    <w:p w14:paraId="2122FADC" w14:textId="77777777" w:rsidR="00CE5F52" w:rsidRDefault="00CE5F52" w:rsidP="000570E2">
      <w:pPr>
        <w:autoSpaceDE w:val="0"/>
        <w:autoSpaceDN w:val="0"/>
        <w:adjustRightInd w:val="0"/>
        <w:ind w:left="714"/>
        <w:rPr>
          <w:b/>
          <w:bCs/>
          <w:i/>
          <w:iCs/>
          <w:sz w:val="22"/>
          <w:szCs w:val="22"/>
          <w:lang w:eastAsia="en-AU"/>
        </w:rPr>
      </w:pPr>
    </w:p>
    <w:p w14:paraId="55FE94D9" w14:textId="77777777" w:rsidR="000570E2" w:rsidRDefault="0083748E" w:rsidP="000570E2">
      <w:pPr>
        <w:autoSpaceDE w:val="0"/>
        <w:autoSpaceDN w:val="0"/>
        <w:adjustRightInd w:val="0"/>
        <w:ind w:left="714"/>
        <w:rPr>
          <w:sz w:val="22"/>
          <w:szCs w:val="22"/>
          <w:lang w:eastAsia="en-AU"/>
        </w:rPr>
      </w:pPr>
      <w:r>
        <w:rPr>
          <w:b/>
          <w:bCs/>
          <w:i/>
          <w:iCs/>
          <w:sz w:val="22"/>
          <w:szCs w:val="22"/>
          <w:lang w:eastAsia="en-AU"/>
        </w:rPr>
        <w:t>A</w:t>
      </w:r>
      <w:r>
        <w:rPr>
          <w:b/>
          <w:bCs/>
          <w:i/>
          <w:iCs/>
          <w:sz w:val="14"/>
          <w:szCs w:val="14"/>
          <w:lang w:eastAsia="en-AU"/>
        </w:rPr>
        <w:t xml:space="preserve">p </w:t>
      </w:r>
      <w:r>
        <w:rPr>
          <w:sz w:val="22"/>
          <w:szCs w:val="22"/>
          <w:lang w:eastAsia="en-AU"/>
        </w:rPr>
        <w:t>is the quantity of product types (</w:t>
      </w:r>
      <w:r>
        <w:rPr>
          <w:b/>
          <w:bCs/>
          <w:i/>
          <w:iCs/>
          <w:sz w:val="22"/>
          <w:szCs w:val="22"/>
          <w:lang w:eastAsia="en-AU"/>
        </w:rPr>
        <w:t>p</w:t>
      </w:r>
      <w:r>
        <w:rPr>
          <w:sz w:val="22"/>
          <w:szCs w:val="22"/>
          <w:lang w:eastAsia="en-AU"/>
        </w:rPr>
        <w:t>) produced leaving the activity</w:t>
      </w:r>
    </w:p>
    <w:p w14:paraId="22A13B40" w14:textId="77777777" w:rsidR="000570E2" w:rsidRDefault="0083748E" w:rsidP="000570E2">
      <w:pPr>
        <w:autoSpaceDE w:val="0"/>
        <w:autoSpaceDN w:val="0"/>
        <w:adjustRightInd w:val="0"/>
        <w:ind w:left="714"/>
        <w:rPr>
          <w:sz w:val="22"/>
          <w:szCs w:val="22"/>
          <w:lang w:eastAsia="en-AU"/>
        </w:rPr>
      </w:pPr>
      <w:r>
        <w:rPr>
          <w:sz w:val="22"/>
          <w:szCs w:val="22"/>
          <w:lang w:eastAsia="en-AU"/>
        </w:rPr>
        <w:t>during the year measured in tonnes.</w:t>
      </w:r>
    </w:p>
    <w:p w14:paraId="1E6AC7BD" w14:textId="77777777" w:rsidR="000570E2" w:rsidRDefault="000570E2" w:rsidP="000570E2">
      <w:pPr>
        <w:autoSpaceDE w:val="0"/>
        <w:autoSpaceDN w:val="0"/>
        <w:adjustRightInd w:val="0"/>
        <w:ind w:left="714"/>
        <w:rPr>
          <w:sz w:val="22"/>
          <w:szCs w:val="22"/>
          <w:lang w:eastAsia="en-AU"/>
        </w:rPr>
      </w:pPr>
    </w:p>
    <w:p w14:paraId="017D6E10" w14:textId="77777777" w:rsidR="0083748E" w:rsidRDefault="000570E2" w:rsidP="0083748E">
      <w:pPr>
        <w:autoSpaceDE w:val="0"/>
        <w:autoSpaceDN w:val="0"/>
        <w:adjustRightInd w:val="0"/>
        <w:ind w:left="0"/>
        <w:rPr>
          <w:sz w:val="22"/>
          <w:szCs w:val="22"/>
          <w:lang w:eastAsia="en-AU"/>
        </w:rPr>
      </w:pPr>
      <w:r w:rsidRPr="000570E2">
        <w:rPr>
          <w:i/>
          <w:color w:val="000000"/>
        </w:rPr>
        <w:t>Step 3</w:t>
      </w:r>
      <w:r w:rsidR="0083748E">
        <w:rPr>
          <w:i/>
          <w:iCs/>
          <w:sz w:val="24"/>
          <w:szCs w:val="24"/>
          <w:lang w:eastAsia="en-AU"/>
        </w:rPr>
        <w:t xml:space="preserve"> </w:t>
      </w:r>
      <w:r w:rsidR="0083748E">
        <w:rPr>
          <w:i/>
          <w:iCs/>
          <w:sz w:val="24"/>
          <w:szCs w:val="24"/>
          <w:lang w:eastAsia="en-AU"/>
        </w:rPr>
        <w:tab/>
      </w:r>
      <w:r w:rsidR="0083748E">
        <w:rPr>
          <w:sz w:val="22"/>
          <w:szCs w:val="22"/>
          <w:lang w:eastAsia="en-AU"/>
        </w:rPr>
        <w:t xml:space="preserve">Work out the carbon content in waste by-product types </w:t>
      </w:r>
      <w:r w:rsidR="0083748E">
        <w:rPr>
          <w:b/>
          <w:bCs/>
          <w:i/>
          <w:iCs/>
          <w:sz w:val="22"/>
          <w:szCs w:val="22"/>
          <w:lang w:eastAsia="en-AU"/>
        </w:rPr>
        <w:t xml:space="preserve">(r) </w:t>
      </w:r>
      <w:r w:rsidR="0083748E">
        <w:rPr>
          <w:sz w:val="22"/>
          <w:szCs w:val="22"/>
          <w:lang w:eastAsia="en-AU"/>
        </w:rPr>
        <w:t>leaving the</w:t>
      </w:r>
    </w:p>
    <w:p w14:paraId="43F40B78" w14:textId="77777777" w:rsidR="000570E2" w:rsidRDefault="0083748E" w:rsidP="000570E2">
      <w:pPr>
        <w:autoSpaceDE w:val="0"/>
        <w:autoSpaceDN w:val="0"/>
        <w:adjustRightInd w:val="0"/>
        <w:ind w:left="357" w:firstLine="357"/>
        <w:rPr>
          <w:sz w:val="22"/>
          <w:szCs w:val="22"/>
          <w:lang w:eastAsia="en-AU"/>
        </w:rPr>
      </w:pPr>
      <w:r>
        <w:rPr>
          <w:sz w:val="22"/>
          <w:szCs w:val="22"/>
          <w:lang w:eastAsia="en-AU"/>
        </w:rPr>
        <w:t>activity, other than as an emission of greenhouse gas, during the year,</w:t>
      </w:r>
    </w:p>
    <w:p w14:paraId="0468C228" w14:textId="77777777" w:rsidR="000570E2" w:rsidRDefault="0083748E" w:rsidP="000570E2">
      <w:pPr>
        <w:autoSpaceDE w:val="0"/>
        <w:autoSpaceDN w:val="0"/>
        <w:adjustRightInd w:val="0"/>
        <w:ind w:left="357" w:firstLine="357"/>
        <w:rPr>
          <w:sz w:val="22"/>
          <w:szCs w:val="22"/>
          <w:lang w:eastAsia="en-AU"/>
        </w:rPr>
      </w:pPr>
      <w:r>
        <w:rPr>
          <w:sz w:val="22"/>
          <w:szCs w:val="22"/>
          <w:lang w:eastAsia="en-AU"/>
        </w:rPr>
        <w:t>measured in tonnes of carbon, as follows:</w:t>
      </w:r>
    </w:p>
    <w:p w14:paraId="41ED2304" w14:textId="77777777" w:rsidR="000570E2" w:rsidRDefault="000570E2" w:rsidP="000570E2">
      <w:pPr>
        <w:autoSpaceDE w:val="0"/>
        <w:autoSpaceDN w:val="0"/>
        <w:adjustRightInd w:val="0"/>
        <w:ind w:left="357" w:firstLine="357"/>
        <w:rPr>
          <w:sz w:val="22"/>
          <w:szCs w:val="22"/>
          <w:lang w:eastAsia="en-AU"/>
        </w:rPr>
      </w:pPr>
    </w:p>
    <w:p w14:paraId="416529EB" w14:textId="77777777" w:rsidR="000570E2" w:rsidRDefault="0083748E" w:rsidP="000570E2">
      <w:pPr>
        <w:autoSpaceDE w:val="0"/>
        <w:autoSpaceDN w:val="0"/>
        <w:adjustRightInd w:val="0"/>
        <w:ind w:left="2142" w:firstLine="357"/>
        <w:rPr>
          <w:sz w:val="17"/>
          <w:szCs w:val="17"/>
          <w:lang w:eastAsia="en-AU"/>
        </w:rPr>
      </w:pPr>
      <w:r>
        <w:rPr>
          <w:rFonts w:ascii="Symbol" w:hAnsi="Symbol" w:cs="Symbol"/>
          <w:sz w:val="27"/>
          <w:szCs w:val="27"/>
          <w:lang w:eastAsia="en-AU"/>
        </w:rPr>
        <w:t></w:t>
      </w:r>
      <w:r>
        <w:rPr>
          <w:sz w:val="17"/>
          <w:szCs w:val="17"/>
          <w:lang w:eastAsia="en-AU"/>
        </w:rPr>
        <w:t xml:space="preserve">r </w:t>
      </w:r>
      <w:r>
        <w:rPr>
          <w:sz w:val="27"/>
          <w:szCs w:val="27"/>
          <w:lang w:eastAsia="en-AU"/>
        </w:rPr>
        <w:t>CCF</w:t>
      </w:r>
      <w:r>
        <w:rPr>
          <w:sz w:val="17"/>
          <w:szCs w:val="17"/>
          <w:lang w:eastAsia="en-AU"/>
        </w:rPr>
        <w:t>r</w:t>
      </w:r>
      <w:r>
        <w:rPr>
          <w:rFonts w:ascii="Symbol" w:hAnsi="Symbol" w:cs="Symbol"/>
          <w:sz w:val="27"/>
          <w:szCs w:val="27"/>
          <w:lang w:eastAsia="en-AU"/>
        </w:rPr>
        <w:t></w:t>
      </w:r>
      <w:r>
        <w:rPr>
          <w:sz w:val="27"/>
          <w:szCs w:val="27"/>
          <w:lang w:eastAsia="en-AU"/>
        </w:rPr>
        <w:t>Y</w:t>
      </w:r>
      <w:r>
        <w:rPr>
          <w:sz w:val="17"/>
          <w:szCs w:val="17"/>
          <w:lang w:eastAsia="en-AU"/>
        </w:rPr>
        <w:t>r</w:t>
      </w:r>
    </w:p>
    <w:p w14:paraId="6105F190" w14:textId="77777777" w:rsidR="000570E2" w:rsidRDefault="0083748E" w:rsidP="0007283C">
      <w:pPr>
        <w:autoSpaceDE w:val="0"/>
        <w:autoSpaceDN w:val="0"/>
        <w:adjustRightInd w:val="0"/>
        <w:spacing w:after="120"/>
        <w:ind w:left="357" w:firstLine="357"/>
        <w:rPr>
          <w:sz w:val="22"/>
          <w:szCs w:val="22"/>
          <w:lang w:eastAsia="en-AU"/>
        </w:rPr>
      </w:pPr>
      <w:r>
        <w:rPr>
          <w:sz w:val="22"/>
          <w:szCs w:val="22"/>
          <w:lang w:eastAsia="en-AU"/>
        </w:rPr>
        <w:t>where:</w:t>
      </w:r>
    </w:p>
    <w:p w14:paraId="3C110F4F" w14:textId="77777777" w:rsidR="000570E2" w:rsidRDefault="0083748E" w:rsidP="0007283C">
      <w:pPr>
        <w:autoSpaceDE w:val="0"/>
        <w:autoSpaceDN w:val="0"/>
        <w:adjustRightInd w:val="0"/>
        <w:spacing w:after="120"/>
        <w:ind w:left="714"/>
        <w:rPr>
          <w:sz w:val="22"/>
          <w:szCs w:val="22"/>
          <w:lang w:eastAsia="en-AU"/>
        </w:rPr>
      </w:pPr>
      <w:r>
        <w:rPr>
          <w:rFonts w:ascii="Symbol" w:hAnsi="Symbol" w:cs="Symbol"/>
          <w:sz w:val="23"/>
          <w:szCs w:val="23"/>
          <w:lang w:eastAsia="en-AU"/>
        </w:rPr>
        <w:t></w:t>
      </w:r>
      <w:r>
        <w:rPr>
          <w:rFonts w:ascii="Symbol" w:hAnsi="Symbol" w:cs="Symbol"/>
          <w:sz w:val="23"/>
          <w:szCs w:val="23"/>
          <w:lang w:eastAsia="en-AU"/>
        </w:rPr>
        <w:t></w:t>
      </w:r>
      <w:r>
        <w:rPr>
          <w:b/>
          <w:bCs/>
          <w:i/>
          <w:iCs/>
          <w:sz w:val="14"/>
          <w:szCs w:val="14"/>
          <w:lang w:eastAsia="en-AU"/>
        </w:rPr>
        <w:t xml:space="preserve">r </w:t>
      </w:r>
      <w:r>
        <w:rPr>
          <w:sz w:val="22"/>
          <w:szCs w:val="22"/>
          <w:lang w:eastAsia="en-AU"/>
        </w:rPr>
        <w:t>means sum the carbon content values obtained for all waste</w:t>
      </w:r>
      <w:r w:rsidR="0007283C">
        <w:rPr>
          <w:sz w:val="22"/>
          <w:szCs w:val="22"/>
          <w:lang w:eastAsia="en-AU"/>
        </w:rPr>
        <w:t xml:space="preserve"> </w:t>
      </w:r>
      <w:r>
        <w:rPr>
          <w:sz w:val="22"/>
          <w:szCs w:val="22"/>
          <w:lang w:eastAsia="en-AU"/>
        </w:rPr>
        <w:t>by-product types (</w:t>
      </w:r>
      <w:r>
        <w:rPr>
          <w:b/>
          <w:bCs/>
          <w:i/>
          <w:iCs/>
          <w:sz w:val="22"/>
          <w:szCs w:val="22"/>
          <w:lang w:eastAsia="en-AU"/>
        </w:rPr>
        <w:t>r</w:t>
      </w:r>
      <w:r>
        <w:rPr>
          <w:sz w:val="22"/>
          <w:szCs w:val="22"/>
          <w:lang w:eastAsia="en-AU"/>
        </w:rPr>
        <w:t>).</w:t>
      </w:r>
    </w:p>
    <w:p w14:paraId="7585160C" w14:textId="77777777" w:rsidR="000570E2" w:rsidRDefault="0083748E" w:rsidP="0007283C">
      <w:pPr>
        <w:autoSpaceDE w:val="0"/>
        <w:autoSpaceDN w:val="0"/>
        <w:adjustRightInd w:val="0"/>
        <w:spacing w:after="120"/>
        <w:ind w:left="714"/>
        <w:rPr>
          <w:sz w:val="22"/>
          <w:szCs w:val="22"/>
          <w:lang w:eastAsia="en-AU"/>
        </w:rPr>
      </w:pPr>
      <w:r>
        <w:rPr>
          <w:b/>
          <w:bCs/>
          <w:i/>
          <w:iCs/>
          <w:sz w:val="22"/>
          <w:szCs w:val="22"/>
          <w:lang w:eastAsia="en-AU"/>
        </w:rPr>
        <w:t>CCF</w:t>
      </w:r>
      <w:r>
        <w:rPr>
          <w:b/>
          <w:bCs/>
          <w:i/>
          <w:iCs/>
          <w:sz w:val="14"/>
          <w:szCs w:val="14"/>
          <w:lang w:eastAsia="en-AU"/>
        </w:rPr>
        <w:t xml:space="preserve">r </w:t>
      </w:r>
      <w:r>
        <w:rPr>
          <w:sz w:val="22"/>
          <w:szCs w:val="22"/>
          <w:lang w:eastAsia="en-AU"/>
        </w:rPr>
        <w:t>is the carbon content factor measured in tonnes of carbon for each</w:t>
      </w:r>
      <w:r w:rsidR="0007283C">
        <w:rPr>
          <w:sz w:val="22"/>
          <w:szCs w:val="22"/>
          <w:lang w:eastAsia="en-AU"/>
        </w:rPr>
        <w:t xml:space="preserve"> </w:t>
      </w:r>
      <w:r>
        <w:rPr>
          <w:sz w:val="22"/>
          <w:szCs w:val="22"/>
          <w:lang w:eastAsia="en-AU"/>
        </w:rPr>
        <w:t>tonne of waste by-product types (</w:t>
      </w:r>
      <w:r>
        <w:rPr>
          <w:b/>
          <w:bCs/>
          <w:i/>
          <w:iCs/>
          <w:sz w:val="22"/>
          <w:szCs w:val="22"/>
          <w:lang w:eastAsia="en-AU"/>
        </w:rPr>
        <w:t>r</w:t>
      </w:r>
      <w:r>
        <w:rPr>
          <w:sz w:val="22"/>
          <w:szCs w:val="22"/>
          <w:lang w:eastAsia="en-AU"/>
        </w:rPr>
        <w:t>).</w:t>
      </w:r>
    </w:p>
    <w:p w14:paraId="0DABCE16" w14:textId="77777777" w:rsidR="000570E2" w:rsidRDefault="0083748E" w:rsidP="0007283C">
      <w:pPr>
        <w:autoSpaceDE w:val="0"/>
        <w:autoSpaceDN w:val="0"/>
        <w:adjustRightInd w:val="0"/>
        <w:spacing w:after="120"/>
        <w:ind w:left="714"/>
        <w:rPr>
          <w:sz w:val="22"/>
          <w:szCs w:val="22"/>
        </w:rPr>
      </w:pPr>
      <w:r>
        <w:rPr>
          <w:b/>
          <w:bCs/>
          <w:i/>
          <w:iCs/>
          <w:sz w:val="22"/>
          <w:szCs w:val="22"/>
          <w:lang w:eastAsia="en-AU"/>
        </w:rPr>
        <w:t>Y</w:t>
      </w:r>
      <w:r>
        <w:rPr>
          <w:b/>
          <w:bCs/>
          <w:i/>
          <w:iCs/>
          <w:sz w:val="14"/>
          <w:szCs w:val="14"/>
          <w:lang w:eastAsia="en-AU"/>
        </w:rPr>
        <w:t xml:space="preserve">r </w:t>
      </w:r>
      <w:r>
        <w:rPr>
          <w:sz w:val="22"/>
          <w:szCs w:val="22"/>
          <w:lang w:eastAsia="en-AU"/>
        </w:rPr>
        <w:t>is the quantity of waste by-product types (</w:t>
      </w:r>
      <w:r>
        <w:rPr>
          <w:b/>
          <w:bCs/>
          <w:i/>
          <w:iCs/>
          <w:sz w:val="22"/>
          <w:szCs w:val="22"/>
          <w:lang w:eastAsia="en-AU"/>
        </w:rPr>
        <w:t>r</w:t>
      </w:r>
      <w:r>
        <w:rPr>
          <w:sz w:val="22"/>
          <w:szCs w:val="22"/>
          <w:lang w:eastAsia="en-AU"/>
        </w:rPr>
        <w:t>) leaving the activity during</w:t>
      </w:r>
      <w:r w:rsidR="0007283C">
        <w:rPr>
          <w:sz w:val="22"/>
          <w:szCs w:val="22"/>
          <w:lang w:eastAsia="en-AU"/>
        </w:rPr>
        <w:t xml:space="preserve"> </w:t>
      </w:r>
      <w:r>
        <w:rPr>
          <w:sz w:val="22"/>
          <w:szCs w:val="22"/>
          <w:lang w:eastAsia="en-AU"/>
        </w:rPr>
        <w:t>the year measured in tonnes.</w:t>
      </w:r>
    </w:p>
    <w:p w14:paraId="130DE20F" w14:textId="77777777" w:rsidR="000570E2" w:rsidRDefault="000570E2" w:rsidP="000570E2">
      <w:pPr>
        <w:ind w:left="714"/>
        <w:rPr>
          <w:sz w:val="22"/>
          <w:szCs w:val="22"/>
        </w:rPr>
      </w:pPr>
    </w:p>
    <w:p w14:paraId="16A6188B" w14:textId="77777777" w:rsidR="000570E2" w:rsidRDefault="000570E2" w:rsidP="0007283C">
      <w:pPr>
        <w:autoSpaceDE w:val="0"/>
        <w:autoSpaceDN w:val="0"/>
        <w:adjustRightInd w:val="0"/>
        <w:ind w:left="714" w:hanging="714"/>
        <w:rPr>
          <w:sz w:val="22"/>
          <w:szCs w:val="22"/>
          <w:lang w:eastAsia="en-AU"/>
        </w:rPr>
      </w:pPr>
      <w:r w:rsidRPr="000570E2">
        <w:rPr>
          <w:i/>
          <w:color w:val="000000"/>
        </w:rPr>
        <w:t>Step 4</w:t>
      </w:r>
      <w:r w:rsidR="0083748E">
        <w:rPr>
          <w:i/>
          <w:iCs/>
          <w:sz w:val="24"/>
          <w:szCs w:val="24"/>
          <w:lang w:eastAsia="en-AU"/>
        </w:rPr>
        <w:t xml:space="preserve"> </w:t>
      </w:r>
      <w:r w:rsidR="0083748E">
        <w:rPr>
          <w:i/>
          <w:iCs/>
          <w:sz w:val="24"/>
          <w:szCs w:val="24"/>
          <w:lang w:eastAsia="en-AU"/>
        </w:rPr>
        <w:tab/>
      </w:r>
      <w:r w:rsidR="0083748E">
        <w:rPr>
          <w:sz w:val="22"/>
          <w:szCs w:val="22"/>
          <w:lang w:eastAsia="en-AU"/>
        </w:rPr>
        <w:t>Work out the carbon content in the amount of the increase in stocks of</w:t>
      </w:r>
      <w:r w:rsidR="0007283C">
        <w:rPr>
          <w:sz w:val="22"/>
          <w:szCs w:val="22"/>
          <w:lang w:eastAsia="en-AU"/>
        </w:rPr>
        <w:t xml:space="preserve"> </w:t>
      </w:r>
      <w:r w:rsidR="0083748E">
        <w:rPr>
          <w:sz w:val="22"/>
          <w:szCs w:val="22"/>
          <w:lang w:eastAsia="en-AU"/>
        </w:rPr>
        <w:t>inputs, products and waste by-products held within the boundary of the</w:t>
      </w:r>
      <w:r w:rsidR="0007283C">
        <w:rPr>
          <w:sz w:val="22"/>
          <w:szCs w:val="22"/>
          <w:lang w:eastAsia="en-AU"/>
        </w:rPr>
        <w:t xml:space="preserve"> </w:t>
      </w:r>
      <w:r w:rsidR="0083748E">
        <w:rPr>
          <w:sz w:val="22"/>
          <w:szCs w:val="22"/>
          <w:lang w:eastAsia="en-AU"/>
        </w:rPr>
        <w:t>activity during the year in tonnes of carbon as follows:</w:t>
      </w:r>
    </w:p>
    <w:p w14:paraId="7D083DB8" w14:textId="77777777" w:rsidR="000570E2" w:rsidRDefault="000570E2" w:rsidP="000570E2">
      <w:pPr>
        <w:autoSpaceDE w:val="0"/>
        <w:autoSpaceDN w:val="0"/>
        <w:adjustRightInd w:val="0"/>
        <w:ind w:left="714"/>
        <w:rPr>
          <w:sz w:val="22"/>
          <w:szCs w:val="22"/>
          <w:lang w:eastAsia="en-AU"/>
        </w:rPr>
      </w:pPr>
    </w:p>
    <w:p w14:paraId="4034C902" w14:textId="77777777" w:rsidR="000570E2" w:rsidRDefault="0083748E" w:rsidP="000570E2">
      <w:pPr>
        <w:autoSpaceDE w:val="0"/>
        <w:autoSpaceDN w:val="0"/>
        <w:adjustRightInd w:val="0"/>
        <w:ind w:left="714" w:firstLine="357"/>
        <w:rPr>
          <w:lang w:eastAsia="en-AU"/>
        </w:rPr>
      </w:pPr>
      <w:r>
        <w:rPr>
          <w:rFonts w:ascii="Symbol" w:hAnsi="Symbol" w:cs="Symbol"/>
          <w:sz w:val="30"/>
          <w:szCs w:val="30"/>
          <w:lang w:eastAsia="en-AU"/>
        </w:rPr>
        <w:t></w:t>
      </w:r>
      <w:r>
        <w:rPr>
          <w:sz w:val="16"/>
          <w:szCs w:val="16"/>
          <w:lang w:eastAsia="en-AU"/>
        </w:rPr>
        <w:t xml:space="preserve">i </w:t>
      </w:r>
      <w:r>
        <w:rPr>
          <w:sz w:val="30"/>
          <w:szCs w:val="30"/>
          <w:lang w:eastAsia="en-AU"/>
        </w:rPr>
        <w:t>CCF</w:t>
      </w:r>
      <w:r>
        <w:rPr>
          <w:lang w:eastAsia="en-AU"/>
        </w:rPr>
        <w:t xml:space="preserve">i </w:t>
      </w:r>
      <w:r>
        <w:rPr>
          <w:rFonts w:ascii="Symbol" w:hAnsi="Symbol" w:cs="Symbol"/>
          <w:sz w:val="30"/>
          <w:szCs w:val="30"/>
          <w:lang w:eastAsia="en-AU"/>
        </w:rPr>
        <w:t></w:t>
      </w:r>
      <w:r>
        <w:rPr>
          <w:rFonts w:ascii="Symbol" w:hAnsi="Symbol" w:cs="Symbol"/>
          <w:sz w:val="30"/>
          <w:szCs w:val="30"/>
          <w:lang w:eastAsia="en-AU"/>
        </w:rPr>
        <w:t></w:t>
      </w:r>
      <w:r>
        <w:rPr>
          <w:sz w:val="30"/>
          <w:szCs w:val="30"/>
          <w:lang w:eastAsia="en-AU"/>
        </w:rPr>
        <w:t>S</w:t>
      </w:r>
      <w:r>
        <w:rPr>
          <w:lang w:eastAsia="en-AU"/>
        </w:rPr>
        <w:t xml:space="preserve">qi </w:t>
      </w:r>
      <w:r>
        <w:rPr>
          <w:sz w:val="30"/>
          <w:szCs w:val="30"/>
          <w:lang w:eastAsia="en-AU"/>
        </w:rPr>
        <w:t xml:space="preserve">+ </w:t>
      </w:r>
      <w:r>
        <w:rPr>
          <w:rFonts w:ascii="Symbol" w:hAnsi="Symbol" w:cs="Symbol"/>
          <w:sz w:val="30"/>
          <w:szCs w:val="30"/>
          <w:lang w:eastAsia="en-AU"/>
        </w:rPr>
        <w:t></w:t>
      </w:r>
      <w:r>
        <w:rPr>
          <w:lang w:eastAsia="en-AU"/>
        </w:rPr>
        <w:t xml:space="preserve">p </w:t>
      </w:r>
      <w:r>
        <w:rPr>
          <w:sz w:val="30"/>
          <w:szCs w:val="30"/>
          <w:lang w:eastAsia="en-AU"/>
        </w:rPr>
        <w:t>CCF</w:t>
      </w:r>
      <w:r>
        <w:rPr>
          <w:lang w:eastAsia="en-AU"/>
        </w:rPr>
        <w:t xml:space="preserve">p </w:t>
      </w:r>
      <w:r>
        <w:rPr>
          <w:rFonts w:ascii="Symbol" w:hAnsi="Symbol" w:cs="Symbol"/>
          <w:sz w:val="30"/>
          <w:szCs w:val="30"/>
          <w:lang w:eastAsia="en-AU"/>
        </w:rPr>
        <w:t></w:t>
      </w:r>
      <w:r>
        <w:rPr>
          <w:rFonts w:ascii="Symbol" w:hAnsi="Symbol" w:cs="Symbol"/>
          <w:sz w:val="30"/>
          <w:szCs w:val="30"/>
          <w:lang w:eastAsia="en-AU"/>
        </w:rPr>
        <w:t></w:t>
      </w:r>
      <w:r>
        <w:rPr>
          <w:sz w:val="30"/>
          <w:szCs w:val="30"/>
          <w:lang w:eastAsia="en-AU"/>
        </w:rPr>
        <w:t>S</w:t>
      </w:r>
      <w:r>
        <w:rPr>
          <w:lang w:eastAsia="en-AU"/>
        </w:rPr>
        <w:t xml:space="preserve">ap </w:t>
      </w:r>
      <w:r>
        <w:rPr>
          <w:sz w:val="30"/>
          <w:szCs w:val="30"/>
          <w:lang w:eastAsia="en-AU"/>
        </w:rPr>
        <w:t xml:space="preserve">+ </w:t>
      </w:r>
      <w:r>
        <w:rPr>
          <w:rFonts w:ascii="Symbol" w:hAnsi="Symbol" w:cs="Symbol"/>
          <w:sz w:val="30"/>
          <w:szCs w:val="30"/>
          <w:lang w:eastAsia="en-AU"/>
        </w:rPr>
        <w:t></w:t>
      </w:r>
      <w:r>
        <w:rPr>
          <w:lang w:eastAsia="en-AU"/>
        </w:rPr>
        <w:t xml:space="preserve">r </w:t>
      </w:r>
      <w:r>
        <w:rPr>
          <w:sz w:val="30"/>
          <w:szCs w:val="30"/>
          <w:lang w:eastAsia="en-AU"/>
        </w:rPr>
        <w:t>CCF</w:t>
      </w:r>
      <w:r>
        <w:rPr>
          <w:lang w:eastAsia="en-AU"/>
        </w:rPr>
        <w:t>r</w:t>
      </w:r>
      <w:r>
        <w:rPr>
          <w:rFonts w:ascii="Symbol" w:hAnsi="Symbol" w:cs="Symbol"/>
          <w:sz w:val="30"/>
          <w:szCs w:val="30"/>
          <w:lang w:eastAsia="en-AU"/>
        </w:rPr>
        <w:t></w:t>
      </w:r>
      <w:r>
        <w:rPr>
          <w:rFonts w:ascii="Symbol" w:hAnsi="Symbol" w:cs="Symbol"/>
          <w:sz w:val="30"/>
          <w:szCs w:val="30"/>
          <w:lang w:eastAsia="en-AU"/>
        </w:rPr>
        <w:t></w:t>
      </w:r>
      <w:r>
        <w:rPr>
          <w:sz w:val="30"/>
          <w:szCs w:val="30"/>
          <w:lang w:eastAsia="en-AU"/>
        </w:rPr>
        <w:t>S</w:t>
      </w:r>
      <w:r>
        <w:rPr>
          <w:lang w:eastAsia="en-AU"/>
        </w:rPr>
        <w:t>yr</w:t>
      </w:r>
    </w:p>
    <w:p w14:paraId="441033A8" w14:textId="77777777" w:rsidR="000570E2" w:rsidRDefault="0083748E" w:rsidP="000570E2">
      <w:pPr>
        <w:autoSpaceDE w:val="0"/>
        <w:autoSpaceDN w:val="0"/>
        <w:adjustRightInd w:val="0"/>
        <w:ind w:left="357" w:firstLine="357"/>
        <w:rPr>
          <w:sz w:val="22"/>
          <w:szCs w:val="22"/>
          <w:lang w:eastAsia="en-AU"/>
        </w:rPr>
      </w:pPr>
      <w:r>
        <w:rPr>
          <w:sz w:val="22"/>
          <w:szCs w:val="22"/>
          <w:lang w:eastAsia="en-AU"/>
        </w:rPr>
        <w:t>where:</w:t>
      </w:r>
    </w:p>
    <w:p w14:paraId="3C9A9D62" w14:textId="77777777" w:rsidR="000263C1" w:rsidRDefault="000263C1" w:rsidP="000570E2">
      <w:pPr>
        <w:autoSpaceDE w:val="0"/>
        <w:autoSpaceDN w:val="0"/>
        <w:adjustRightInd w:val="0"/>
        <w:ind w:left="357" w:firstLine="357"/>
        <w:rPr>
          <w:sz w:val="22"/>
          <w:szCs w:val="22"/>
          <w:lang w:eastAsia="en-AU"/>
        </w:rPr>
      </w:pPr>
    </w:p>
    <w:p w14:paraId="12947AEB" w14:textId="77777777" w:rsidR="000570E2" w:rsidRDefault="0083748E" w:rsidP="000263C1">
      <w:pPr>
        <w:autoSpaceDE w:val="0"/>
        <w:autoSpaceDN w:val="0"/>
        <w:adjustRightInd w:val="0"/>
        <w:spacing w:after="120"/>
        <w:ind w:left="357" w:firstLine="357"/>
        <w:rPr>
          <w:sz w:val="22"/>
          <w:szCs w:val="22"/>
          <w:lang w:eastAsia="en-AU"/>
        </w:rPr>
      </w:pPr>
      <w:r>
        <w:rPr>
          <w:rFonts w:ascii="Symbol" w:hAnsi="Symbol" w:cs="Symbol"/>
          <w:sz w:val="23"/>
          <w:szCs w:val="23"/>
          <w:lang w:eastAsia="en-AU"/>
        </w:rPr>
        <w:t></w:t>
      </w:r>
      <w:r>
        <w:rPr>
          <w:rFonts w:ascii="Symbol" w:hAnsi="Symbol" w:cs="Symbol"/>
          <w:sz w:val="23"/>
          <w:szCs w:val="23"/>
          <w:lang w:eastAsia="en-AU"/>
        </w:rPr>
        <w:t></w:t>
      </w:r>
      <w:r>
        <w:rPr>
          <w:b/>
          <w:bCs/>
          <w:i/>
          <w:iCs/>
          <w:sz w:val="14"/>
          <w:szCs w:val="14"/>
          <w:lang w:eastAsia="en-AU"/>
        </w:rPr>
        <w:t xml:space="preserve">i </w:t>
      </w:r>
      <w:r>
        <w:rPr>
          <w:sz w:val="22"/>
          <w:szCs w:val="22"/>
          <w:lang w:eastAsia="en-AU"/>
        </w:rPr>
        <w:t>has the same meaning as in step 1.</w:t>
      </w:r>
    </w:p>
    <w:p w14:paraId="653C3354" w14:textId="77777777" w:rsidR="000570E2" w:rsidRDefault="0083748E" w:rsidP="000263C1">
      <w:pPr>
        <w:autoSpaceDE w:val="0"/>
        <w:autoSpaceDN w:val="0"/>
        <w:adjustRightInd w:val="0"/>
        <w:spacing w:after="120"/>
        <w:ind w:left="357" w:firstLine="357"/>
        <w:rPr>
          <w:sz w:val="22"/>
          <w:szCs w:val="22"/>
          <w:lang w:eastAsia="en-AU"/>
        </w:rPr>
      </w:pPr>
      <w:r>
        <w:rPr>
          <w:b/>
          <w:bCs/>
          <w:i/>
          <w:iCs/>
          <w:sz w:val="22"/>
          <w:szCs w:val="22"/>
          <w:lang w:eastAsia="en-AU"/>
        </w:rPr>
        <w:t>CCF</w:t>
      </w:r>
      <w:r>
        <w:rPr>
          <w:b/>
          <w:bCs/>
          <w:i/>
          <w:iCs/>
          <w:sz w:val="14"/>
          <w:szCs w:val="14"/>
          <w:lang w:eastAsia="en-AU"/>
        </w:rPr>
        <w:t xml:space="preserve">i </w:t>
      </w:r>
      <w:r>
        <w:rPr>
          <w:sz w:val="22"/>
          <w:szCs w:val="22"/>
          <w:lang w:eastAsia="en-AU"/>
        </w:rPr>
        <w:t>has the same meaning as in step 1.</w:t>
      </w:r>
    </w:p>
    <w:p w14:paraId="518A12ED" w14:textId="77777777" w:rsidR="000570E2" w:rsidRDefault="0083748E" w:rsidP="000263C1">
      <w:pPr>
        <w:autoSpaceDE w:val="0"/>
        <w:autoSpaceDN w:val="0"/>
        <w:adjustRightInd w:val="0"/>
        <w:spacing w:after="120"/>
        <w:ind w:left="357" w:firstLine="357"/>
        <w:rPr>
          <w:sz w:val="22"/>
          <w:szCs w:val="22"/>
          <w:lang w:eastAsia="en-AU"/>
        </w:rPr>
      </w:pPr>
      <w:r>
        <w:rPr>
          <w:rFonts w:ascii="Times New Roman,BoldItalic" w:hAnsi="Times New Roman,BoldItalic" w:cs="Times New Roman,BoldItalic"/>
          <w:b/>
          <w:bCs/>
          <w:i/>
          <w:iCs/>
          <w:sz w:val="22"/>
          <w:szCs w:val="22"/>
          <w:lang w:eastAsia="en-AU"/>
        </w:rPr>
        <w:t>ΔS</w:t>
      </w:r>
      <w:r>
        <w:rPr>
          <w:b/>
          <w:bCs/>
          <w:i/>
          <w:iCs/>
          <w:sz w:val="14"/>
          <w:szCs w:val="14"/>
          <w:lang w:eastAsia="en-AU"/>
        </w:rPr>
        <w:t xml:space="preserve">qi </w:t>
      </w:r>
      <w:r>
        <w:rPr>
          <w:sz w:val="22"/>
          <w:szCs w:val="22"/>
          <w:lang w:eastAsia="en-AU"/>
        </w:rPr>
        <w:t>is the increase in stocks of fuel type (</w:t>
      </w:r>
      <w:r>
        <w:rPr>
          <w:b/>
          <w:bCs/>
          <w:i/>
          <w:iCs/>
          <w:sz w:val="22"/>
          <w:szCs w:val="22"/>
          <w:lang w:eastAsia="en-AU"/>
        </w:rPr>
        <w:t>i</w:t>
      </w:r>
      <w:r>
        <w:rPr>
          <w:sz w:val="22"/>
          <w:szCs w:val="22"/>
          <w:lang w:eastAsia="en-AU"/>
        </w:rPr>
        <w:t>) for the activity and held</w:t>
      </w:r>
    </w:p>
    <w:p w14:paraId="39050024" w14:textId="77777777" w:rsidR="000570E2" w:rsidRDefault="0083748E" w:rsidP="000263C1">
      <w:pPr>
        <w:autoSpaceDE w:val="0"/>
        <w:autoSpaceDN w:val="0"/>
        <w:adjustRightInd w:val="0"/>
        <w:spacing w:after="120"/>
        <w:ind w:left="357" w:firstLine="357"/>
        <w:rPr>
          <w:sz w:val="22"/>
          <w:szCs w:val="22"/>
          <w:lang w:eastAsia="en-AU"/>
        </w:rPr>
      </w:pPr>
      <w:r>
        <w:rPr>
          <w:sz w:val="22"/>
          <w:szCs w:val="22"/>
          <w:lang w:eastAsia="en-AU"/>
        </w:rPr>
        <w:t>within the boundary of the activity during the year measured in tonnes.</w:t>
      </w:r>
    </w:p>
    <w:p w14:paraId="0FE32A17" w14:textId="77777777" w:rsidR="000570E2" w:rsidRDefault="0083748E" w:rsidP="000263C1">
      <w:pPr>
        <w:autoSpaceDE w:val="0"/>
        <w:autoSpaceDN w:val="0"/>
        <w:adjustRightInd w:val="0"/>
        <w:spacing w:after="120"/>
        <w:ind w:left="357" w:firstLine="357"/>
        <w:rPr>
          <w:sz w:val="22"/>
          <w:szCs w:val="22"/>
          <w:lang w:eastAsia="en-AU"/>
        </w:rPr>
      </w:pPr>
      <w:r>
        <w:rPr>
          <w:rFonts w:ascii="Symbol" w:hAnsi="Symbol" w:cs="Symbol"/>
          <w:sz w:val="23"/>
          <w:szCs w:val="23"/>
          <w:lang w:eastAsia="en-AU"/>
        </w:rPr>
        <w:t></w:t>
      </w:r>
      <w:r>
        <w:rPr>
          <w:rFonts w:ascii="Symbol" w:hAnsi="Symbol" w:cs="Symbol"/>
          <w:sz w:val="23"/>
          <w:szCs w:val="23"/>
          <w:lang w:eastAsia="en-AU"/>
        </w:rPr>
        <w:t></w:t>
      </w:r>
      <w:r>
        <w:rPr>
          <w:b/>
          <w:bCs/>
          <w:i/>
          <w:iCs/>
          <w:sz w:val="14"/>
          <w:szCs w:val="14"/>
          <w:lang w:eastAsia="en-AU"/>
        </w:rPr>
        <w:t xml:space="preserve">p </w:t>
      </w:r>
      <w:r>
        <w:rPr>
          <w:sz w:val="22"/>
          <w:szCs w:val="22"/>
          <w:lang w:eastAsia="en-AU"/>
        </w:rPr>
        <w:t>has the same meaning as in step 2.</w:t>
      </w:r>
    </w:p>
    <w:p w14:paraId="18D27300" w14:textId="77777777" w:rsidR="000570E2" w:rsidRDefault="0083748E" w:rsidP="000263C1">
      <w:pPr>
        <w:autoSpaceDE w:val="0"/>
        <w:autoSpaceDN w:val="0"/>
        <w:adjustRightInd w:val="0"/>
        <w:spacing w:after="120"/>
        <w:ind w:left="357" w:firstLine="357"/>
        <w:rPr>
          <w:sz w:val="22"/>
          <w:szCs w:val="22"/>
          <w:lang w:eastAsia="en-AU"/>
        </w:rPr>
      </w:pPr>
      <w:r>
        <w:rPr>
          <w:b/>
          <w:bCs/>
          <w:i/>
          <w:iCs/>
          <w:sz w:val="22"/>
          <w:szCs w:val="22"/>
          <w:lang w:eastAsia="en-AU"/>
        </w:rPr>
        <w:t>CCF</w:t>
      </w:r>
      <w:r>
        <w:rPr>
          <w:b/>
          <w:bCs/>
          <w:i/>
          <w:iCs/>
          <w:sz w:val="14"/>
          <w:szCs w:val="14"/>
          <w:lang w:eastAsia="en-AU"/>
        </w:rPr>
        <w:t xml:space="preserve">p </w:t>
      </w:r>
      <w:r>
        <w:rPr>
          <w:sz w:val="22"/>
          <w:szCs w:val="22"/>
          <w:lang w:eastAsia="en-AU"/>
        </w:rPr>
        <w:t>has the same meaning as in step 2.</w:t>
      </w:r>
    </w:p>
    <w:p w14:paraId="5C9274C8" w14:textId="77777777" w:rsidR="000570E2" w:rsidRDefault="0083748E" w:rsidP="000263C1">
      <w:pPr>
        <w:autoSpaceDE w:val="0"/>
        <w:autoSpaceDN w:val="0"/>
        <w:adjustRightInd w:val="0"/>
        <w:spacing w:after="120"/>
        <w:ind w:left="357" w:firstLine="357"/>
        <w:rPr>
          <w:sz w:val="22"/>
          <w:szCs w:val="22"/>
          <w:lang w:eastAsia="en-AU"/>
        </w:rPr>
      </w:pPr>
      <w:r>
        <w:rPr>
          <w:rFonts w:ascii="Times New Roman,BoldItalic" w:hAnsi="Times New Roman,BoldItalic" w:cs="Times New Roman,BoldItalic"/>
          <w:b/>
          <w:bCs/>
          <w:i/>
          <w:iCs/>
          <w:sz w:val="22"/>
          <w:szCs w:val="22"/>
          <w:lang w:eastAsia="en-AU"/>
        </w:rPr>
        <w:t>ΔS</w:t>
      </w:r>
      <w:r>
        <w:rPr>
          <w:b/>
          <w:bCs/>
          <w:i/>
          <w:iCs/>
          <w:sz w:val="14"/>
          <w:szCs w:val="14"/>
          <w:lang w:eastAsia="en-AU"/>
        </w:rPr>
        <w:t xml:space="preserve">ap </w:t>
      </w:r>
      <w:r>
        <w:rPr>
          <w:sz w:val="22"/>
          <w:szCs w:val="22"/>
          <w:lang w:eastAsia="en-AU"/>
        </w:rPr>
        <w:t>is the increase in stocks of product types (</w:t>
      </w:r>
      <w:r>
        <w:rPr>
          <w:b/>
          <w:bCs/>
          <w:i/>
          <w:iCs/>
          <w:sz w:val="22"/>
          <w:szCs w:val="22"/>
          <w:lang w:eastAsia="en-AU"/>
        </w:rPr>
        <w:t xml:space="preserve">p) </w:t>
      </w:r>
      <w:r>
        <w:rPr>
          <w:sz w:val="22"/>
          <w:szCs w:val="22"/>
          <w:lang w:eastAsia="en-AU"/>
        </w:rPr>
        <w:t>produced by the</w:t>
      </w:r>
    </w:p>
    <w:p w14:paraId="7996F5D1" w14:textId="77777777" w:rsidR="000570E2" w:rsidRDefault="0083748E" w:rsidP="000263C1">
      <w:pPr>
        <w:autoSpaceDE w:val="0"/>
        <w:autoSpaceDN w:val="0"/>
        <w:adjustRightInd w:val="0"/>
        <w:spacing w:after="120"/>
        <w:ind w:left="357" w:firstLine="357"/>
        <w:rPr>
          <w:sz w:val="22"/>
          <w:szCs w:val="22"/>
          <w:lang w:eastAsia="en-AU"/>
        </w:rPr>
      </w:pPr>
      <w:r>
        <w:rPr>
          <w:sz w:val="22"/>
          <w:szCs w:val="22"/>
          <w:lang w:eastAsia="en-AU"/>
        </w:rPr>
        <w:t>activity and held within the boundary of the activity during the year</w:t>
      </w:r>
    </w:p>
    <w:p w14:paraId="2F6158F9" w14:textId="77777777" w:rsidR="000570E2" w:rsidRDefault="0083748E" w:rsidP="000263C1">
      <w:pPr>
        <w:autoSpaceDE w:val="0"/>
        <w:autoSpaceDN w:val="0"/>
        <w:adjustRightInd w:val="0"/>
        <w:spacing w:after="120"/>
        <w:ind w:left="357" w:firstLine="357"/>
        <w:rPr>
          <w:sz w:val="22"/>
          <w:szCs w:val="22"/>
          <w:lang w:eastAsia="en-AU"/>
        </w:rPr>
      </w:pPr>
      <w:r>
        <w:rPr>
          <w:sz w:val="22"/>
          <w:szCs w:val="22"/>
          <w:lang w:eastAsia="en-AU"/>
        </w:rPr>
        <w:t>measured in tonnes.</w:t>
      </w:r>
    </w:p>
    <w:p w14:paraId="449F20A6" w14:textId="77777777" w:rsidR="000570E2" w:rsidRDefault="0083748E" w:rsidP="000263C1">
      <w:pPr>
        <w:autoSpaceDE w:val="0"/>
        <w:autoSpaceDN w:val="0"/>
        <w:adjustRightInd w:val="0"/>
        <w:spacing w:after="120"/>
        <w:ind w:left="357" w:firstLine="357"/>
        <w:rPr>
          <w:sz w:val="22"/>
          <w:szCs w:val="22"/>
          <w:lang w:eastAsia="en-AU"/>
        </w:rPr>
      </w:pPr>
      <w:r>
        <w:rPr>
          <w:rFonts w:ascii="Symbol" w:hAnsi="Symbol" w:cs="Symbol"/>
          <w:sz w:val="23"/>
          <w:szCs w:val="23"/>
          <w:lang w:eastAsia="en-AU"/>
        </w:rPr>
        <w:t></w:t>
      </w:r>
      <w:r>
        <w:rPr>
          <w:rFonts w:ascii="Symbol" w:hAnsi="Symbol" w:cs="Symbol"/>
          <w:sz w:val="23"/>
          <w:szCs w:val="23"/>
          <w:lang w:eastAsia="en-AU"/>
        </w:rPr>
        <w:t></w:t>
      </w:r>
      <w:r>
        <w:rPr>
          <w:b/>
          <w:bCs/>
          <w:i/>
          <w:iCs/>
          <w:sz w:val="14"/>
          <w:szCs w:val="14"/>
          <w:lang w:eastAsia="en-AU"/>
        </w:rPr>
        <w:t xml:space="preserve">r </w:t>
      </w:r>
      <w:r>
        <w:rPr>
          <w:sz w:val="22"/>
          <w:szCs w:val="22"/>
          <w:lang w:eastAsia="en-AU"/>
        </w:rPr>
        <w:t>has the same meaning as in step 3.</w:t>
      </w:r>
    </w:p>
    <w:p w14:paraId="27B45221" w14:textId="77777777" w:rsidR="000570E2" w:rsidRDefault="0083748E" w:rsidP="000263C1">
      <w:pPr>
        <w:autoSpaceDE w:val="0"/>
        <w:autoSpaceDN w:val="0"/>
        <w:adjustRightInd w:val="0"/>
        <w:spacing w:after="120"/>
        <w:ind w:left="357" w:firstLine="357"/>
        <w:rPr>
          <w:sz w:val="22"/>
          <w:szCs w:val="22"/>
          <w:lang w:eastAsia="en-AU"/>
        </w:rPr>
      </w:pPr>
      <w:r>
        <w:rPr>
          <w:b/>
          <w:bCs/>
          <w:i/>
          <w:iCs/>
          <w:sz w:val="22"/>
          <w:szCs w:val="22"/>
          <w:lang w:eastAsia="en-AU"/>
        </w:rPr>
        <w:t>CCF</w:t>
      </w:r>
      <w:r>
        <w:rPr>
          <w:b/>
          <w:bCs/>
          <w:i/>
          <w:iCs/>
          <w:sz w:val="14"/>
          <w:szCs w:val="14"/>
          <w:lang w:eastAsia="en-AU"/>
        </w:rPr>
        <w:t xml:space="preserve">r </w:t>
      </w:r>
      <w:r>
        <w:rPr>
          <w:sz w:val="22"/>
          <w:szCs w:val="22"/>
          <w:lang w:eastAsia="en-AU"/>
        </w:rPr>
        <w:t>has the same meaning as in step 3.</w:t>
      </w:r>
    </w:p>
    <w:p w14:paraId="4BBF7CF3" w14:textId="77777777" w:rsidR="000570E2" w:rsidRDefault="0083748E" w:rsidP="000263C1">
      <w:pPr>
        <w:autoSpaceDE w:val="0"/>
        <w:autoSpaceDN w:val="0"/>
        <w:adjustRightInd w:val="0"/>
        <w:spacing w:after="120"/>
        <w:ind w:left="357" w:firstLine="357"/>
        <w:rPr>
          <w:sz w:val="22"/>
          <w:szCs w:val="22"/>
          <w:lang w:eastAsia="en-AU"/>
        </w:rPr>
      </w:pPr>
      <w:r>
        <w:rPr>
          <w:rFonts w:ascii="Times New Roman,BoldItalic" w:hAnsi="Times New Roman,BoldItalic" w:cs="Times New Roman,BoldItalic"/>
          <w:b/>
          <w:bCs/>
          <w:i/>
          <w:iCs/>
          <w:sz w:val="22"/>
          <w:szCs w:val="22"/>
          <w:lang w:eastAsia="en-AU"/>
        </w:rPr>
        <w:t>ΔS</w:t>
      </w:r>
      <w:r>
        <w:rPr>
          <w:b/>
          <w:bCs/>
          <w:i/>
          <w:iCs/>
          <w:sz w:val="14"/>
          <w:szCs w:val="14"/>
          <w:lang w:eastAsia="en-AU"/>
        </w:rPr>
        <w:t xml:space="preserve">yr </w:t>
      </w:r>
      <w:r>
        <w:rPr>
          <w:sz w:val="22"/>
          <w:szCs w:val="22"/>
          <w:lang w:eastAsia="en-AU"/>
        </w:rPr>
        <w:t>is the increase in stocks of waste by-product types (</w:t>
      </w:r>
      <w:r>
        <w:rPr>
          <w:b/>
          <w:bCs/>
          <w:i/>
          <w:iCs/>
          <w:sz w:val="22"/>
          <w:szCs w:val="22"/>
          <w:lang w:eastAsia="en-AU"/>
        </w:rPr>
        <w:t>r</w:t>
      </w:r>
      <w:r>
        <w:rPr>
          <w:sz w:val="22"/>
          <w:szCs w:val="22"/>
          <w:lang w:eastAsia="en-AU"/>
        </w:rPr>
        <w:t>) produced</w:t>
      </w:r>
    </w:p>
    <w:p w14:paraId="0C2962A1" w14:textId="77777777" w:rsidR="000570E2" w:rsidRDefault="0083748E" w:rsidP="000263C1">
      <w:pPr>
        <w:autoSpaceDE w:val="0"/>
        <w:autoSpaceDN w:val="0"/>
        <w:adjustRightInd w:val="0"/>
        <w:spacing w:after="120"/>
        <w:ind w:left="357" w:firstLine="357"/>
        <w:rPr>
          <w:sz w:val="22"/>
          <w:szCs w:val="22"/>
          <w:lang w:eastAsia="en-AU"/>
        </w:rPr>
      </w:pPr>
      <w:r>
        <w:rPr>
          <w:sz w:val="22"/>
          <w:szCs w:val="22"/>
          <w:lang w:eastAsia="en-AU"/>
        </w:rPr>
        <w:t>from the operation of the activity and held within the boundary of the</w:t>
      </w:r>
    </w:p>
    <w:p w14:paraId="2AB960A1" w14:textId="77777777" w:rsidR="000570E2" w:rsidRDefault="0083748E" w:rsidP="000263C1">
      <w:pPr>
        <w:spacing w:after="120"/>
        <w:ind w:left="714"/>
        <w:rPr>
          <w:sz w:val="22"/>
          <w:szCs w:val="22"/>
        </w:rPr>
      </w:pPr>
      <w:r>
        <w:rPr>
          <w:sz w:val="22"/>
          <w:szCs w:val="22"/>
          <w:lang w:eastAsia="en-AU"/>
        </w:rPr>
        <w:t>activity during the year measured in tonnes.</w:t>
      </w:r>
    </w:p>
    <w:p w14:paraId="24BCC56D" w14:textId="77777777" w:rsidR="000570E2" w:rsidRDefault="000570E2" w:rsidP="000570E2">
      <w:pPr>
        <w:ind w:left="0"/>
        <w:rPr>
          <w:sz w:val="22"/>
          <w:szCs w:val="22"/>
        </w:rPr>
      </w:pPr>
    </w:p>
    <w:p w14:paraId="78EE9E44" w14:textId="77777777" w:rsidR="000570E2" w:rsidRDefault="000570E2" w:rsidP="000570E2">
      <w:pPr>
        <w:pStyle w:val="Default"/>
        <w:spacing w:after="60"/>
        <w:ind w:left="714" w:hanging="714"/>
        <w:rPr>
          <w:rFonts w:ascii="Times New Roman" w:hAnsi="Times New Roman" w:cs="Times New Roman"/>
          <w:sz w:val="22"/>
          <w:szCs w:val="22"/>
        </w:rPr>
      </w:pPr>
      <w:r w:rsidRPr="000570E2">
        <w:rPr>
          <w:rFonts w:ascii="Times New Roman" w:hAnsi="Times New Roman" w:cs="Times New Roman"/>
          <w:i/>
          <w:sz w:val="20"/>
          <w:szCs w:val="20"/>
          <w:lang w:eastAsia="en-US"/>
        </w:rPr>
        <w:t>Step 5</w:t>
      </w:r>
      <w:r w:rsidR="0083748E" w:rsidRPr="0083748E">
        <w:rPr>
          <w:i/>
          <w:iCs/>
          <w:sz w:val="23"/>
          <w:szCs w:val="23"/>
        </w:rPr>
        <w:t xml:space="preserve"> </w:t>
      </w:r>
      <w:r w:rsidR="0083748E">
        <w:rPr>
          <w:i/>
          <w:iCs/>
          <w:sz w:val="23"/>
          <w:szCs w:val="23"/>
        </w:rPr>
        <w:tab/>
      </w:r>
      <w:r w:rsidR="0083748E" w:rsidRPr="0083748E">
        <w:rPr>
          <w:rFonts w:ascii="Times New Roman" w:hAnsi="Times New Roman" w:cs="Times New Roman"/>
          <w:sz w:val="22"/>
          <w:szCs w:val="22"/>
        </w:rPr>
        <w:t>Work out the emissions of carbon dioxide released from the operation of the activity during the year measured in CO</w:t>
      </w:r>
      <w:r w:rsidR="0083748E" w:rsidRPr="0083748E">
        <w:rPr>
          <w:rFonts w:ascii="Times New Roman" w:hAnsi="Times New Roman" w:cs="Times New Roman"/>
          <w:sz w:val="14"/>
          <w:szCs w:val="14"/>
        </w:rPr>
        <w:t>2</w:t>
      </w:r>
      <w:r w:rsidR="0083748E" w:rsidRPr="0083748E">
        <w:rPr>
          <w:rFonts w:ascii="Times New Roman" w:hAnsi="Times New Roman" w:cs="Times New Roman"/>
          <w:sz w:val="22"/>
          <w:szCs w:val="22"/>
        </w:rPr>
        <w:t xml:space="preserve">-e tonnes as follows: </w:t>
      </w:r>
    </w:p>
    <w:p w14:paraId="753A9554" w14:textId="77777777" w:rsidR="000570E2" w:rsidRDefault="0083748E" w:rsidP="000570E2">
      <w:pPr>
        <w:autoSpaceDE w:val="0"/>
        <w:autoSpaceDN w:val="0"/>
        <w:adjustRightInd w:val="0"/>
        <w:spacing w:after="60"/>
        <w:ind w:left="1072"/>
        <w:rPr>
          <w:color w:val="000000"/>
          <w:sz w:val="22"/>
          <w:szCs w:val="22"/>
          <w:lang w:eastAsia="en-AU"/>
        </w:rPr>
      </w:pPr>
      <w:r w:rsidRPr="0083748E">
        <w:rPr>
          <w:color w:val="000000"/>
          <w:sz w:val="22"/>
          <w:szCs w:val="22"/>
          <w:lang w:eastAsia="en-AU"/>
        </w:rPr>
        <w:t>(a) add the amounts worked out under steps 2, 3 and 4 to work out a new amount (</w:t>
      </w:r>
      <w:r w:rsidRPr="0083748E">
        <w:rPr>
          <w:b/>
          <w:bCs/>
          <w:i/>
          <w:iCs/>
          <w:color w:val="000000"/>
          <w:sz w:val="22"/>
          <w:szCs w:val="22"/>
          <w:lang w:eastAsia="en-AU"/>
        </w:rPr>
        <w:t>amount A</w:t>
      </w:r>
      <w:r w:rsidRPr="0083748E">
        <w:rPr>
          <w:color w:val="000000"/>
          <w:sz w:val="22"/>
          <w:szCs w:val="22"/>
          <w:lang w:eastAsia="en-AU"/>
        </w:rPr>
        <w:t xml:space="preserve">); </w:t>
      </w:r>
    </w:p>
    <w:p w14:paraId="637FB6D1" w14:textId="77777777" w:rsidR="000570E2" w:rsidRDefault="0083748E" w:rsidP="000570E2">
      <w:pPr>
        <w:autoSpaceDE w:val="0"/>
        <w:autoSpaceDN w:val="0"/>
        <w:adjustRightInd w:val="0"/>
        <w:spacing w:after="60"/>
        <w:ind w:left="1072"/>
        <w:rPr>
          <w:color w:val="000000"/>
          <w:sz w:val="22"/>
          <w:szCs w:val="22"/>
          <w:lang w:eastAsia="en-AU"/>
        </w:rPr>
      </w:pPr>
      <w:r w:rsidRPr="0083748E">
        <w:rPr>
          <w:color w:val="000000"/>
          <w:sz w:val="22"/>
          <w:szCs w:val="22"/>
          <w:lang w:eastAsia="en-AU"/>
        </w:rPr>
        <w:t>(b) subtract amount A from the amount worked out under step 1 to work out a new amount (</w:t>
      </w:r>
      <w:r w:rsidRPr="0083748E">
        <w:rPr>
          <w:b/>
          <w:bCs/>
          <w:i/>
          <w:iCs/>
          <w:color w:val="000000"/>
          <w:sz w:val="22"/>
          <w:szCs w:val="22"/>
          <w:lang w:eastAsia="en-AU"/>
        </w:rPr>
        <w:t>amount B</w:t>
      </w:r>
      <w:r w:rsidRPr="0083748E">
        <w:rPr>
          <w:color w:val="000000"/>
          <w:sz w:val="22"/>
          <w:szCs w:val="22"/>
          <w:lang w:eastAsia="en-AU"/>
        </w:rPr>
        <w:t xml:space="preserve">); </w:t>
      </w:r>
    </w:p>
    <w:p w14:paraId="35956125" w14:textId="77777777" w:rsidR="000570E2" w:rsidRDefault="0083748E" w:rsidP="000570E2">
      <w:pPr>
        <w:autoSpaceDE w:val="0"/>
        <w:autoSpaceDN w:val="0"/>
        <w:adjustRightInd w:val="0"/>
        <w:ind w:left="1071"/>
        <w:rPr>
          <w:color w:val="000000"/>
          <w:sz w:val="23"/>
          <w:szCs w:val="23"/>
          <w:lang w:eastAsia="en-AU"/>
        </w:rPr>
      </w:pPr>
      <w:r w:rsidRPr="0083748E">
        <w:rPr>
          <w:color w:val="000000"/>
          <w:sz w:val="22"/>
          <w:szCs w:val="22"/>
          <w:lang w:eastAsia="en-AU"/>
        </w:rPr>
        <w:t xml:space="preserve">(c) multiply amount B by 3.664 to work out the amount of emissions released from the operation of the activity during a year. </w:t>
      </w:r>
    </w:p>
    <w:p w14:paraId="3EBC8D87" w14:textId="77777777" w:rsidR="000570E2" w:rsidRDefault="000570E2" w:rsidP="000570E2">
      <w:pPr>
        <w:ind w:left="0"/>
        <w:rPr>
          <w:sz w:val="22"/>
          <w:szCs w:val="22"/>
        </w:rPr>
      </w:pPr>
    </w:p>
    <w:p w14:paraId="628E39A6" w14:textId="77777777" w:rsidR="001E621A" w:rsidRDefault="001E621A">
      <w:pPr>
        <w:ind w:left="0"/>
        <w:rPr>
          <w:rFonts w:ascii="Arial" w:hAnsi="Arial"/>
          <w:sz w:val="18"/>
        </w:rPr>
      </w:pPr>
    </w:p>
    <w:p w14:paraId="05468BB2" w14:textId="77777777" w:rsidR="00AC7BB1" w:rsidRDefault="00AC7BB1">
      <w:pPr>
        <w:pStyle w:val="Heading2"/>
        <w:tabs>
          <w:tab w:val="left" w:pos="0"/>
          <w:tab w:val="left" w:pos="993"/>
        </w:tabs>
        <w:spacing w:before="120" w:after="0" w:line="312" w:lineRule="auto"/>
        <w:ind w:left="578" w:hanging="578"/>
        <w:rPr>
          <w:rFonts w:ascii="Arial" w:hAnsi="Arial"/>
        </w:rPr>
      </w:pPr>
      <w:r>
        <w:rPr>
          <w:rFonts w:ascii="Arial" w:hAnsi="Arial"/>
        </w:rPr>
        <w:t>Sodium Cyanide</w:t>
      </w:r>
    </w:p>
    <w:p w14:paraId="7E69DED6" w14:textId="77777777" w:rsidR="00345E7B" w:rsidRDefault="00345E7B" w:rsidP="00345E7B">
      <w:pPr>
        <w:pStyle w:val="BodyText"/>
        <w:spacing w:before="120" w:after="0" w:line="312" w:lineRule="auto"/>
        <w:ind w:left="0"/>
        <w:rPr>
          <w:rFonts w:ascii="Arial" w:hAnsi="Arial" w:cs="Arial"/>
          <w:lang w:eastAsia="en-AU"/>
        </w:rPr>
      </w:pPr>
      <w:r w:rsidRPr="00345E7B">
        <w:rPr>
          <w:rFonts w:ascii="Arial" w:hAnsi="Arial" w:cs="Arial"/>
          <w:lang w:eastAsia="en-AU"/>
        </w:rPr>
        <w:t xml:space="preserve">The division for sodium cyanide production </w:t>
      </w:r>
      <w:r w:rsidR="00A138F6">
        <w:rPr>
          <w:rFonts w:ascii="Arial" w:hAnsi="Arial" w:cs="Arial"/>
          <w:lang w:eastAsia="en-AU"/>
        </w:rPr>
        <w:t xml:space="preserve">now </w:t>
      </w:r>
      <w:r w:rsidRPr="00345E7B">
        <w:rPr>
          <w:rFonts w:ascii="Arial" w:hAnsi="Arial" w:cs="Arial"/>
          <w:lang w:eastAsia="en-AU"/>
        </w:rPr>
        <w:t>provides a carbon balance methodology for estimating emissions of carbon dioxide and direct measurement for estimating emissions of nitrous oxide</w:t>
      </w:r>
      <w:r w:rsidR="00A138F6">
        <w:rPr>
          <w:rFonts w:ascii="Arial" w:hAnsi="Arial" w:cs="Arial"/>
          <w:lang w:eastAsia="en-AU"/>
        </w:rPr>
        <w:t xml:space="preserve"> applying to</w:t>
      </w:r>
      <w:r w:rsidRPr="00345E7B">
        <w:rPr>
          <w:rFonts w:ascii="Arial" w:hAnsi="Arial" w:cs="Arial"/>
          <w:lang w:eastAsia="en-AU"/>
        </w:rPr>
        <w:t xml:space="preserve"> emissions of carbon dioxide and nitrous oxide from this source. </w:t>
      </w:r>
    </w:p>
    <w:p w14:paraId="3E96BA45" w14:textId="77777777" w:rsidR="00345E7B" w:rsidRPr="00345E7B" w:rsidRDefault="00345E7B" w:rsidP="00345E7B">
      <w:pPr>
        <w:pStyle w:val="BodyText"/>
        <w:spacing w:before="120" w:after="0" w:line="312" w:lineRule="auto"/>
        <w:ind w:left="0"/>
        <w:rPr>
          <w:rFonts w:ascii="Arial" w:hAnsi="Arial" w:cs="Arial"/>
          <w:lang w:eastAsia="en-AU"/>
        </w:rPr>
      </w:pPr>
      <w:r w:rsidRPr="00345E7B">
        <w:rPr>
          <w:rFonts w:ascii="Arial" w:hAnsi="Arial" w:cs="Arial"/>
          <w:lang w:eastAsia="en-AU"/>
        </w:rPr>
        <w:t xml:space="preserve">The methods available </w:t>
      </w:r>
      <w:r w:rsidR="001E621A">
        <w:rPr>
          <w:rFonts w:ascii="Arial" w:hAnsi="Arial" w:cs="Arial"/>
          <w:lang w:eastAsia="en-AU"/>
        </w:rPr>
        <w:t xml:space="preserve">are the </w:t>
      </w:r>
      <w:r w:rsidRPr="00345E7B">
        <w:rPr>
          <w:rFonts w:ascii="Arial" w:hAnsi="Arial" w:cs="Arial"/>
          <w:lang w:eastAsia="en-AU"/>
        </w:rPr>
        <w:t>carbon balance methodology under Division 4.3.5 and direct measurement</w:t>
      </w:r>
      <w:r w:rsidR="001E621A">
        <w:rPr>
          <w:rFonts w:ascii="Arial" w:hAnsi="Arial" w:cs="Arial"/>
          <w:lang w:eastAsia="en-AU"/>
        </w:rPr>
        <w:t xml:space="preserve"> </w:t>
      </w:r>
      <w:r w:rsidRPr="00345E7B">
        <w:rPr>
          <w:rFonts w:ascii="Arial" w:hAnsi="Arial" w:cs="Arial"/>
          <w:lang w:eastAsia="en-AU"/>
        </w:rPr>
        <w:t>under Part 1.3</w:t>
      </w:r>
      <w:r w:rsidR="00F25B63">
        <w:rPr>
          <w:rFonts w:ascii="Arial" w:hAnsi="Arial" w:cs="Arial"/>
          <w:lang w:eastAsia="en-AU"/>
        </w:rPr>
        <w:t xml:space="preserve"> of the NGERS</w:t>
      </w:r>
      <w:r w:rsidR="007708DA">
        <w:rPr>
          <w:rFonts w:ascii="Arial" w:hAnsi="Arial" w:cs="Arial"/>
          <w:lang w:eastAsia="en-AU"/>
        </w:rPr>
        <w:t xml:space="preserve"> Measurement Determination 2008.</w:t>
      </w:r>
    </w:p>
    <w:p w14:paraId="3774ACBA" w14:textId="77777777" w:rsidR="00345E7B" w:rsidRPr="00345E7B" w:rsidRDefault="00345E7B" w:rsidP="00345E7B">
      <w:pPr>
        <w:pStyle w:val="BodyText"/>
      </w:pPr>
    </w:p>
    <w:p w14:paraId="1213363D" w14:textId="77777777" w:rsidR="001363EF" w:rsidRDefault="00010E2E">
      <w:pPr>
        <w:pStyle w:val="Heading2"/>
        <w:tabs>
          <w:tab w:val="left" w:pos="0"/>
          <w:tab w:val="left" w:pos="993"/>
        </w:tabs>
        <w:spacing w:before="120" w:after="0" w:line="312" w:lineRule="auto"/>
        <w:ind w:left="578" w:hanging="578"/>
        <w:rPr>
          <w:rFonts w:ascii="Arial" w:hAnsi="Arial"/>
        </w:rPr>
      </w:pPr>
      <w:r>
        <w:rPr>
          <w:rFonts w:ascii="Arial" w:hAnsi="Arial"/>
        </w:rPr>
        <w:t xml:space="preserve">Iron and steel </w:t>
      </w:r>
      <w:r w:rsidR="00E102FE">
        <w:rPr>
          <w:rFonts w:ascii="Arial" w:hAnsi="Arial"/>
        </w:rPr>
        <w:t xml:space="preserve">or other metal </w:t>
      </w:r>
      <w:r>
        <w:rPr>
          <w:rFonts w:ascii="Arial" w:hAnsi="Arial"/>
        </w:rPr>
        <w:t>production</w:t>
      </w:r>
      <w:r w:rsidR="00E102FE">
        <w:rPr>
          <w:rFonts w:ascii="Arial" w:hAnsi="Arial"/>
        </w:rPr>
        <w:t xml:space="preserve"> using an integrated metalworks</w:t>
      </w:r>
    </w:p>
    <w:p w14:paraId="06146D66" w14:textId="77777777" w:rsidR="00010E2E" w:rsidRPr="00630A7A" w:rsidRDefault="00010E2E">
      <w:pPr>
        <w:pStyle w:val="BodyText"/>
        <w:spacing w:before="120" w:after="0" w:line="312" w:lineRule="auto"/>
        <w:ind w:left="0"/>
        <w:rPr>
          <w:rFonts w:ascii="Arial" w:hAnsi="Arial" w:cs="Arial"/>
          <w:lang w:eastAsia="en-AU"/>
        </w:rPr>
      </w:pPr>
      <w:r w:rsidRPr="00630A7A">
        <w:rPr>
          <w:rFonts w:ascii="Arial" w:hAnsi="Arial" w:cs="Arial"/>
          <w:lang w:eastAsia="en-AU"/>
        </w:rPr>
        <w:t xml:space="preserve">Carbon dioxide emissions from </w:t>
      </w:r>
      <w:r w:rsidR="00137EC7">
        <w:rPr>
          <w:rFonts w:ascii="Arial" w:hAnsi="Arial" w:cs="Arial"/>
          <w:lang w:eastAsia="en-AU"/>
        </w:rPr>
        <w:t xml:space="preserve">the production of iron, steel and any metals produced form an </w:t>
      </w:r>
      <w:r w:rsidR="00E102FE">
        <w:rPr>
          <w:rFonts w:ascii="Arial" w:hAnsi="Arial" w:cs="Arial"/>
          <w:lang w:eastAsia="en-AU"/>
        </w:rPr>
        <w:t>integrated metalworks</w:t>
      </w:r>
      <w:r w:rsidRPr="00630A7A">
        <w:rPr>
          <w:rFonts w:ascii="Arial" w:hAnsi="Arial" w:cs="Arial"/>
          <w:lang w:eastAsia="en-AU"/>
        </w:rPr>
        <w:t xml:space="preserve"> are estimated using a mass balance approach. Total quantities of carbon inputs, outputs and consumption are considered in steps 1 to 5 detailed below. </w:t>
      </w:r>
    </w:p>
    <w:p w14:paraId="58B58E1D" w14:textId="77777777" w:rsidR="00010E2E" w:rsidRPr="00630A7A" w:rsidRDefault="00010E2E">
      <w:pPr>
        <w:pStyle w:val="BodyText"/>
        <w:spacing w:before="120" w:after="0" w:line="312" w:lineRule="auto"/>
        <w:ind w:left="0"/>
        <w:rPr>
          <w:rFonts w:ascii="Arial" w:hAnsi="Arial" w:cs="Arial"/>
          <w:lang w:eastAsia="en-AU"/>
        </w:rPr>
      </w:pPr>
      <w:r w:rsidRPr="00630A7A">
        <w:rPr>
          <w:rFonts w:ascii="Arial" w:hAnsi="Arial" w:cs="Arial"/>
          <w:lang w:eastAsia="en-AU"/>
        </w:rPr>
        <w:t xml:space="preserve">Primary sources of emissions from </w:t>
      </w:r>
      <w:r w:rsidR="00E102FE">
        <w:rPr>
          <w:rFonts w:ascii="Arial" w:hAnsi="Arial" w:cs="Arial"/>
          <w:lang w:eastAsia="en-AU"/>
        </w:rPr>
        <w:t xml:space="preserve">integrated metalworks </w:t>
      </w:r>
      <w:r w:rsidRPr="00630A7A">
        <w:rPr>
          <w:rFonts w:ascii="Arial" w:hAnsi="Arial" w:cs="Arial"/>
          <w:lang w:eastAsia="en-AU"/>
        </w:rPr>
        <w:t>include combustion of fuels for making coke and from the use of fuel as a carbon reductant in iron and steel production. Other sources include emissions from use of carbonates.</w:t>
      </w:r>
    </w:p>
    <w:p w14:paraId="4819C0E2" w14:textId="77777777" w:rsidR="00010E2E" w:rsidRDefault="00010E2E"/>
    <w:tbl>
      <w:tblPr>
        <w:tblW w:w="0" w:type="auto"/>
        <w:tblInd w:w="-34" w:type="dxa"/>
        <w:tblLayout w:type="fixed"/>
        <w:tblLook w:val="0000" w:firstRow="0" w:lastRow="0" w:firstColumn="0" w:lastColumn="0" w:noHBand="0" w:noVBand="0"/>
      </w:tblPr>
      <w:tblGrid>
        <w:gridCol w:w="851"/>
        <w:gridCol w:w="7350"/>
      </w:tblGrid>
      <w:tr w:rsidR="00010E2E" w14:paraId="55AED33C" w14:textId="77777777" w:rsidTr="00541E17">
        <w:trPr>
          <w:cantSplit/>
          <w:trHeight w:val="80"/>
        </w:trPr>
        <w:tc>
          <w:tcPr>
            <w:tcW w:w="851" w:type="dxa"/>
            <w:vMerge w:val="restart"/>
          </w:tcPr>
          <w:p w14:paraId="1F09697B" w14:textId="77777777" w:rsidR="00010E2E" w:rsidRDefault="00010E2E">
            <w:pPr>
              <w:spacing w:before="60" w:after="60"/>
              <w:rPr>
                <w:i/>
              </w:rPr>
            </w:pPr>
            <w:r>
              <w:rPr>
                <w:i/>
              </w:rPr>
              <w:t>S</w:t>
            </w:r>
          </w:p>
        </w:tc>
        <w:tc>
          <w:tcPr>
            <w:tcW w:w="7350" w:type="dxa"/>
          </w:tcPr>
          <w:p w14:paraId="4720632F" w14:textId="77777777" w:rsidR="00010E2E" w:rsidRDefault="00010E2E">
            <w:pPr>
              <w:pStyle w:val="TableText1"/>
              <w:rPr>
                <w:b/>
                <w:i/>
                <w:u w:val="single"/>
              </w:rPr>
            </w:pPr>
            <w:r>
              <w:rPr>
                <w:b/>
                <w:i/>
                <w:u w:val="single"/>
              </w:rPr>
              <w:t>STEP 1</w:t>
            </w:r>
          </w:p>
          <w:p w14:paraId="4089D133" w14:textId="77777777" w:rsidR="00010E2E" w:rsidRDefault="00010E2E">
            <w:pPr>
              <w:pStyle w:val="TableText1"/>
            </w:pPr>
            <w:r>
              <w:t>Calculate the carbon content in fuel types</w:t>
            </w:r>
            <w:r>
              <w:rPr>
                <w:b/>
                <w:i/>
              </w:rPr>
              <w:t xml:space="preserve"> </w:t>
            </w:r>
            <w:r>
              <w:t>(</w:t>
            </w:r>
            <w:r>
              <w:rPr>
                <w:b/>
                <w:i/>
              </w:rPr>
              <w:t>i</w:t>
            </w:r>
            <w:r>
              <w:t>) or carbonaceous input material delivered for the activity during the year measured in tonnes of carbon as follows:</w:t>
            </w:r>
          </w:p>
          <w:p w14:paraId="022B642D" w14:textId="77777777" w:rsidR="00010E2E" w:rsidRDefault="0082790E">
            <w:pPr>
              <w:pStyle w:val="Formula"/>
            </w:pPr>
            <w:r>
              <w:rPr>
                <w:noProof/>
              </w:rPr>
              <w:drawing>
                <wp:inline distT="0" distB="0" distL="0" distR="0" wp14:anchorId="084C29D8" wp14:editId="6CEDF358">
                  <wp:extent cx="904875" cy="2000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1"/>
                          <a:srcRect/>
                          <a:stretch>
                            <a:fillRect/>
                          </a:stretch>
                        </pic:blipFill>
                        <pic:spPr bwMode="auto">
                          <a:xfrm>
                            <a:off x="0" y="0"/>
                            <a:ext cx="904875" cy="200025"/>
                          </a:xfrm>
                          <a:prstGeom prst="rect">
                            <a:avLst/>
                          </a:prstGeom>
                          <a:noFill/>
                          <a:ln w="9525">
                            <a:noFill/>
                            <a:miter lim="800000"/>
                            <a:headEnd/>
                            <a:tailEnd/>
                          </a:ln>
                        </pic:spPr>
                      </pic:pic>
                    </a:graphicData>
                  </a:graphic>
                </wp:inline>
              </w:drawing>
            </w:r>
          </w:p>
        </w:tc>
      </w:tr>
      <w:tr w:rsidR="00010E2E" w14:paraId="4B530217" w14:textId="77777777" w:rsidTr="00541E17">
        <w:trPr>
          <w:cantSplit/>
          <w:trHeight w:val="80"/>
        </w:trPr>
        <w:tc>
          <w:tcPr>
            <w:tcW w:w="851" w:type="dxa"/>
            <w:vMerge/>
          </w:tcPr>
          <w:p w14:paraId="2EEA8A2E" w14:textId="77777777" w:rsidR="00010E2E" w:rsidRDefault="00010E2E">
            <w:pPr>
              <w:spacing w:before="60" w:after="60"/>
              <w:rPr>
                <w:i/>
              </w:rPr>
            </w:pPr>
          </w:p>
        </w:tc>
        <w:tc>
          <w:tcPr>
            <w:tcW w:w="7350" w:type="dxa"/>
          </w:tcPr>
          <w:p w14:paraId="76C3C7F8" w14:textId="77777777" w:rsidR="00010E2E" w:rsidRDefault="00010E2E">
            <w:pPr>
              <w:pStyle w:val="TableText1"/>
            </w:pPr>
            <w:r>
              <w:t>where:</w:t>
            </w:r>
          </w:p>
          <w:p w14:paraId="4FDB7D50" w14:textId="77777777" w:rsidR="007708DA" w:rsidRDefault="007708DA">
            <w:pPr>
              <w:pStyle w:val="TableText1"/>
            </w:pPr>
          </w:p>
          <w:p w14:paraId="32634898" w14:textId="77777777" w:rsidR="00010E2E" w:rsidRDefault="00010E2E" w:rsidP="000263C1">
            <w:pPr>
              <w:pStyle w:val="TableText1"/>
              <w:spacing w:before="0" w:after="120"/>
            </w:pPr>
            <w:r>
              <w:rPr>
                <w:rFonts w:ascii="Symbol" w:hAnsi="Symbol"/>
                <w:b/>
                <w:i/>
              </w:rPr>
              <w:t></w:t>
            </w:r>
            <w:r>
              <w:rPr>
                <w:b/>
                <w:i/>
                <w:vertAlign w:val="subscript"/>
              </w:rPr>
              <w:t xml:space="preserve">i </w:t>
            </w:r>
            <w:r>
              <w:t>means sum the carbon content values obtained for all fuel types (</w:t>
            </w:r>
            <w:r>
              <w:rPr>
                <w:b/>
                <w:i/>
              </w:rPr>
              <w:t>i</w:t>
            </w:r>
            <w:r>
              <w:t>) or carbonaceous input material.</w:t>
            </w:r>
          </w:p>
          <w:p w14:paraId="25E4C397" w14:textId="77777777" w:rsidR="00010E2E" w:rsidRDefault="00010E2E" w:rsidP="000263C1">
            <w:pPr>
              <w:pStyle w:val="TableText1"/>
              <w:spacing w:before="0" w:after="120"/>
              <w:rPr>
                <w:b/>
                <w:i/>
              </w:rPr>
            </w:pPr>
            <w:r>
              <w:rPr>
                <w:b/>
                <w:i/>
              </w:rPr>
              <w:t>CCF</w:t>
            </w:r>
            <w:r>
              <w:rPr>
                <w:b/>
                <w:i/>
                <w:vertAlign w:val="subscript"/>
              </w:rPr>
              <w:t xml:space="preserve">i </w:t>
            </w:r>
            <w:r>
              <w:t xml:space="preserve">is the carbon content factor in </w:t>
            </w:r>
            <w:r>
              <w:rPr>
                <w:rStyle w:val="EquationNoteChar"/>
                <w:rFonts w:ascii="Times New Roman" w:hAnsi="Times New Roman" w:cs="Times New Roman"/>
                <w:sz w:val="22"/>
                <w:szCs w:val="22"/>
              </w:rPr>
              <w:t xml:space="preserve">Appendix 3, </w:t>
            </w:r>
            <w:r>
              <w:t>measured in tonnes of carbon for each appropriate unit of fuel type (</w:t>
            </w:r>
            <w:r>
              <w:rPr>
                <w:b/>
                <w:i/>
              </w:rPr>
              <w:t>i</w:t>
            </w:r>
            <w:r>
              <w:t>) or carbonaceous input material consumed during the year from the operation of the activity.</w:t>
            </w:r>
          </w:p>
          <w:p w14:paraId="54303F90" w14:textId="77777777" w:rsidR="00010E2E" w:rsidRDefault="00010E2E" w:rsidP="000263C1">
            <w:pPr>
              <w:pStyle w:val="TableText1"/>
              <w:spacing w:before="0" w:after="120"/>
            </w:pPr>
            <w:r>
              <w:rPr>
                <w:b/>
                <w:i/>
              </w:rPr>
              <w:t>Q</w:t>
            </w:r>
            <w:r>
              <w:rPr>
                <w:b/>
                <w:i/>
                <w:vertAlign w:val="subscript"/>
              </w:rPr>
              <w:t xml:space="preserve">i </w:t>
            </w:r>
            <w:r>
              <w:t>is the quantity of fuel type (</w:t>
            </w:r>
            <w:r>
              <w:rPr>
                <w:b/>
                <w:i/>
              </w:rPr>
              <w:t>i</w:t>
            </w:r>
            <w:r>
              <w:t>) or carbonaceous input material delivered for the activity during the year measured in an appropriate unit.</w:t>
            </w:r>
          </w:p>
          <w:p w14:paraId="5A034AA2" w14:textId="77777777" w:rsidR="003C4881" w:rsidRDefault="003C4881">
            <w:pPr>
              <w:pStyle w:val="TableText1"/>
            </w:pPr>
          </w:p>
        </w:tc>
      </w:tr>
      <w:tr w:rsidR="00010E2E" w14:paraId="114B579F" w14:textId="77777777" w:rsidTr="00541E17">
        <w:trPr>
          <w:cantSplit/>
        </w:trPr>
        <w:tc>
          <w:tcPr>
            <w:tcW w:w="851" w:type="dxa"/>
            <w:vMerge w:val="restart"/>
          </w:tcPr>
          <w:p w14:paraId="4A841302" w14:textId="77777777" w:rsidR="00010E2E" w:rsidRDefault="00010E2E">
            <w:pPr>
              <w:spacing w:before="60" w:after="60"/>
              <w:rPr>
                <w:i/>
              </w:rPr>
            </w:pPr>
            <w:r>
              <w:rPr>
                <w:i/>
              </w:rPr>
              <w:t>Step 2</w:t>
            </w:r>
          </w:p>
        </w:tc>
        <w:tc>
          <w:tcPr>
            <w:tcW w:w="7350" w:type="dxa"/>
          </w:tcPr>
          <w:p w14:paraId="47DA07B9" w14:textId="77777777" w:rsidR="00010E2E" w:rsidRDefault="00010E2E">
            <w:pPr>
              <w:pStyle w:val="TableText1"/>
              <w:rPr>
                <w:b/>
                <w:i/>
                <w:u w:val="single"/>
              </w:rPr>
            </w:pPr>
            <w:r>
              <w:rPr>
                <w:b/>
                <w:i/>
                <w:u w:val="single"/>
              </w:rPr>
              <w:t>STEP 2</w:t>
            </w:r>
          </w:p>
          <w:p w14:paraId="12670F70" w14:textId="77777777" w:rsidR="00010E2E" w:rsidRDefault="00010E2E">
            <w:pPr>
              <w:pStyle w:val="TableText1"/>
            </w:pPr>
            <w:r>
              <w:t>Calculate the carbon content in products (</w:t>
            </w:r>
            <w:r>
              <w:rPr>
                <w:b/>
                <w:i/>
              </w:rPr>
              <w:t>p</w:t>
            </w:r>
            <w:r>
              <w:t>) leaving the activity during the year measured in tonnes of carbon as follows:</w:t>
            </w:r>
          </w:p>
          <w:p w14:paraId="16C7FD41" w14:textId="77777777" w:rsidR="00010E2E" w:rsidRDefault="0082790E">
            <w:pPr>
              <w:pStyle w:val="Formula"/>
            </w:pPr>
            <w:r>
              <w:rPr>
                <w:noProof/>
              </w:rPr>
              <w:drawing>
                <wp:inline distT="0" distB="0" distL="0" distR="0" wp14:anchorId="7F9D79CA" wp14:editId="57564047">
                  <wp:extent cx="990600" cy="2000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2"/>
                          <a:srcRect/>
                          <a:stretch>
                            <a:fillRect/>
                          </a:stretch>
                        </pic:blipFill>
                        <pic:spPr bwMode="auto">
                          <a:xfrm>
                            <a:off x="0" y="0"/>
                            <a:ext cx="990600" cy="200025"/>
                          </a:xfrm>
                          <a:prstGeom prst="rect">
                            <a:avLst/>
                          </a:prstGeom>
                          <a:noFill/>
                          <a:ln w="9525">
                            <a:noFill/>
                            <a:miter lim="800000"/>
                            <a:headEnd/>
                            <a:tailEnd/>
                          </a:ln>
                        </pic:spPr>
                      </pic:pic>
                    </a:graphicData>
                  </a:graphic>
                </wp:inline>
              </w:drawing>
            </w:r>
          </w:p>
        </w:tc>
      </w:tr>
      <w:tr w:rsidR="00010E2E" w14:paraId="04F91A14" w14:textId="77777777" w:rsidTr="00541E17">
        <w:trPr>
          <w:cantSplit/>
        </w:trPr>
        <w:tc>
          <w:tcPr>
            <w:tcW w:w="851" w:type="dxa"/>
            <w:vMerge/>
          </w:tcPr>
          <w:p w14:paraId="126D1A4C" w14:textId="77777777" w:rsidR="00010E2E" w:rsidRDefault="00010E2E">
            <w:pPr>
              <w:spacing w:before="60" w:after="60"/>
              <w:rPr>
                <w:i/>
              </w:rPr>
            </w:pPr>
          </w:p>
        </w:tc>
        <w:tc>
          <w:tcPr>
            <w:tcW w:w="7350" w:type="dxa"/>
          </w:tcPr>
          <w:p w14:paraId="7E969D89" w14:textId="77777777" w:rsidR="00010E2E" w:rsidRDefault="00010E2E">
            <w:pPr>
              <w:pStyle w:val="TableText1"/>
            </w:pPr>
            <w:r>
              <w:t>where:</w:t>
            </w:r>
          </w:p>
          <w:p w14:paraId="73269F5B" w14:textId="77777777" w:rsidR="00010E2E" w:rsidRDefault="00010E2E" w:rsidP="000263C1">
            <w:pPr>
              <w:pStyle w:val="TableText1"/>
              <w:spacing w:before="0" w:after="120"/>
            </w:pPr>
            <w:r>
              <w:rPr>
                <w:rFonts w:ascii="Symbol" w:hAnsi="Symbol"/>
                <w:b/>
                <w:i/>
              </w:rPr>
              <w:t></w:t>
            </w:r>
            <w:r>
              <w:rPr>
                <w:b/>
                <w:i/>
                <w:vertAlign w:val="subscript"/>
              </w:rPr>
              <w:t xml:space="preserve">p </w:t>
            </w:r>
            <w:r>
              <w:t>means sum the carbon content values obtained for all product types (</w:t>
            </w:r>
            <w:r>
              <w:rPr>
                <w:b/>
                <w:i/>
              </w:rPr>
              <w:t>p</w:t>
            </w:r>
            <w:r>
              <w:t>).</w:t>
            </w:r>
          </w:p>
          <w:p w14:paraId="2BBC5960" w14:textId="77777777" w:rsidR="00010E2E" w:rsidRDefault="00010E2E" w:rsidP="000263C1">
            <w:pPr>
              <w:pStyle w:val="TableText1"/>
              <w:spacing w:before="0" w:after="120"/>
              <w:rPr>
                <w:iCs/>
              </w:rPr>
            </w:pPr>
            <w:r>
              <w:rPr>
                <w:b/>
                <w:i/>
                <w:iCs/>
              </w:rPr>
              <w:t>CCF</w:t>
            </w:r>
            <w:r>
              <w:rPr>
                <w:b/>
                <w:i/>
                <w:iCs/>
                <w:vertAlign w:val="subscript"/>
              </w:rPr>
              <w:t>p</w:t>
            </w:r>
            <w:r>
              <w:rPr>
                <w:iCs/>
              </w:rPr>
              <w:t xml:space="preserve"> is the carbon content factor measured in tonnes of carbon for each tonne of product type</w:t>
            </w:r>
            <w:r>
              <w:rPr>
                <w:b/>
                <w:i/>
                <w:iCs/>
              </w:rPr>
              <w:t xml:space="preserve"> </w:t>
            </w:r>
            <w:r>
              <w:rPr>
                <w:iCs/>
              </w:rPr>
              <w:t>(</w:t>
            </w:r>
            <w:r>
              <w:rPr>
                <w:b/>
                <w:i/>
                <w:iCs/>
              </w:rPr>
              <w:t>p</w:t>
            </w:r>
            <w:r>
              <w:rPr>
                <w:iCs/>
              </w:rPr>
              <w:t>) produced during the year.</w:t>
            </w:r>
          </w:p>
          <w:p w14:paraId="73BD8054" w14:textId="77777777" w:rsidR="00010E2E" w:rsidRDefault="00010E2E" w:rsidP="000263C1">
            <w:pPr>
              <w:pStyle w:val="TableText1"/>
              <w:spacing w:before="0" w:after="120"/>
            </w:pPr>
            <w:r>
              <w:rPr>
                <w:b/>
                <w:i/>
              </w:rPr>
              <w:t>A</w:t>
            </w:r>
            <w:r>
              <w:rPr>
                <w:b/>
                <w:i/>
                <w:vertAlign w:val="subscript"/>
              </w:rPr>
              <w:t xml:space="preserve">p </w:t>
            </w:r>
            <w:r>
              <w:t>is the quantity of product types (</w:t>
            </w:r>
            <w:r>
              <w:rPr>
                <w:b/>
                <w:i/>
              </w:rPr>
              <w:t>p</w:t>
            </w:r>
            <w:r>
              <w:t>) produced leaving the activity during the year measured in tonnes.</w:t>
            </w:r>
          </w:p>
          <w:p w14:paraId="47F10928" w14:textId="77777777" w:rsidR="003C4881" w:rsidRDefault="003C4881">
            <w:pPr>
              <w:pStyle w:val="TableText1"/>
            </w:pPr>
          </w:p>
        </w:tc>
      </w:tr>
      <w:tr w:rsidR="00010E2E" w14:paraId="0D8C6A13" w14:textId="77777777" w:rsidTr="00541E17">
        <w:trPr>
          <w:cantSplit/>
        </w:trPr>
        <w:tc>
          <w:tcPr>
            <w:tcW w:w="851" w:type="dxa"/>
            <w:vMerge w:val="restart"/>
          </w:tcPr>
          <w:p w14:paraId="636A1CDF" w14:textId="77777777" w:rsidR="00010E2E" w:rsidRDefault="00010E2E">
            <w:pPr>
              <w:spacing w:before="60" w:after="60"/>
              <w:rPr>
                <w:i/>
              </w:rPr>
            </w:pPr>
            <w:r>
              <w:rPr>
                <w:i/>
              </w:rPr>
              <w:t>Step 3</w:t>
            </w:r>
          </w:p>
        </w:tc>
        <w:tc>
          <w:tcPr>
            <w:tcW w:w="7350" w:type="dxa"/>
          </w:tcPr>
          <w:p w14:paraId="78E28C45" w14:textId="77777777" w:rsidR="00010E2E" w:rsidRDefault="00010E2E">
            <w:pPr>
              <w:pStyle w:val="TableText1"/>
              <w:rPr>
                <w:b/>
                <w:i/>
                <w:u w:val="single"/>
              </w:rPr>
            </w:pPr>
            <w:r>
              <w:rPr>
                <w:b/>
                <w:i/>
                <w:u w:val="single"/>
              </w:rPr>
              <w:t>STEP 3</w:t>
            </w:r>
          </w:p>
          <w:p w14:paraId="262C3D89" w14:textId="77777777" w:rsidR="00010E2E" w:rsidRDefault="00010E2E">
            <w:pPr>
              <w:pStyle w:val="TableText1"/>
              <w:rPr>
                <w:iCs/>
              </w:rPr>
            </w:pPr>
            <w:r>
              <w:rPr>
                <w:iCs/>
              </w:rPr>
              <w:t xml:space="preserve">Calculate </w:t>
            </w:r>
            <w:r>
              <w:t xml:space="preserve">the carbon content in </w:t>
            </w:r>
            <w:r>
              <w:rPr>
                <w:iCs/>
              </w:rPr>
              <w:t>waste by</w:t>
            </w:r>
            <w:r>
              <w:rPr>
                <w:iCs/>
              </w:rPr>
              <w:noBreakHyphen/>
              <w:t xml:space="preserve">product types </w:t>
            </w:r>
            <w:r>
              <w:rPr>
                <w:b/>
                <w:i/>
              </w:rPr>
              <w:t xml:space="preserve">(r) </w:t>
            </w:r>
            <w:r>
              <w:t>leaving the activity,</w:t>
            </w:r>
            <w:r>
              <w:rPr>
                <w:iCs/>
              </w:rPr>
              <w:t xml:space="preserve"> other than as an emission of greenhouse gas, during the year, </w:t>
            </w:r>
            <w:r>
              <w:t xml:space="preserve">measured in tonnes of carbon, </w:t>
            </w:r>
            <w:r>
              <w:rPr>
                <w:iCs/>
              </w:rPr>
              <w:t>as follows:</w:t>
            </w:r>
          </w:p>
          <w:p w14:paraId="0A417E06" w14:textId="77777777" w:rsidR="00010E2E" w:rsidRDefault="0082790E">
            <w:pPr>
              <w:pStyle w:val="Formula"/>
            </w:pPr>
            <w:r>
              <w:rPr>
                <w:noProof/>
              </w:rPr>
              <w:drawing>
                <wp:inline distT="0" distB="0" distL="0" distR="0" wp14:anchorId="22ECD46A" wp14:editId="729D9A35">
                  <wp:extent cx="933450" cy="1905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3"/>
                          <a:srcRect/>
                          <a:stretch>
                            <a:fillRect/>
                          </a:stretch>
                        </pic:blipFill>
                        <pic:spPr bwMode="auto">
                          <a:xfrm>
                            <a:off x="0" y="0"/>
                            <a:ext cx="933450" cy="190500"/>
                          </a:xfrm>
                          <a:prstGeom prst="rect">
                            <a:avLst/>
                          </a:prstGeom>
                          <a:noFill/>
                          <a:ln w="9525">
                            <a:noFill/>
                            <a:miter lim="800000"/>
                            <a:headEnd/>
                            <a:tailEnd/>
                          </a:ln>
                        </pic:spPr>
                      </pic:pic>
                    </a:graphicData>
                  </a:graphic>
                </wp:inline>
              </w:drawing>
            </w:r>
          </w:p>
        </w:tc>
      </w:tr>
      <w:tr w:rsidR="00010E2E" w14:paraId="37E1730E" w14:textId="77777777" w:rsidTr="00541E17">
        <w:trPr>
          <w:cantSplit/>
        </w:trPr>
        <w:tc>
          <w:tcPr>
            <w:tcW w:w="851" w:type="dxa"/>
            <w:vMerge/>
          </w:tcPr>
          <w:p w14:paraId="5ECE0FBA" w14:textId="77777777" w:rsidR="00010E2E" w:rsidRDefault="00010E2E">
            <w:pPr>
              <w:spacing w:before="60" w:after="60"/>
              <w:rPr>
                <w:i/>
              </w:rPr>
            </w:pPr>
          </w:p>
        </w:tc>
        <w:tc>
          <w:tcPr>
            <w:tcW w:w="7350" w:type="dxa"/>
          </w:tcPr>
          <w:p w14:paraId="223E2E96" w14:textId="77777777" w:rsidR="00010E2E" w:rsidRDefault="00010E2E">
            <w:pPr>
              <w:pStyle w:val="TableText1"/>
            </w:pPr>
            <w:r>
              <w:t>where:</w:t>
            </w:r>
          </w:p>
          <w:p w14:paraId="468DE611" w14:textId="77777777" w:rsidR="007708DA" w:rsidRDefault="007708DA">
            <w:pPr>
              <w:pStyle w:val="TableText1"/>
              <w:rPr>
                <w:rFonts w:ascii="Symbol" w:hAnsi="Symbol"/>
                <w:b/>
                <w:i/>
              </w:rPr>
            </w:pPr>
          </w:p>
          <w:p w14:paraId="4CBFEF25" w14:textId="77777777" w:rsidR="007708DA" w:rsidRDefault="00010E2E" w:rsidP="000263C1">
            <w:pPr>
              <w:pStyle w:val="TableText1"/>
              <w:spacing w:before="0" w:after="120"/>
              <w:rPr>
                <w:b/>
                <w:i/>
                <w:iCs/>
              </w:rPr>
            </w:pPr>
            <w:r>
              <w:rPr>
                <w:rFonts w:ascii="Symbol" w:hAnsi="Symbol"/>
                <w:b/>
                <w:i/>
              </w:rPr>
              <w:t></w:t>
            </w:r>
            <w:r>
              <w:rPr>
                <w:b/>
                <w:i/>
                <w:vertAlign w:val="subscript"/>
              </w:rPr>
              <w:t xml:space="preserve">r </w:t>
            </w:r>
            <w:r>
              <w:t>means sum the carbon content values obtained for all waste by</w:t>
            </w:r>
            <w:r>
              <w:noBreakHyphen/>
              <w:t>product types (</w:t>
            </w:r>
            <w:r>
              <w:rPr>
                <w:b/>
                <w:i/>
              </w:rPr>
              <w:t>r</w:t>
            </w:r>
            <w:r>
              <w:t>).</w:t>
            </w:r>
          </w:p>
          <w:p w14:paraId="7A463787" w14:textId="77777777" w:rsidR="007708DA" w:rsidRDefault="00010E2E" w:rsidP="000263C1">
            <w:pPr>
              <w:pStyle w:val="TableText1"/>
              <w:spacing w:before="0" w:after="120"/>
              <w:rPr>
                <w:b/>
                <w:i/>
              </w:rPr>
            </w:pPr>
            <w:r>
              <w:rPr>
                <w:b/>
                <w:i/>
                <w:iCs/>
              </w:rPr>
              <w:t>CCF</w:t>
            </w:r>
            <w:r>
              <w:rPr>
                <w:b/>
                <w:i/>
                <w:iCs/>
                <w:vertAlign w:val="subscript"/>
              </w:rPr>
              <w:t>r</w:t>
            </w:r>
            <w:r>
              <w:rPr>
                <w:iCs/>
              </w:rPr>
              <w:t xml:space="preserve"> is the carbon content factor measured in tonnes of carbon for each tonne of waste by</w:t>
            </w:r>
            <w:r>
              <w:rPr>
                <w:iCs/>
              </w:rPr>
              <w:noBreakHyphen/>
              <w:t>product types</w:t>
            </w:r>
            <w:r>
              <w:rPr>
                <w:b/>
                <w:i/>
                <w:iCs/>
              </w:rPr>
              <w:t xml:space="preserve"> </w:t>
            </w:r>
            <w:r>
              <w:rPr>
                <w:iCs/>
              </w:rPr>
              <w:t>(</w:t>
            </w:r>
            <w:r>
              <w:rPr>
                <w:b/>
                <w:i/>
                <w:iCs/>
              </w:rPr>
              <w:t>r</w:t>
            </w:r>
            <w:r>
              <w:rPr>
                <w:iCs/>
              </w:rPr>
              <w:t>).</w:t>
            </w:r>
          </w:p>
          <w:p w14:paraId="72CD351E" w14:textId="77777777" w:rsidR="00010E2E" w:rsidRDefault="00010E2E" w:rsidP="000263C1">
            <w:pPr>
              <w:pStyle w:val="TableText1"/>
              <w:spacing w:before="0" w:after="120"/>
            </w:pPr>
            <w:r>
              <w:rPr>
                <w:b/>
                <w:i/>
              </w:rPr>
              <w:t>Y</w:t>
            </w:r>
            <w:r>
              <w:rPr>
                <w:b/>
                <w:i/>
                <w:vertAlign w:val="subscript"/>
              </w:rPr>
              <w:t xml:space="preserve">r </w:t>
            </w:r>
            <w:r>
              <w:t>is the quantity of waste by</w:t>
            </w:r>
            <w:r>
              <w:noBreakHyphen/>
              <w:t>product types (</w:t>
            </w:r>
            <w:r>
              <w:rPr>
                <w:b/>
                <w:i/>
              </w:rPr>
              <w:t>r</w:t>
            </w:r>
            <w:r>
              <w:t>) leaving the activity during the year measured in tonnes.</w:t>
            </w:r>
          </w:p>
          <w:p w14:paraId="457BC280" w14:textId="77777777" w:rsidR="003C4881" w:rsidRDefault="003C4881">
            <w:pPr>
              <w:pStyle w:val="TableText1"/>
            </w:pPr>
          </w:p>
        </w:tc>
      </w:tr>
      <w:tr w:rsidR="00010E2E" w14:paraId="317E32B6" w14:textId="77777777" w:rsidTr="00541E17">
        <w:trPr>
          <w:cantSplit/>
        </w:trPr>
        <w:tc>
          <w:tcPr>
            <w:tcW w:w="851" w:type="dxa"/>
            <w:vMerge w:val="restart"/>
          </w:tcPr>
          <w:p w14:paraId="5F07AFA9" w14:textId="77777777" w:rsidR="00010E2E" w:rsidRDefault="00010E2E">
            <w:pPr>
              <w:spacing w:before="60" w:after="60"/>
              <w:rPr>
                <w:i/>
              </w:rPr>
            </w:pPr>
            <w:r>
              <w:rPr>
                <w:i/>
              </w:rPr>
              <w:t>Step 4</w:t>
            </w:r>
          </w:p>
        </w:tc>
        <w:tc>
          <w:tcPr>
            <w:tcW w:w="7350" w:type="dxa"/>
          </w:tcPr>
          <w:p w14:paraId="44EABC7D" w14:textId="77777777" w:rsidR="00010E2E" w:rsidRDefault="00010E2E">
            <w:pPr>
              <w:pStyle w:val="TableText1"/>
              <w:rPr>
                <w:b/>
                <w:i/>
                <w:u w:val="single"/>
              </w:rPr>
            </w:pPr>
            <w:r>
              <w:rPr>
                <w:b/>
                <w:i/>
                <w:u w:val="single"/>
              </w:rPr>
              <w:t>STEP 4</w:t>
            </w:r>
          </w:p>
          <w:p w14:paraId="7C4DD5EF" w14:textId="77777777" w:rsidR="00010E2E" w:rsidRDefault="00010E2E">
            <w:pPr>
              <w:pStyle w:val="TableText1"/>
              <w:rPr>
                <w:iCs/>
              </w:rPr>
            </w:pPr>
            <w:r>
              <w:t xml:space="preserve">Calculate the carbon content in the amount of the increase in </w:t>
            </w:r>
            <w:r>
              <w:rPr>
                <w:iCs/>
              </w:rPr>
              <w:t>stocks of inputs, products and waste by</w:t>
            </w:r>
            <w:r>
              <w:rPr>
                <w:iCs/>
              </w:rPr>
              <w:noBreakHyphen/>
              <w:t>products held within the boundary of the activity during the year in tonnes of carbon as follows:</w:t>
            </w:r>
          </w:p>
          <w:p w14:paraId="51151973" w14:textId="77777777" w:rsidR="00010E2E" w:rsidRDefault="00CA4FB8">
            <w:pPr>
              <w:pStyle w:val="TableText1"/>
              <w:spacing w:before="180" w:after="180"/>
              <w:jc w:val="center"/>
            </w:pPr>
            <w:r>
              <w:rPr>
                <w:position w:val="-10"/>
              </w:rPr>
              <w:pict w14:anchorId="2331C9D5">
                <v:shape id="_x0000_i1055" type="#_x0000_t75" style="width:296.25pt;height:18.75pt">
                  <v:imagedata r:id="rId54" o:title=""/>
                </v:shape>
              </w:pict>
            </w:r>
          </w:p>
        </w:tc>
      </w:tr>
      <w:tr w:rsidR="00010E2E" w14:paraId="26E30666" w14:textId="77777777" w:rsidTr="00541E17">
        <w:trPr>
          <w:cantSplit/>
        </w:trPr>
        <w:tc>
          <w:tcPr>
            <w:tcW w:w="851" w:type="dxa"/>
            <w:vMerge/>
          </w:tcPr>
          <w:p w14:paraId="516C331A" w14:textId="77777777" w:rsidR="00010E2E" w:rsidRDefault="00010E2E">
            <w:pPr>
              <w:spacing w:before="60" w:after="60"/>
              <w:rPr>
                <w:i/>
              </w:rPr>
            </w:pPr>
          </w:p>
        </w:tc>
        <w:tc>
          <w:tcPr>
            <w:tcW w:w="7350" w:type="dxa"/>
          </w:tcPr>
          <w:p w14:paraId="3EF1551F" w14:textId="77777777" w:rsidR="00010E2E" w:rsidRDefault="00010E2E" w:rsidP="000263C1">
            <w:pPr>
              <w:pStyle w:val="TableText1"/>
              <w:spacing w:before="0" w:after="120"/>
            </w:pPr>
            <w:r>
              <w:t>where:</w:t>
            </w:r>
          </w:p>
          <w:p w14:paraId="4B5B5696" w14:textId="77777777" w:rsidR="007708DA" w:rsidRDefault="007708DA" w:rsidP="000263C1">
            <w:pPr>
              <w:pStyle w:val="TableText1"/>
              <w:spacing w:before="0" w:after="120"/>
            </w:pPr>
          </w:p>
          <w:p w14:paraId="0A15878C" w14:textId="77777777" w:rsidR="00010E2E" w:rsidRDefault="00010E2E" w:rsidP="000263C1">
            <w:pPr>
              <w:pStyle w:val="TableText1"/>
              <w:spacing w:before="0" w:after="120"/>
              <w:rPr>
                <w:b/>
                <w:i/>
              </w:rPr>
            </w:pPr>
            <w:r>
              <w:rPr>
                <w:rFonts w:ascii="Symbol" w:hAnsi="Symbol"/>
                <w:b/>
                <w:i/>
              </w:rPr>
              <w:t></w:t>
            </w:r>
            <w:r>
              <w:rPr>
                <w:b/>
                <w:i/>
                <w:vertAlign w:val="subscript"/>
              </w:rPr>
              <w:t xml:space="preserve">i  </w:t>
            </w:r>
            <w:r>
              <w:t>has the same meaning as in step 1.</w:t>
            </w:r>
          </w:p>
          <w:p w14:paraId="76FDAB2C" w14:textId="77777777" w:rsidR="007708DA" w:rsidRDefault="00010E2E" w:rsidP="000263C1">
            <w:pPr>
              <w:pStyle w:val="TableText1"/>
              <w:spacing w:before="0" w:after="120"/>
              <w:rPr>
                <w:b/>
                <w:i/>
                <w:iCs/>
              </w:rPr>
            </w:pPr>
            <w:r>
              <w:rPr>
                <w:b/>
                <w:i/>
              </w:rPr>
              <w:t>CCF</w:t>
            </w:r>
            <w:r>
              <w:rPr>
                <w:b/>
                <w:i/>
                <w:vertAlign w:val="subscript"/>
              </w:rPr>
              <w:t xml:space="preserve">i </w:t>
            </w:r>
            <w:r>
              <w:t>has the same meaning as in step 1.</w:t>
            </w:r>
          </w:p>
          <w:p w14:paraId="7C9CA25A" w14:textId="77777777" w:rsidR="007708DA" w:rsidRDefault="00010E2E" w:rsidP="000263C1">
            <w:pPr>
              <w:pStyle w:val="TableText1"/>
              <w:spacing w:before="0" w:after="120"/>
              <w:rPr>
                <w:rFonts w:ascii="Symbol" w:hAnsi="Symbol"/>
                <w:b/>
                <w:i/>
              </w:rPr>
            </w:pPr>
            <w:r>
              <w:rPr>
                <w:b/>
                <w:i/>
                <w:iCs/>
              </w:rPr>
              <w:t>ΔS</w:t>
            </w:r>
            <w:r>
              <w:rPr>
                <w:b/>
                <w:i/>
                <w:iCs/>
                <w:szCs w:val="18"/>
                <w:vertAlign w:val="subscript"/>
              </w:rPr>
              <w:t>q</w:t>
            </w:r>
            <w:r>
              <w:rPr>
                <w:b/>
                <w:i/>
                <w:iCs/>
                <w:vertAlign w:val="subscript"/>
              </w:rPr>
              <w:t>i</w:t>
            </w:r>
            <w:r>
              <w:rPr>
                <w:iCs/>
              </w:rPr>
              <w:t xml:space="preserve"> is the increase in stocks of fuel type (</w:t>
            </w:r>
            <w:r>
              <w:rPr>
                <w:b/>
                <w:i/>
                <w:iCs/>
              </w:rPr>
              <w:t>i</w:t>
            </w:r>
            <w:r>
              <w:rPr>
                <w:iCs/>
              </w:rPr>
              <w:t xml:space="preserve">) for the activity and held </w:t>
            </w:r>
            <w:r>
              <w:t xml:space="preserve">within </w:t>
            </w:r>
            <w:r>
              <w:rPr>
                <w:iCs/>
              </w:rPr>
              <w:t xml:space="preserve">the boundary of </w:t>
            </w:r>
            <w:r>
              <w:t xml:space="preserve">the activity </w:t>
            </w:r>
            <w:r>
              <w:rPr>
                <w:iCs/>
              </w:rPr>
              <w:t>during the year measured in tonnes.</w:t>
            </w:r>
          </w:p>
          <w:p w14:paraId="200D6224" w14:textId="77777777" w:rsidR="007708DA" w:rsidRDefault="00010E2E" w:rsidP="000263C1">
            <w:pPr>
              <w:pStyle w:val="TableText1"/>
              <w:spacing w:before="0" w:after="120"/>
              <w:rPr>
                <w:b/>
                <w:i/>
              </w:rPr>
            </w:pPr>
            <w:r>
              <w:rPr>
                <w:rFonts w:ascii="Symbol" w:hAnsi="Symbol"/>
                <w:b/>
                <w:i/>
              </w:rPr>
              <w:t></w:t>
            </w:r>
            <w:r>
              <w:rPr>
                <w:b/>
                <w:i/>
                <w:vertAlign w:val="subscript"/>
              </w:rPr>
              <w:t xml:space="preserve">p </w:t>
            </w:r>
            <w:r>
              <w:t>has the same meaning as in step 2.</w:t>
            </w:r>
          </w:p>
          <w:p w14:paraId="3C7AB3E7" w14:textId="77777777" w:rsidR="007708DA" w:rsidRDefault="00010E2E" w:rsidP="000263C1">
            <w:pPr>
              <w:pStyle w:val="TableText1"/>
              <w:spacing w:before="0" w:after="120"/>
              <w:rPr>
                <w:b/>
                <w:i/>
                <w:iCs/>
              </w:rPr>
            </w:pPr>
            <w:r>
              <w:rPr>
                <w:b/>
                <w:i/>
              </w:rPr>
              <w:t>CCF</w:t>
            </w:r>
            <w:r>
              <w:rPr>
                <w:b/>
                <w:i/>
                <w:vertAlign w:val="subscript"/>
              </w:rPr>
              <w:t xml:space="preserve">p </w:t>
            </w:r>
            <w:r>
              <w:t>has the same meaning as in step 2.</w:t>
            </w:r>
          </w:p>
          <w:p w14:paraId="4A5480EE" w14:textId="77777777" w:rsidR="00010E2E" w:rsidRDefault="00010E2E" w:rsidP="000263C1">
            <w:pPr>
              <w:pStyle w:val="TableText1"/>
              <w:spacing w:before="0" w:after="120"/>
            </w:pPr>
            <w:r>
              <w:rPr>
                <w:b/>
                <w:i/>
                <w:iCs/>
              </w:rPr>
              <w:t>ΔS</w:t>
            </w:r>
            <w:r>
              <w:rPr>
                <w:b/>
                <w:i/>
                <w:iCs/>
                <w:szCs w:val="18"/>
                <w:vertAlign w:val="subscript"/>
              </w:rPr>
              <w:t>a</w:t>
            </w:r>
            <w:r>
              <w:rPr>
                <w:b/>
                <w:i/>
                <w:iCs/>
                <w:vertAlign w:val="subscript"/>
              </w:rPr>
              <w:t>p</w:t>
            </w:r>
            <w:r>
              <w:rPr>
                <w:iCs/>
                <w:szCs w:val="18"/>
              </w:rPr>
              <w:t xml:space="preserve"> is the increase in stocks of </w:t>
            </w:r>
            <w:r>
              <w:rPr>
                <w:iCs/>
              </w:rPr>
              <w:t>product types (</w:t>
            </w:r>
            <w:r>
              <w:rPr>
                <w:b/>
                <w:i/>
                <w:iCs/>
              </w:rPr>
              <w:t>p)</w:t>
            </w:r>
            <w:r>
              <w:rPr>
                <w:iCs/>
              </w:rPr>
              <w:t xml:space="preserve"> produced by the activity and held </w:t>
            </w:r>
            <w:r>
              <w:t xml:space="preserve">within </w:t>
            </w:r>
            <w:r>
              <w:rPr>
                <w:iCs/>
              </w:rPr>
              <w:t xml:space="preserve">the boundary of </w:t>
            </w:r>
            <w:r>
              <w:t xml:space="preserve">the activity </w:t>
            </w:r>
            <w:r>
              <w:rPr>
                <w:iCs/>
              </w:rPr>
              <w:t>during the year measured in tonnes.</w:t>
            </w:r>
          </w:p>
        </w:tc>
      </w:tr>
      <w:tr w:rsidR="00010E2E" w14:paraId="7D0F584A" w14:textId="77777777" w:rsidTr="00541E17">
        <w:trPr>
          <w:cantSplit/>
        </w:trPr>
        <w:tc>
          <w:tcPr>
            <w:tcW w:w="851" w:type="dxa"/>
          </w:tcPr>
          <w:p w14:paraId="6E794C05" w14:textId="77777777" w:rsidR="00010E2E" w:rsidRDefault="00010E2E">
            <w:pPr>
              <w:spacing w:before="60" w:after="60"/>
              <w:rPr>
                <w:i/>
              </w:rPr>
            </w:pPr>
          </w:p>
        </w:tc>
        <w:tc>
          <w:tcPr>
            <w:tcW w:w="7350" w:type="dxa"/>
          </w:tcPr>
          <w:p w14:paraId="3E665B45" w14:textId="77777777" w:rsidR="00010E2E" w:rsidRDefault="00010E2E" w:rsidP="000263C1">
            <w:pPr>
              <w:pStyle w:val="TableText1"/>
              <w:spacing w:before="0" w:after="120"/>
              <w:rPr>
                <w:b/>
                <w:i/>
              </w:rPr>
            </w:pPr>
            <w:r>
              <w:rPr>
                <w:rFonts w:ascii="Symbol" w:hAnsi="Symbol"/>
                <w:b/>
                <w:i/>
              </w:rPr>
              <w:t></w:t>
            </w:r>
            <w:r>
              <w:rPr>
                <w:b/>
                <w:i/>
                <w:vertAlign w:val="subscript"/>
              </w:rPr>
              <w:t xml:space="preserve">r </w:t>
            </w:r>
            <w:r>
              <w:t>has the same meaning as in step 3.</w:t>
            </w:r>
          </w:p>
          <w:p w14:paraId="77C83EDA" w14:textId="77777777" w:rsidR="007708DA" w:rsidRDefault="00010E2E" w:rsidP="000263C1">
            <w:pPr>
              <w:pStyle w:val="TableText1"/>
              <w:spacing w:before="0" w:after="120"/>
              <w:rPr>
                <w:b/>
                <w:i/>
                <w:iCs/>
              </w:rPr>
            </w:pPr>
            <w:r>
              <w:rPr>
                <w:b/>
                <w:i/>
              </w:rPr>
              <w:t>CCF</w:t>
            </w:r>
            <w:r>
              <w:rPr>
                <w:b/>
                <w:i/>
                <w:vertAlign w:val="subscript"/>
              </w:rPr>
              <w:t xml:space="preserve">r </w:t>
            </w:r>
            <w:r>
              <w:t>has the same meaning as in step 3.</w:t>
            </w:r>
          </w:p>
          <w:p w14:paraId="58203AC3" w14:textId="77777777" w:rsidR="00010E2E" w:rsidRDefault="00010E2E" w:rsidP="000263C1">
            <w:pPr>
              <w:pStyle w:val="TableText1"/>
              <w:spacing w:before="0" w:after="120"/>
              <w:rPr>
                <w:iCs/>
              </w:rPr>
            </w:pPr>
            <w:r>
              <w:rPr>
                <w:b/>
                <w:i/>
                <w:iCs/>
              </w:rPr>
              <w:t>ΔS</w:t>
            </w:r>
            <w:r>
              <w:rPr>
                <w:b/>
                <w:i/>
                <w:iCs/>
                <w:szCs w:val="18"/>
                <w:vertAlign w:val="subscript"/>
              </w:rPr>
              <w:t>y</w:t>
            </w:r>
            <w:r>
              <w:rPr>
                <w:b/>
                <w:i/>
                <w:iCs/>
                <w:vertAlign w:val="subscript"/>
              </w:rPr>
              <w:t>r</w:t>
            </w:r>
            <w:r>
              <w:rPr>
                <w:iCs/>
              </w:rPr>
              <w:t xml:space="preserve"> is the increase in stocks of waste by</w:t>
            </w:r>
            <w:r>
              <w:rPr>
                <w:iCs/>
              </w:rPr>
              <w:noBreakHyphen/>
              <w:t>product types (</w:t>
            </w:r>
            <w:r>
              <w:rPr>
                <w:b/>
                <w:i/>
                <w:iCs/>
              </w:rPr>
              <w:t>r</w:t>
            </w:r>
            <w:r>
              <w:rPr>
                <w:iCs/>
              </w:rPr>
              <w:t xml:space="preserve">) produced from the operation of the activity and held </w:t>
            </w:r>
            <w:r>
              <w:t xml:space="preserve">within </w:t>
            </w:r>
            <w:r>
              <w:rPr>
                <w:iCs/>
              </w:rPr>
              <w:t xml:space="preserve">the boundary of </w:t>
            </w:r>
            <w:r>
              <w:t xml:space="preserve">the activity </w:t>
            </w:r>
            <w:r>
              <w:rPr>
                <w:iCs/>
              </w:rPr>
              <w:t>during the year measured in tonnes.</w:t>
            </w:r>
          </w:p>
          <w:p w14:paraId="677B378F" w14:textId="77777777" w:rsidR="003C4881" w:rsidRDefault="003C4881" w:rsidP="000263C1">
            <w:pPr>
              <w:pStyle w:val="TableText1"/>
              <w:spacing w:before="0" w:after="120"/>
            </w:pPr>
          </w:p>
        </w:tc>
      </w:tr>
      <w:tr w:rsidR="00010E2E" w14:paraId="7FC61DCF" w14:textId="77777777" w:rsidTr="00541E17">
        <w:trPr>
          <w:cantSplit/>
        </w:trPr>
        <w:tc>
          <w:tcPr>
            <w:tcW w:w="851" w:type="dxa"/>
          </w:tcPr>
          <w:p w14:paraId="50BB0BF0" w14:textId="77777777" w:rsidR="00010E2E" w:rsidRDefault="00010E2E">
            <w:pPr>
              <w:spacing w:before="60" w:after="60"/>
              <w:rPr>
                <w:i/>
              </w:rPr>
            </w:pPr>
            <w:r>
              <w:rPr>
                <w:i/>
              </w:rPr>
              <w:t>Step 5</w:t>
            </w:r>
          </w:p>
        </w:tc>
        <w:tc>
          <w:tcPr>
            <w:tcW w:w="7350" w:type="dxa"/>
          </w:tcPr>
          <w:p w14:paraId="32C5D62C" w14:textId="77777777" w:rsidR="00010E2E" w:rsidRDefault="00010E2E">
            <w:pPr>
              <w:pStyle w:val="TableText1"/>
              <w:rPr>
                <w:b/>
                <w:i/>
                <w:u w:val="single"/>
              </w:rPr>
            </w:pPr>
            <w:r>
              <w:rPr>
                <w:b/>
                <w:i/>
                <w:u w:val="single"/>
              </w:rPr>
              <w:t>STEP 5</w:t>
            </w:r>
          </w:p>
          <w:p w14:paraId="6AB6239C" w14:textId="77777777" w:rsidR="00010E2E" w:rsidRDefault="00010E2E">
            <w:pPr>
              <w:pStyle w:val="TableText1"/>
            </w:pPr>
            <w:r>
              <w:t xml:space="preserve">Calculate the emissions of carbon dioxide released from the operation of the activity during the year measured in </w:t>
            </w:r>
            <w:r>
              <w:rPr>
                <w:szCs w:val="22"/>
              </w:rPr>
              <w:t>CO</w:t>
            </w:r>
            <w:r>
              <w:rPr>
                <w:szCs w:val="22"/>
                <w:vertAlign w:val="subscript"/>
              </w:rPr>
              <w:t>2</w:t>
            </w:r>
            <w:r>
              <w:rPr>
                <w:szCs w:val="22"/>
              </w:rPr>
              <w:noBreakHyphen/>
              <w:t>e</w:t>
            </w:r>
            <w:r>
              <w:t xml:space="preserve"> tonnes as follows:</w:t>
            </w:r>
          </w:p>
          <w:p w14:paraId="6880F867" w14:textId="77777777" w:rsidR="00010E2E" w:rsidRDefault="00010E2E">
            <w:pPr>
              <w:pStyle w:val="TableP1a"/>
            </w:pPr>
            <w:r>
              <w:tab/>
              <w:t>(a)</w:t>
            </w:r>
            <w:r>
              <w:tab/>
              <w:t>add the amounts worked out under steps 2, 3 and 4 to work out a new amount (</w:t>
            </w:r>
            <w:r>
              <w:rPr>
                <w:b/>
                <w:i/>
              </w:rPr>
              <w:t>amount A</w:t>
            </w:r>
            <w:r>
              <w:t>);</w:t>
            </w:r>
          </w:p>
          <w:p w14:paraId="36C6745D" w14:textId="77777777" w:rsidR="00010E2E" w:rsidRDefault="00010E2E">
            <w:pPr>
              <w:pStyle w:val="TableP1a"/>
            </w:pPr>
            <w:r>
              <w:tab/>
              <w:t>(b)</w:t>
            </w:r>
            <w:r>
              <w:tab/>
              <w:t>subtract amount A from the amount worked out under step 1 to work out a new amount (</w:t>
            </w:r>
            <w:r>
              <w:rPr>
                <w:b/>
                <w:i/>
              </w:rPr>
              <w:t>amount B</w:t>
            </w:r>
            <w:r>
              <w:t>);</w:t>
            </w:r>
          </w:p>
          <w:p w14:paraId="766AF1AB" w14:textId="77777777" w:rsidR="00010E2E" w:rsidRDefault="00010E2E">
            <w:pPr>
              <w:pStyle w:val="TableP1a"/>
            </w:pPr>
            <w:r>
              <w:tab/>
              <w:t>(c)</w:t>
            </w:r>
            <w:r>
              <w:tab/>
              <w:t>multiply amount B by 3.664 to work out the amount of emissions released from the operation of the activity during a year.</w:t>
            </w:r>
          </w:p>
        </w:tc>
      </w:tr>
    </w:tbl>
    <w:p w14:paraId="6E729598" w14:textId="77777777" w:rsidR="00010E2E" w:rsidRDefault="00010E2E">
      <w:pPr>
        <w:ind w:left="0"/>
        <w:rPr>
          <w:lang w:eastAsia="en-AU"/>
        </w:rPr>
      </w:pPr>
    </w:p>
    <w:p w14:paraId="3CE1CAC0" w14:textId="77777777" w:rsidR="00010E2E" w:rsidRDefault="00010E2E"/>
    <w:p w14:paraId="3D2BFC32" w14:textId="77777777" w:rsidR="00345E7B" w:rsidRPr="00013789" w:rsidRDefault="00010E2E" w:rsidP="00013789">
      <w:pPr>
        <w:pStyle w:val="Heading2"/>
        <w:tabs>
          <w:tab w:val="left" w:pos="0"/>
        </w:tabs>
        <w:spacing w:before="120" w:after="0" w:line="312" w:lineRule="auto"/>
        <w:ind w:left="578" w:hanging="578"/>
        <w:rPr>
          <w:rFonts w:ascii="Arial" w:hAnsi="Arial"/>
        </w:rPr>
      </w:pPr>
      <w:r w:rsidRPr="00013789">
        <w:rPr>
          <w:rFonts w:ascii="Arial" w:hAnsi="Arial"/>
        </w:rPr>
        <w:t>Ferroalloy</w:t>
      </w:r>
      <w:r w:rsidR="003C4881" w:rsidRPr="00013789">
        <w:rPr>
          <w:rFonts w:ascii="Arial" w:hAnsi="Arial"/>
        </w:rPr>
        <w:t>s production</w:t>
      </w:r>
    </w:p>
    <w:p w14:paraId="5B76D8D6" w14:textId="77777777" w:rsidR="003C4881" w:rsidRDefault="003C4881" w:rsidP="00DA0A7A">
      <w:pPr>
        <w:pStyle w:val="Equation"/>
        <w:spacing w:before="0" w:after="120"/>
        <w:rPr>
          <w:lang w:eastAsia="en-AU"/>
        </w:rPr>
      </w:pPr>
      <w:r w:rsidRPr="00603DFF">
        <w:rPr>
          <w:lang w:eastAsia="en-AU"/>
        </w:rPr>
        <w:t>Emissions of CO</w:t>
      </w:r>
      <w:r w:rsidRPr="000B79B3">
        <w:rPr>
          <w:vertAlign w:val="subscript"/>
          <w:lang w:eastAsia="en-AU"/>
        </w:rPr>
        <w:t>2</w:t>
      </w:r>
      <w:r w:rsidRPr="00603DFF">
        <w:rPr>
          <w:lang w:eastAsia="en-AU"/>
        </w:rPr>
        <w:t xml:space="preserve"> occur during ferroalloy production as a result of the use of carbon reductants such as coke and the oxidation of a fossil fuel electrode.</w:t>
      </w:r>
    </w:p>
    <w:p w14:paraId="79697F4D" w14:textId="77777777" w:rsidR="003C4881" w:rsidRDefault="003C4881" w:rsidP="00DA0A7A">
      <w:pPr>
        <w:pStyle w:val="Equation"/>
        <w:spacing w:before="0" w:after="120"/>
        <w:rPr>
          <w:lang w:eastAsia="en-AU"/>
        </w:rPr>
      </w:pPr>
      <w:r>
        <w:rPr>
          <w:lang w:eastAsia="en-AU"/>
        </w:rPr>
        <w:t>This section is relevant to the estimation of carbon dioxide emissions from any of the following:</w:t>
      </w:r>
    </w:p>
    <w:p w14:paraId="5F45ACF3" w14:textId="77777777" w:rsidR="003C4881" w:rsidRPr="00603DFF" w:rsidRDefault="003C4881" w:rsidP="003C4881">
      <w:pPr>
        <w:pStyle w:val="ZP1"/>
        <w:rPr>
          <w:rFonts w:ascii="Arial" w:hAnsi="Arial" w:cs="Arial"/>
          <w:color w:val="000000"/>
          <w:sz w:val="20"/>
          <w:szCs w:val="20"/>
        </w:rPr>
      </w:pPr>
      <w:r>
        <w:rPr>
          <w:color w:val="000000"/>
        </w:rPr>
        <w:tab/>
      </w:r>
      <w:r w:rsidRPr="000B79B3">
        <w:rPr>
          <w:rFonts w:ascii="Arial" w:hAnsi="Arial" w:cs="Arial"/>
          <w:color w:val="000000"/>
          <w:sz w:val="20"/>
          <w:szCs w:val="20"/>
        </w:rPr>
        <w:t>(a)</w:t>
      </w:r>
      <w:r w:rsidRPr="000B79B3">
        <w:rPr>
          <w:rFonts w:ascii="Arial" w:hAnsi="Arial" w:cs="Arial"/>
          <w:color w:val="000000"/>
          <w:sz w:val="20"/>
          <w:szCs w:val="20"/>
        </w:rPr>
        <w:tab/>
      </w:r>
      <w:r w:rsidRPr="000B79B3">
        <w:rPr>
          <w:rFonts w:ascii="Arial" w:hAnsi="Arial" w:cs="Arial"/>
          <w:color w:val="000000"/>
          <w:sz w:val="20"/>
          <w:szCs w:val="20"/>
        </w:rPr>
        <w:tab/>
        <w:t>the consumption of a fossil fuel reductant during the production of:</w:t>
      </w:r>
    </w:p>
    <w:p w14:paraId="0F08C969" w14:textId="77777777" w:rsidR="003C4881" w:rsidRPr="00603DFF" w:rsidRDefault="003C4881" w:rsidP="003C4881">
      <w:pPr>
        <w:pStyle w:val="P2"/>
        <w:rPr>
          <w:rFonts w:ascii="Arial" w:hAnsi="Arial" w:cs="Arial"/>
          <w:color w:val="000000"/>
          <w:sz w:val="20"/>
          <w:szCs w:val="20"/>
        </w:rPr>
      </w:pPr>
      <w:r w:rsidRPr="000B79B3">
        <w:rPr>
          <w:rFonts w:ascii="Arial" w:hAnsi="Arial" w:cs="Arial"/>
          <w:color w:val="000000"/>
          <w:sz w:val="20"/>
          <w:szCs w:val="20"/>
        </w:rPr>
        <w:tab/>
        <w:t>(i)</w:t>
      </w:r>
      <w:r w:rsidRPr="000B79B3">
        <w:rPr>
          <w:rFonts w:ascii="Arial" w:hAnsi="Arial" w:cs="Arial"/>
          <w:color w:val="000000"/>
          <w:sz w:val="20"/>
          <w:szCs w:val="20"/>
        </w:rPr>
        <w:tab/>
        <w:t>a ferroalloy; or</w:t>
      </w:r>
    </w:p>
    <w:p w14:paraId="5F238088" w14:textId="77777777" w:rsidR="003C4881" w:rsidRPr="00603DFF" w:rsidRDefault="003C4881" w:rsidP="003C4881">
      <w:pPr>
        <w:pStyle w:val="P2"/>
        <w:rPr>
          <w:rFonts w:ascii="Arial" w:hAnsi="Arial" w:cs="Arial"/>
          <w:color w:val="000000"/>
          <w:sz w:val="20"/>
          <w:szCs w:val="20"/>
        </w:rPr>
      </w:pPr>
      <w:r w:rsidRPr="000B79B3">
        <w:rPr>
          <w:rFonts w:ascii="Arial" w:hAnsi="Arial" w:cs="Arial"/>
          <w:color w:val="000000"/>
          <w:sz w:val="20"/>
          <w:szCs w:val="20"/>
        </w:rPr>
        <w:tab/>
        <w:t>(ii)</w:t>
      </w:r>
      <w:r w:rsidRPr="000B79B3">
        <w:rPr>
          <w:rFonts w:ascii="Arial" w:hAnsi="Arial" w:cs="Arial"/>
          <w:color w:val="000000"/>
          <w:sz w:val="20"/>
          <w:szCs w:val="20"/>
        </w:rPr>
        <w:tab/>
        <w:t>silicomanganese; or</w:t>
      </w:r>
    </w:p>
    <w:p w14:paraId="7006D4DE" w14:textId="77777777" w:rsidR="003C4881" w:rsidRPr="00603DFF" w:rsidRDefault="003C4881" w:rsidP="003C4881">
      <w:pPr>
        <w:pStyle w:val="P2"/>
        <w:rPr>
          <w:rFonts w:ascii="Arial" w:hAnsi="Arial" w:cs="Arial"/>
          <w:color w:val="000000"/>
          <w:sz w:val="20"/>
          <w:szCs w:val="20"/>
        </w:rPr>
      </w:pPr>
      <w:r w:rsidRPr="000B79B3">
        <w:rPr>
          <w:rFonts w:ascii="Arial" w:hAnsi="Arial" w:cs="Arial"/>
          <w:color w:val="000000"/>
          <w:sz w:val="20"/>
          <w:szCs w:val="20"/>
        </w:rPr>
        <w:tab/>
        <w:t>(iii)</w:t>
      </w:r>
      <w:r w:rsidRPr="000B79B3">
        <w:rPr>
          <w:rFonts w:ascii="Arial" w:hAnsi="Arial" w:cs="Arial"/>
          <w:color w:val="000000"/>
          <w:sz w:val="20"/>
          <w:szCs w:val="20"/>
        </w:rPr>
        <w:tab/>
        <w:t>silicon;</w:t>
      </w:r>
    </w:p>
    <w:p w14:paraId="51214554" w14:textId="77777777" w:rsidR="003C4881" w:rsidRPr="00603DFF" w:rsidRDefault="003C4881" w:rsidP="003C4881">
      <w:pPr>
        <w:pStyle w:val="ZP1"/>
        <w:rPr>
          <w:rFonts w:ascii="Arial" w:hAnsi="Arial" w:cs="Arial"/>
          <w:color w:val="000000"/>
          <w:sz w:val="20"/>
          <w:szCs w:val="20"/>
        </w:rPr>
      </w:pPr>
      <w:r w:rsidRPr="000B79B3">
        <w:rPr>
          <w:rFonts w:ascii="Arial" w:hAnsi="Arial" w:cs="Arial"/>
          <w:color w:val="000000"/>
          <w:sz w:val="20"/>
          <w:szCs w:val="20"/>
        </w:rPr>
        <w:tab/>
        <w:t>(b)</w:t>
      </w:r>
      <w:r w:rsidRPr="000B79B3">
        <w:rPr>
          <w:rFonts w:ascii="Arial" w:hAnsi="Arial" w:cs="Arial"/>
          <w:color w:val="000000"/>
          <w:sz w:val="20"/>
          <w:szCs w:val="20"/>
        </w:rPr>
        <w:tab/>
        <w:t>the oxidation of a fossil fuel electrode in the production of:</w:t>
      </w:r>
    </w:p>
    <w:p w14:paraId="046D8AF3" w14:textId="77777777" w:rsidR="003C4881" w:rsidRPr="00603DFF" w:rsidRDefault="003C4881" w:rsidP="003C4881">
      <w:pPr>
        <w:pStyle w:val="P2"/>
        <w:rPr>
          <w:rFonts w:ascii="Arial" w:hAnsi="Arial" w:cs="Arial"/>
          <w:color w:val="000000"/>
          <w:sz w:val="20"/>
          <w:szCs w:val="20"/>
        </w:rPr>
      </w:pPr>
      <w:r w:rsidRPr="000B79B3">
        <w:rPr>
          <w:rFonts w:ascii="Arial" w:hAnsi="Arial" w:cs="Arial"/>
          <w:color w:val="000000"/>
          <w:sz w:val="20"/>
          <w:szCs w:val="20"/>
        </w:rPr>
        <w:tab/>
        <w:t>(i)</w:t>
      </w:r>
      <w:r w:rsidRPr="000B79B3">
        <w:rPr>
          <w:rFonts w:ascii="Arial" w:hAnsi="Arial" w:cs="Arial"/>
          <w:color w:val="000000"/>
          <w:sz w:val="20"/>
          <w:szCs w:val="20"/>
        </w:rPr>
        <w:tab/>
        <w:t>a ferroalloy; or</w:t>
      </w:r>
    </w:p>
    <w:p w14:paraId="7978412C" w14:textId="77777777" w:rsidR="003C4881" w:rsidRPr="00603DFF" w:rsidRDefault="003C4881" w:rsidP="003C4881">
      <w:pPr>
        <w:pStyle w:val="P2"/>
        <w:rPr>
          <w:rFonts w:ascii="Arial" w:hAnsi="Arial" w:cs="Arial"/>
          <w:color w:val="000000"/>
          <w:sz w:val="20"/>
          <w:szCs w:val="20"/>
        </w:rPr>
      </w:pPr>
      <w:r w:rsidRPr="000B79B3">
        <w:rPr>
          <w:rFonts w:ascii="Arial" w:hAnsi="Arial" w:cs="Arial"/>
          <w:color w:val="000000"/>
          <w:sz w:val="20"/>
          <w:szCs w:val="20"/>
        </w:rPr>
        <w:tab/>
        <w:t>(ii)</w:t>
      </w:r>
      <w:r w:rsidRPr="000B79B3">
        <w:rPr>
          <w:rFonts w:ascii="Arial" w:hAnsi="Arial" w:cs="Arial"/>
          <w:color w:val="000000"/>
          <w:sz w:val="20"/>
          <w:szCs w:val="20"/>
        </w:rPr>
        <w:tab/>
        <w:t>silicomanganese; or</w:t>
      </w:r>
    </w:p>
    <w:p w14:paraId="15693E55" w14:textId="77777777" w:rsidR="003C4881" w:rsidRPr="00603DFF" w:rsidRDefault="003C4881" w:rsidP="003C4881">
      <w:pPr>
        <w:pStyle w:val="P2"/>
        <w:rPr>
          <w:rFonts w:ascii="Arial" w:hAnsi="Arial" w:cs="Arial"/>
          <w:color w:val="000000"/>
          <w:sz w:val="20"/>
          <w:szCs w:val="20"/>
        </w:rPr>
      </w:pPr>
      <w:r w:rsidRPr="000B79B3">
        <w:rPr>
          <w:rFonts w:ascii="Arial" w:hAnsi="Arial" w:cs="Arial"/>
          <w:color w:val="000000"/>
          <w:sz w:val="20"/>
          <w:szCs w:val="20"/>
        </w:rPr>
        <w:tab/>
        <w:t>(iii)</w:t>
      </w:r>
      <w:r w:rsidRPr="000B79B3">
        <w:rPr>
          <w:rFonts w:ascii="Arial" w:hAnsi="Arial" w:cs="Arial"/>
          <w:color w:val="000000"/>
          <w:sz w:val="20"/>
          <w:szCs w:val="20"/>
        </w:rPr>
        <w:tab/>
        <w:t>silicon.</w:t>
      </w:r>
    </w:p>
    <w:p w14:paraId="0188F469" w14:textId="77777777" w:rsidR="003C4881" w:rsidRDefault="003C4881" w:rsidP="003C4881">
      <w:pPr>
        <w:pStyle w:val="EndnoteText"/>
        <w:ind w:left="0"/>
        <w:rPr>
          <w:rFonts w:ascii="Arial" w:hAnsi="Arial" w:cs="Arial"/>
          <w:sz w:val="20"/>
        </w:rPr>
      </w:pPr>
    </w:p>
    <w:p w14:paraId="7E151617" w14:textId="77777777" w:rsidR="003C4881" w:rsidRDefault="003C4881" w:rsidP="003C4881">
      <w:pPr>
        <w:pStyle w:val="BodyText"/>
        <w:spacing w:before="120" w:after="0" w:line="312" w:lineRule="auto"/>
        <w:ind w:left="0"/>
        <w:rPr>
          <w:rFonts w:ascii="Arial" w:hAnsi="Arial" w:cs="Arial"/>
        </w:rPr>
      </w:pPr>
      <w:r w:rsidRPr="000B79B3">
        <w:rPr>
          <w:rFonts w:ascii="Arial" w:hAnsi="Arial" w:cs="Arial"/>
          <w:lang w:eastAsia="en-AU"/>
        </w:rPr>
        <w:t>A ferroalloy means an alloy of 1 or more elements with iron including, but not limited to, any of the following:</w:t>
      </w:r>
    </w:p>
    <w:p w14:paraId="09FD682C" w14:textId="77777777" w:rsidR="003C4881" w:rsidRPr="001A006E" w:rsidRDefault="003C4881" w:rsidP="003C4881">
      <w:pPr>
        <w:pStyle w:val="P1"/>
        <w:rPr>
          <w:rFonts w:ascii="Arial" w:hAnsi="Arial" w:cs="Arial"/>
          <w:color w:val="000000"/>
          <w:sz w:val="20"/>
          <w:szCs w:val="20"/>
        </w:rPr>
      </w:pPr>
      <w:r w:rsidRPr="00DA27C9">
        <w:rPr>
          <w:color w:val="000000"/>
        </w:rPr>
        <w:tab/>
      </w:r>
      <w:r w:rsidRPr="001A006E">
        <w:rPr>
          <w:rFonts w:ascii="Arial" w:hAnsi="Arial" w:cs="Arial"/>
          <w:color w:val="000000"/>
          <w:sz w:val="20"/>
          <w:szCs w:val="20"/>
        </w:rPr>
        <w:t>(a)</w:t>
      </w:r>
      <w:r w:rsidRPr="001A006E">
        <w:rPr>
          <w:rFonts w:ascii="Arial" w:hAnsi="Arial" w:cs="Arial"/>
          <w:color w:val="000000"/>
          <w:sz w:val="20"/>
          <w:szCs w:val="20"/>
        </w:rPr>
        <w:tab/>
        <w:t>ferrochrome;</w:t>
      </w:r>
    </w:p>
    <w:p w14:paraId="599209B8"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(b)</w:t>
      </w:r>
      <w:r w:rsidRPr="001A006E">
        <w:rPr>
          <w:rFonts w:ascii="Arial" w:hAnsi="Arial" w:cs="Arial"/>
          <w:color w:val="000000"/>
          <w:sz w:val="20"/>
          <w:szCs w:val="20"/>
        </w:rPr>
        <w:tab/>
        <w:t>ferromanganese;</w:t>
      </w:r>
    </w:p>
    <w:p w14:paraId="528BB85A"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(c)</w:t>
      </w:r>
      <w:r w:rsidRPr="001A006E">
        <w:rPr>
          <w:rFonts w:ascii="Arial" w:hAnsi="Arial" w:cs="Arial"/>
          <w:color w:val="000000"/>
          <w:sz w:val="20"/>
          <w:szCs w:val="20"/>
        </w:rPr>
        <w:tab/>
        <w:t>ferromolybdenum;</w:t>
      </w:r>
    </w:p>
    <w:p w14:paraId="552C2CBC"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(d)</w:t>
      </w:r>
      <w:r w:rsidRPr="001A006E">
        <w:rPr>
          <w:rFonts w:ascii="Arial" w:hAnsi="Arial" w:cs="Arial"/>
          <w:color w:val="000000"/>
          <w:sz w:val="20"/>
          <w:szCs w:val="20"/>
        </w:rPr>
        <w:tab/>
        <w:t>ferronickel;</w:t>
      </w:r>
    </w:p>
    <w:p w14:paraId="1ABD128C"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(e)</w:t>
      </w:r>
      <w:r w:rsidRPr="001A006E">
        <w:rPr>
          <w:rFonts w:ascii="Arial" w:hAnsi="Arial" w:cs="Arial"/>
          <w:color w:val="000000"/>
          <w:sz w:val="20"/>
          <w:szCs w:val="20"/>
        </w:rPr>
        <w:tab/>
        <w:t>ferrosilicon;</w:t>
      </w:r>
    </w:p>
    <w:p w14:paraId="627D4E10"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(f)</w:t>
      </w:r>
      <w:r w:rsidRPr="001A006E">
        <w:rPr>
          <w:rFonts w:ascii="Arial" w:hAnsi="Arial" w:cs="Arial"/>
          <w:color w:val="000000"/>
          <w:sz w:val="20"/>
          <w:szCs w:val="20"/>
        </w:rPr>
        <w:tab/>
        <w:t>ferrotitanium;</w:t>
      </w:r>
    </w:p>
    <w:p w14:paraId="7C28A768"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(g)</w:t>
      </w:r>
      <w:r w:rsidRPr="001A006E">
        <w:rPr>
          <w:rFonts w:ascii="Arial" w:hAnsi="Arial" w:cs="Arial"/>
          <w:color w:val="000000"/>
          <w:sz w:val="20"/>
          <w:szCs w:val="20"/>
        </w:rPr>
        <w:tab/>
        <w:t>ferrotungsten;</w:t>
      </w:r>
    </w:p>
    <w:p w14:paraId="3EAB3AB1" w14:textId="77777777" w:rsidR="003C4881" w:rsidRPr="001A006E" w:rsidRDefault="003C4881" w:rsidP="003C4881">
      <w:pPr>
        <w:pStyle w:val="P1"/>
        <w:rPr>
          <w:rFonts w:ascii="Arial" w:hAnsi="Arial" w:cs="Arial"/>
          <w:color w:val="000000"/>
          <w:sz w:val="20"/>
          <w:szCs w:val="20"/>
        </w:rPr>
      </w:pPr>
      <w:r w:rsidRPr="001A006E">
        <w:rPr>
          <w:rFonts w:ascii="Arial" w:hAnsi="Arial" w:cs="Arial"/>
          <w:color w:val="000000"/>
          <w:sz w:val="20"/>
          <w:szCs w:val="20"/>
        </w:rPr>
        <w:tab/>
        <w:t>(h)</w:t>
      </w:r>
      <w:r w:rsidRPr="001A006E">
        <w:rPr>
          <w:rFonts w:ascii="Arial" w:hAnsi="Arial" w:cs="Arial"/>
          <w:color w:val="000000"/>
          <w:sz w:val="20"/>
          <w:szCs w:val="20"/>
        </w:rPr>
        <w:tab/>
        <w:t>ferrovanadium.</w:t>
      </w:r>
    </w:p>
    <w:p w14:paraId="49F76028" w14:textId="77777777" w:rsidR="003C4881" w:rsidRDefault="005D37C4" w:rsidP="003C4881">
      <w:pPr>
        <w:pStyle w:val="Equation"/>
        <w:rPr>
          <w:lang w:eastAsia="en-AU"/>
        </w:rPr>
      </w:pPr>
      <w:r>
        <w:rPr>
          <w:lang w:eastAsia="en-AU"/>
        </w:rPr>
        <w:t>The following formula can be used to estimate greenhouse gas emissions from ferroalloys production.</w:t>
      </w:r>
    </w:p>
    <w:tbl>
      <w:tblPr>
        <w:tblW w:w="0" w:type="auto"/>
        <w:tblInd w:w="948" w:type="dxa"/>
        <w:tblLayout w:type="fixed"/>
        <w:tblLook w:val="04A0" w:firstRow="1" w:lastRow="0" w:firstColumn="1" w:lastColumn="0" w:noHBand="0" w:noVBand="1"/>
      </w:tblPr>
      <w:tblGrid>
        <w:gridCol w:w="882"/>
        <w:gridCol w:w="6678"/>
      </w:tblGrid>
      <w:tr w:rsidR="003E2C15" w:rsidRPr="00A94B09" w14:paraId="11FB1188" w14:textId="77777777" w:rsidTr="003E2C15">
        <w:trPr>
          <w:cantSplit/>
          <w:trHeight w:val="80"/>
        </w:trPr>
        <w:tc>
          <w:tcPr>
            <w:tcW w:w="882" w:type="dxa"/>
            <w:hideMark/>
          </w:tcPr>
          <w:p w14:paraId="3230BFCA" w14:textId="77777777" w:rsidR="003E2C15" w:rsidRPr="00A94B09" w:rsidRDefault="003E2C15" w:rsidP="003E2C15">
            <w:pPr>
              <w:keepNext/>
              <w:spacing w:before="60" w:after="60"/>
              <w:rPr>
                <w:i/>
              </w:rPr>
            </w:pPr>
            <w:r w:rsidRPr="00A94B09">
              <w:rPr>
                <w:i/>
              </w:rPr>
              <w:t>Step 1</w:t>
            </w:r>
          </w:p>
        </w:tc>
        <w:tc>
          <w:tcPr>
            <w:tcW w:w="6678" w:type="dxa"/>
            <w:hideMark/>
          </w:tcPr>
          <w:p w14:paraId="133A7962" w14:textId="77777777" w:rsidR="003E2C15" w:rsidRPr="00A94B09" w:rsidRDefault="003E2C15" w:rsidP="00DA0A7A">
            <w:pPr>
              <w:pStyle w:val="TableText1"/>
            </w:pPr>
            <w:r w:rsidRPr="00A94B09">
              <w:t>Work out the carbon content in fuel types (</w:t>
            </w:r>
            <w:r w:rsidRPr="00A94B09">
              <w:rPr>
                <w:b/>
                <w:i/>
              </w:rPr>
              <w:t>i</w:t>
            </w:r>
            <w:r w:rsidRPr="00A94B09">
              <w:t>) or carbonaceous input material delivered for the activity during the year, measured in tonnes of carbon, as follows:</w:t>
            </w:r>
          </w:p>
          <w:p w14:paraId="454F65A4" w14:textId="77777777" w:rsidR="003E2C15" w:rsidRPr="00A94B09" w:rsidRDefault="00CA4FB8" w:rsidP="00DA0A7A">
            <w:pPr>
              <w:pStyle w:val="Formula"/>
              <w:spacing w:before="120" w:after="120"/>
            </w:pPr>
            <w:r>
              <w:rPr>
                <w:position w:val="-10"/>
              </w:rPr>
              <w:pict w14:anchorId="4818BD7B">
                <v:shape id="_x0000_i1056" type="#_x0000_t75" style="width:65.25pt;height:15.75pt">
                  <v:imagedata r:id="rId55" o:title=""/>
                </v:shape>
              </w:pict>
            </w:r>
          </w:p>
        </w:tc>
      </w:tr>
      <w:tr w:rsidR="003E2C15" w:rsidRPr="00A94B09" w14:paraId="6E647D95" w14:textId="77777777" w:rsidTr="003E2C15">
        <w:trPr>
          <w:cantSplit/>
          <w:trHeight w:val="80"/>
        </w:trPr>
        <w:tc>
          <w:tcPr>
            <w:tcW w:w="882" w:type="dxa"/>
            <w:vAlign w:val="center"/>
            <w:hideMark/>
          </w:tcPr>
          <w:p w14:paraId="67DC56C9" w14:textId="77777777" w:rsidR="003E2C15" w:rsidRPr="00A94B09" w:rsidRDefault="003E2C15" w:rsidP="003E2C15">
            <w:pPr>
              <w:rPr>
                <w:i/>
              </w:rPr>
            </w:pPr>
          </w:p>
        </w:tc>
        <w:tc>
          <w:tcPr>
            <w:tcW w:w="6678" w:type="dxa"/>
            <w:hideMark/>
          </w:tcPr>
          <w:p w14:paraId="0AFA48B2" w14:textId="77777777" w:rsidR="003E2C15" w:rsidRPr="00A94B09" w:rsidRDefault="003E2C15" w:rsidP="00DA0A7A">
            <w:pPr>
              <w:pStyle w:val="TableText1"/>
            </w:pPr>
            <w:r w:rsidRPr="00A94B09">
              <w:t>where:</w:t>
            </w:r>
          </w:p>
          <w:p w14:paraId="3EC388D1" w14:textId="77777777" w:rsidR="003E2C15" w:rsidRPr="00A94B09" w:rsidRDefault="003E2C15" w:rsidP="00DA0A7A">
            <w:pPr>
              <w:pStyle w:val="TableText1"/>
              <w:spacing w:line="240" w:lineRule="auto"/>
            </w:pPr>
            <w:r w:rsidRPr="00A94B09">
              <w:rPr>
                <w:rFonts w:ascii="Symbol" w:hAnsi="Symbol"/>
                <w:b/>
                <w:i/>
              </w:rPr>
              <w:t></w:t>
            </w:r>
            <w:r w:rsidRPr="00A94B09">
              <w:rPr>
                <w:b/>
                <w:i/>
                <w:vertAlign w:val="subscript"/>
              </w:rPr>
              <w:t>i</w:t>
            </w:r>
            <w:r w:rsidRPr="00A94B09">
              <w:rPr>
                <w:i/>
              </w:rPr>
              <w:t xml:space="preserve"> </w:t>
            </w:r>
            <w:r w:rsidRPr="00A94B09">
              <w:t xml:space="preserve">means the sum of the </w:t>
            </w:r>
            <w:r w:rsidRPr="00A94B09">
              <w:rPr>
                <w:szCs w:val="22"/>
              </w:rPr>
              <w:t>carbon</w:t>
            </w:r>
            <w:r w:rsidRPr="00A94B09">
              <w:t xml:space="preserve"> content values obtained for all fuel types (</w:t>
            </w:r>
            <w:r w:rsidRPr="00A94B09">
              <w:rPr>
                <w:b/>
                <w:i/>
              </w:rPr>
              <w:t>i</w:t>
            </w:r>
            <w:r w:rsidRPr="00A94B09">
              <w:t>) or carbonaceous input material.</w:t>
            </w:r>
          </w:p>
        </w:tc>
      </w:tr>
      <w:tr w:rsidR="003E2C15" w:rsidRPr="00A94B09" w14:paraId="3BEA4227" w14:textId="77777777" w:rsidTr="003E2C15">
        <w:trPr>
          <w:cantSplit/>
          <w:trHeight w:val="80"/>
        </w:trPr>
        <w:tc>
          <w:tcPr>
            <w:tcW w:w="882" w:type="dxa"/>
            <w:vAlign w:val="center"/>
            <w:hideMark/>
          </w:tcPr>
          <w:p w14:paraId="2032BE28" w14:textId="77777777" w:rsidR="003E2C15" w:rsidRPr="00A94B09" w:rsidRDefault="003E2C15" w:rsidP="003E2C15">
            <w:pPr>
              <w:rPr>
                <w:i/>
              </w:rPr>
            </w:pPr>
          </w:p>
        </w:tc>
        <w:tc>
          <w:tcPr>
            <w:tcW w:w="6678" w:type="dxa"/>
            <w:hideMark/>
          </w:tcPr>
          <w:p w14:paraId="55B5D647" w14:textId="77777777" w:rsidR="003E2C15" w:rsidRPr="00A94B09" w:rsidRDefault="003E2C15" w:rsidP="00DA0A7A">
            <w:pPr>
              <w:pStyle w:val="TableText1"/>
              <w:rPr>
                <w:b/>
                <w:i/>
              </w:rPr>
            </w:pPr>
            <w:r w:rsidRPr="00A94B09">
              <w:rPr>
                <w:b/>
                <w:i/>
              </w:rPr>
              <w:t>CCF</w:t>
            </w:r>
            <w:r w:rsidRPr="00A94B09">
              <w:rPr>
                <w:b/>
                <w:i/>
                <w:vertAlign w:val="subscript"/>
              </w:rPr>
              <w:t>i</w:t>
            </w:r>
            <w:r w:rsidRPr="00A94B09">
              <w:rPr>
                <w:i/>
              </w:rPr>
              <w:t xml:space="preserve"> </w:t>
            </w:r>
            <w:r w:rsidRPr="00A94B09">
              <w:t>is the carbon content factor mentioned in Schedule 3, measured in tonnes of carbon, for each appropriate unit of fuel type (</w:t>
            </w:r>
            <w:r w:rsidRPr="00A94B09">
              <w:rPr>
                <w:b/>
                <w:i/>
              </w:rPr>
              <w:t>i</w:t>
            </w:r>
            <w:r w:rsidRPr="00A94B09">
              <w:t>) or carbonaceous input material consumed during the year from the operation of the activity.</w:t>
            </w:r>
          </w:p>
        </w:tc>
      </w:tr>
      <w:tr w:rsidR="003E2C15" w:rsidRPr="00A94B09" w14:paraId="1DDFBEB7" w14:textId="77777777" w:rsidTr="003E2C15">
        <w:trPr>
          <w:cantSplit/>
          <w:trHeight w:val="80"/>
        </w:trPr>
        <w:tc>
          <w:tcPr>
            <w:tcW w:w="882" w:type="dxa"/>
            <w:vAlign w:val="center"/>
            <w:hideMark/>
          </w:tcPr>
          <w:p w14:paraId="24F89C46" w14:textId="77777777" w:rsidR="003E2C15" w:rsidRPr="00A94B09" w:rsidRDefault="003E2C15" w:rsidP="003E2C15">
            <w:pPr>
              <w:rPr>
                <w:i/>
              </w:rPr>
            </w:pPr>
          </w:p>
        </w:tc>
        <w:tc>
          <w:tcPr>
            <w:tcW w:w="6678" w:type="dxa"/>
            <w:hideMark/>
          </w:tcPr>
          <w:p w14:paraId="708FF58E" w14:textId="77777777" w:rsidR="003E2C15" w:rsidRPr="00A94B09" w:rsidRDefault="003E2C15" w:rsidP="00DA0A7A">
            <w:pPr>
              <w:spacing w:before="60" w:after="60" w:line="240" w:lineRule="exact"/>
              <w:ind w:left="0"/>
              <w:rPr>
                <w:sz w:val="22"/>
              </w:rPr>
            </w:pPr>
            <w:r w:rsidRPr="00A94B09">
              <w:rPr>
                <w:b/>
                <w:i/>
                <w:sz w:val="22"/>
              </w:rPr>
              <w:t>Q</w:t>
            </w:r>
            <w:r w:rsidRPr="00A94B09">
              <w:rPr>
                <w:b/>
                <w:i/>
                <w:sz w:val="22"/>
                <w:vertAlign w:val="subscript"/>
              </w:rPr>
              <w:t xml:space="preserve">i </w:t>
            </w:r>
            <w:r w:rsidRPr="00A94B09">
              <w:rPr>
                <w:sz w:val="22"/>
              </w:rPr>
              <w:t>is the quantity of fuel type (</w:t>
            </w:r>
            <w:r w:rsidRPr="00A94B09">
              <w:rPr>
                <w:b/>
                <w:i/>
                <w:sz w:val="22"/>
              </w:rPr>
              <w:t>i</w:t>
            </w:r>
            <w:r w:rsidRPr="00A94B09">
              <w:rPr>
                <w:sz w:val="22"/>
              </w:rPr>
              <w:t xml:space="preserve">) or carbonaceous input material delivered for the activity during the year, measured in an appropriate unit and estimated in accordance with: </w:t>
            </w:r>
          </w:p>
          <w:p w14:paraId="5DCC3767" w14:textId="77777777" w:rsidR="003E2C15" w:rsidRPr="00A94B09" w:rsidRDefault="003E2C15" w:rsidP="00DA0A7A">
            <w:pPr>
              <w:pStyle w:val="TableP1a"/>
              <w:ind w:left="0"/>
            </w:pPr>
            <w:r w:rsidRPr="00A94B09">
              <w:tab/>
              <w:t>(a)</w:t>
            </w:r>
            <w:r w:rsidRPr="00A94B09">
              <w:tab/>
              <w:t xml:space="preserve">criterion A in Divisions 2.2.5, 2.3.6 and 2.4.6; or </w:t>
            </w:r>
          </w:p>
          <w:p w14:paraId="7E765D21" w14:textId="77777777" w:rsidR="003E2C15" w:rsidRPr="00A94B09" w:rsidRDefault="003E2C15" w:rsidP="00DA0A7A">
            <w:pPr>
              <w:pStyle w:val="TableP1a"/>
              <w:ind w:left="0"/>
            </w:pPr>
            <w:r w:rsidRPr="00A94B09">
              <w:tab/>
              <w:t>(b)</w:t>
            </w:r>
            <w:r w:rsidRPr="00A94B09">
              <w:tab/>
              <w:t>if the quantity of fuel or carbonaceous input material is not acquired as part of a commercial transaction — industry practice, consistent with the principles in section 1.13.</w:t>
            </w:r>
          </w:p>
        </w:tc>
      </w:tr>
      <w:tr w:rsidR="003E2C15" w:rsidRPr="00A94B09" w14:paraId="5D0D0373" w14:textId="77777777" w:rsidTr="003E2C15">
        <w:trPr>
          <w:cantSplit/>
        </w:trPr>
        <w:tc>
          <w:tcPr>
            <w:tcW w:w="882" w:type="dxa"/>
            <w:vMerge w:val="restart"/>
            <w:hideMark/>
          </w:tcPr>
          <w:p w14:paraId="2BA4328C" w14:textId="77777777" w:rsidR="003E2C15" w:rsidRPr="00A94B09" w:rsidRDefault="003E2C15" w:rsidP="003E2C15">
            <w:pPr>
              <w:spacing w:before="60" w:after="60"/>
              <w:rPr>
                <w:i/>
              </w:rPr>
            </w:pPr>
            <w:r w:rsidRPr="00A94B09">
              <w:rPr>
                <w:i/>
              </w:rPr>
              <w:t>Step 2</w:t>
            </w:r>
          </w:p>
        </w:tc>
        <w:tc>
          <w:tcPr>
            <w:tcW w:w="6678" w:type="dxa"/>
            <w:hideMark/>
          </w:tcPr>
          <w:p w14:paraId="5533E3F3" w14:textId="77777777" w:rsidR="003E2C15" w:rsidRPr="00A94B09" w:rsidRDefault="003E2C15" w:rsidP="00DA0A7A">
            <w:pPr>
              <w:pStyle w:val="TableText1"/>
            </w:pPr>
            <w:r w:rsidRPr="00A94B09">
              <w:t>Work out the carbon content in products (</w:t>
            </w:r>
            <w:r w:rsidRPr="00A94B09">
              <w:rPr>
                <w:b/>
                <w:i/>
              </w:rPr>
              <w:t>p</w:t>
            </w:r>
            <w:r w:rsidRPr="00A94B09">
              <w:t>) leaving the activity during the year, measured in tonnes of carbon, as follows:</w:t>
            </w:r>
          </w:p>
          <w:p w14:paraId="42BCB8DE" w14:textId="77777777" w:rsidR="003E2C15" w:rsidRPr="00A94B09" w:rsidRDefault="00CA4FB8" w:rsidP="00DA0A7A">
            <w:pPr>
              <w:pStyle w:val="Formula"/>
              <w:spacing w:before="120" w:after="120"/>
            </w:pPr>
            <w:r>
              <w:rPr>
                <w:position w:val="-14"/>
              </w:rPr>
              <w:pict w14:anchorId="7829EDFF">
                <v:shape id="_x0000_i1057" type="#_x0000_t75" style="width:72.75pt;height:18.75pt">
                  <v:imagedata r:id="rId56" o:title=""/>
                </v:shape>
              </w:pict>
            </w:r>
          </w:p>
        </w:tc>
      </w:tr>
      <w:tr w:rsidR="003E2C15" w:rsidRPr="00A94B09" w14:paraId="3A71298B" w14:textId="77777777" w:rsidTr="003E2C15">
        <w:trPr>
          <w:cantSplit/>
        </w:trPr>
        <w:tc>
          <w:tcPr>
            <w:tcW w:w="882" w:type="dxa"/>
            <w:vMerge/>
            <w:hideMark/>
          </w:tcPr>
          <w:p w14:paraId="574A34B5" w14:textId="77777777" w:rsidR="003E2C15" w:rsidRPr="00A94B09" w:rsidRDefault="003E2C15" w:rsidP="003E2C15">
            <w:pPr>
              <w:spacing w:before="60" w:after="60"/>
              <w:rPr>
                <w:i/>
              </w:rPr>
            </w:pPr>
          </w:p>
        </w:tc>
        <w:tc>
          <w:tcPr>
            <w:tcW w:w="6678" w:type="dxa"/>
            <w:hideMark/>
          </w:tcPr>
          <w:p w14:paraId="54D4ED1A" w14:textId="77777777" w:rsidR="003E2C15" w:rsidRPr="00A94B09" w:rsidRDefault="003E2C15" w:rsidP="00DA0A7A">
            <w:pPr>
              <w:pStyle w:val="TableText1"/>
              <w:spacing w:before="0" w:after="120"/>
            </w:pPr>
            <w:r w:rsidRPr="00A94B09">
              <w:t>where:</w:t>
            </w:r>
          </w:p>
          <w:p w14:paraId="0798E720" w14:textId="77777777" w:rsidR="003E2C15" w:rsidRPr="00A94B09" w:rsidRDefault="003E2C15" w:rsidP="00DA0A7A">
            <w:pPr>
              <w:pStyle w:val="TableText1"/>
              <w:spacing w:before="0" w:after="120" w:line="240" w:lineRule="auto"/>
            </w:pPr>
            <w:r w:rsidRPr="00A94B09">
              <w:rPr>
                <w:rFonts w:ascii="Symbol" w:hAnsi="Symbol"/>
                <w:b/>
                <w:i/>
              </w:rPr>
              <w:t></w:t>
            </w:r>
            <w:r w:rsidRPr="00A94B09">
              <w:rPr>
                <w:b/>
                <w:i/>
                <w:vertAlign w:val="subscript"/>
              </w:rPr>
              <w:t>p</w:t>
            </w:r>
            <w:r w:rsidRPr="00A94B09">
              <w:rPr>
                <w:i/>
              </w:rPr>
              <w:t xml:space="preserve"> </w:t>
            </w:r>
            <w:r w:rsidRPr="00A94B09">
              <w:t xml:space="preserve">means the sum of the </w:t>
            </w:r>
            <w:r w:rsidRPr="00A94B09">
              <w:rPr>
                <w:szCs w:val="22"/>
              </w:rPr>
              <w:t>carbon</w:t>
            </w:r>
            <w:r w:rsidRPr="00A94B09">
              <w:t xml:space="preserve"> content values obtained for all product types (</w:t>
            </w:r>
            <w:r w:rsidRPr="00A94B09">
              <w:rPr>
                <w:b/>
                <w:i/>
              </w:rPr>
              <w:t>p</w:t>
            </w:r>
            <w:r w:rsidRPr="00A94B09">
              <w:t>).</w:t>
            </w:r>
          </w:p>
          <w:p w14:paraId="0FE76097" w14:textId="77777777" w:rsidR="003E2C15" w:rsidRPr="00A94B09" w:rsidRDefault="003E2C15" w:rsidP="00DA0A7A">
            <w:pPr>
              <w:pStyle w:val="TableText1"/>
              <w:spacing w:before="0" w:after="120" w:line="240" w:lineRule="auto"/>
              <w:rPr>
                <w:iCs/>
              </w:rPr>
            </w:pPr>
            <w:r w:rsidRPr="00A94B09">
              <w:rPr>
                <w:b/>
                <w:i/>
                <w:iCs/>
              </w:rPr>
              <w:t>CCF</w:t>
            </w:r>
            <w:r w:rsidRPr="00A94B09">
              <w:rPr>
                <w:b/>
                <w:i/>
                <w:iCs/>
                <w:vertAlign w:val="subscript"/>
              </w:rPr>
              <w:t>p</w:t>
            </w:r>
            <w:r w:rsidRPr="00A94B09">
              <w:rPr>
                <w:iCs/>
              </w:rPr>
              <w:t xml:space="preserve"> is the </w:t>
            </w:r>
            <w:r w:rsidRPr="00A94B09">
              <w:rPr>
                <w:szCs w:val="22"/>
              </w:rPr>
              <w:t>carbon</w:t>
            </w:r>
            <w:r w:rsidRPr="00A94B09">
              <w:rPr>
                <w:iCs/>
              </w:rPr>
              <w:t xml:space="preserve"> content factor, measured in tonnes of carbon, for each tonne of product type</w:t>
            </w:r>
            <w:r w:rsidRPr="00A94B09">
              <w:rPr>
                <w:b/>
                <w:i/>
                <w:iCs/>
              </w:rPr>
              <w:t xml:space="preserve"> </w:t>
            </w:r>
            <w:r w:rsidRPr="00A94B09">
              <w:rPr>
                <w:iCs/>
              </w:rPr>
              <w:t>(</w:t>
            </w:r>
            <w:r w:rsidRPr="00A94B09">
              <w:rPr>
                <w:b/>
                <w:i/>
                <w:iCs/>
              </w:rPr>
              <w:t>p</w:t>
            </w:r>
            <w:r w:rsidRPr="00A94B09">
              <w:rPr>
                <w:iCs/>
              </w:rPr>
              <w:t>) produced during the year.</w:t>
            </w:r>
          </w:p>
        </w:tc>
      </w:tr>
      <w:tr w:rsidR="003E2C15" w:rsidRPr="00A94B09" w14:paraId="2E678C10" w14:textId="77777777" w:rsidTr="003E2C15">
        <w:trPr>
          <w:cantSplit/>
        </w:trPr>
        <w:tc>
          <w:tcPr>
            <w:tcW w:w="882" w:type="dxa"/>
            <w:vMerge/>
            <w:vAlign w:val="center"/>
            <w:hideMark/>
          </w:tcPr>
          <w:p w14:paraId="2253852D" w14:textId="77777777" w:rsidR="003E2C15" w:rsidRPr="00A94B09" w:rsidRDefault="003E2C15" w:rsidP="003E2C15">
            <w:pPr>
              <w:rPr>
                <w:i/>
              </w:rPr>
            </w:pPr>
          </w:p>
        </w:tc>
        <w:tc>
          <w:tcPr>
            <w:tcW w:w="6678" w:type="dxa"/>
            <w:hideMark/>
          </w:tcPr>
          <w:p w14:paraId="7928D45A" w14:textId="77777777" w:rsidR="003E2C15" w:rsidRPr="00A94B09" w:rsidRDefault="003E2C15" w:rsidP="00DA0A7A">
            <w:pPr>
              <w:pStyle w:val="TableText1"/>
              <w:spacing w:before="0" w:after="120" w:line="240" w:lineRule="auto"/>
            </w:pPr>
            <w:r w:rsidRPr="00A94B09">
              <w:rPr>
                <w:b/>
                <w:i/>
              </w:rPr>
              <w:t>A</w:t>
            </w:r>
            <w:r w:rsidRPr="00A94B09">
              <w:rPr>
                <w:b/>
                <w:i/>
                <w:vertAlign w:val="subscript"/>
              </w:rPr>
              <w:t>p</w:t>
            </w:r>
            <w:r w:rsidRPr="00A94B09">
              <w:rPr>
                <w:i/>
              </w:rPr>
              <w:t xml:space="preserve"> </w:t>
            </w:r>
            <w:r w:rsidRPr="00A94B09">
              <w:t>is the quantity of product types (</w:t>
            </w:r>
            <w:r w:rsidRPr="00A94B09">
              <w:rPr>
                <w:b/>
                <w:i/>
              </w:rPr>
              <w:t>p</w:t>
            </w:r>
            <w:r w:rsidRPr="00A94B09">
              <w:t>) produced leaving the activity during the year, measured in tonnes.</w:t>
            </w:r>
          </w:p>
        </w:tc>
      </w:tr>
      <w:tr w:rsidR="003E2C15" w:rsidRPr="00A94B09" w14:paraId="230E6E74" w14:textId="77777777" w:rsidTr="003E2C15">
        <w:trPr>
          <w:cantSplit/>
        </w:trPr>
        <w:tc>
          <w:tcPr>
            <w:tcW w:w="882" w:type="dxa"/>
            <w:vMerge w:val="restart"/>
            <w:hideMark/>
          </w:tcPr>
          <w:p w14:paraId="557515F5" w14:textId="77777777" w:rsidR="003E2C15" w:rsidRPr="00A94B09" w:rsidRDefault="003E2C15" w:rsidP="003E2C15">
            <w:pPr>
              <w:spacing w:before="60" w:after="60"/>
              <w:rPr>
                <w:i/>
              </w:rPr>
            </w:pPr>
            <w:r w:rsidRPr="00A94B09">
              <w:rPr>
                <w:i/>
              </w:rPr>
              <w:t>Step 3</w:t>
            </w:r>
          </w:p>
        </w:tc>
        <w:tc>
          <w:tcPr>
            <w:tcW w:w="6678" w:type="dxa"/>
            <w:hideMark/>
          </w:tcPr>
          <w:p w14:paraId="07D8312C" w14:textId="77777777" w:rsidR="003E2C15" w:rsidRPr="00A94B09" w:rsidRDefault="003E2C15" w:rsidP="00DA0A7A">
            <w:pPr>
              <w:pStyle w:val="TableText1"/>
              <w:rPr>
                <w:iCs/>
              </w:rPr>
            </w:pPr>
            <w:r w:rsidRPr="00A94B09">
              <w:rPr>
                <w:iCs/>
              </w:rPr>
              <w:t xml:space="preserve">Work out </w:t>
            </w:r>
            <w:r w:rsidRPr="00A94B09">
              <w:t xml:space="preserve">the carbon content in </w:t>
            </w:r>
            <w:r w:rsidRPr="00A94B09">
              <w:rPr>
                <w:iCs/>
              </w:rPr>
              <w:t>waste by</w:t>
            </w:r>
            <w:r w:rsidRPr="00A94B09">
              <w:rPr>
                <w:iCs/>
              </w:rPr>
              <w:noBreakHyphen/>
              <w:t xml:space="preserve">product types </w:t>
            </w:r>
            <w:r w:rsidRPr="00A94B09">
              <w:rPr>
                <w:b/>
                <w:i/>
              </w:rPr>
              <w:t xml:space="preserve">(r) </w:t>
            </w:r>
            <w:r w:rsidRPr="00A94B09">
              <w:t>leaving the activity,</w:t>
            </w:r>
            <w:r w:rsidRPr="00A94B09">
              <w:rPr>
                <w:iCs/>
              </w:rPr>
              <w:t xml:space="preserve"> other than as an emission of greenhouse gas, during the year, </w:t>
            </w:r>
            <w:r w:rsidRPr="00A94B09">
              <w:t xml:space="preserve">measured in tonnes of carbon, </w:t>
            </w:r>
            <w:r w:rsidRPr="00A94B09">
              <w:rPr>
                <w:iCs/>
              </w:rPr>
              <w:t>as follows:</w:t>
            </w:r>
          </w:p>
          <w:p w14:paraId="0BE31E4F" w14:textId="77777777" w:rsidR="003E2C15" w:rsidRPr="00A94B09" w:rsidRDefault="00CA4FB8" w:rsidP="00DA0A7A">
            <w:pPr>
              <w:pStyle w:val="Formula"/>
              <w:spacing w:before="120" w:after="120"/>
            </w:pPr>
            <w:r>
              <w:rPr>
                <w:position w:val="-10"/>
              </w:rPr>
              <w:pict w14:anchorId="7B9C596D">
                <v:shape id="_x0000_i1058" type="#_x0000_t75" style="width:71.25pt;height:15.75pt">
                  <v:imagedata r:id="rId57" o:title=""/>
                </v:shape>
              </w:pict>
            </w:r>
          </w:p>
        </w:tc>
      </w:tr>
      <w:tr w:rsidR="003E2C15" w:rsidRPr="00A94B09" w14:paraId="6E7CE97E" w14:textId="77777777" w:rsidTr="003E2C15">
        <w:trPr>
          <w:cantSplit/>
        </w:trPr>
        <w:tc>
          <w:tcPr>
            <w:tcW w:w="882" w:type="dxa"/>
            <w:vMerge/>
            <w:vAlign w:val="center"/>
            <w:hideMark/>
          </w:tcPr>
          <w:p w14:paraId="7BB022FE" w14:textId="77777777" w:rsidR="003E2C15" w:rsidRPr="00A94B09" w:rsidRDefault="003E2C15" w:rsidP="003E2C15">
            <w:pPr>
              <w:rPr>
                <w:i/>
              </w:rPr>
            </w:pPr>
          </w:p>
        </w:tc>
        <w:tc>
          <w:tcPr>
            <w:tcW w:w="6678" w:type="dxa"/>
            <w:hideMark/>
          </w:tcPr>
          <w:p w14:paraId="2F3B55B9" w14:textId="77777777" w:rsidR="003E2C15" w:rsidRPr="00A94B09" w:rsidRDefault="003E2C15" w:rsidP="00DA0A7A">
            <w:pPr>
              <w:pStyle w:val="TableText1"/>
            </w:pPr>
            <w:r w:rsidRPr="00A94B09">
              <w:t>where:</w:t>
            </w:r>
          </w:p>
          <w:p w14:paraId="12545FF8" w14:textId="77777777" w:rsidR="003E2C15" w:rsidRPr="00A94B09" w:rsidRDefault="003E2C15" w:rsidP="00DA0A7A">
            <w:pPr>
              <w:pStyle w:val="TableText1"/>
              <w:spacing w:before="0" w:after="120"/>
            </w:pPr>
            <w:r w:rsidRPr="00A94B09">
              <w:rPr>
                <w:rFonts w:ascii="Symbol" w:hAnsi="Symbol"/>
                <w:b/>
                <w:i/>
              </w:rPr>
              <w:t></w:t>
            </w:r>
            <w:r w:rsidRPr="00A94B09">
              <w:rPr>
                <w:b/>
                <w:i/>
                <w:vertAlign w:val="subscript"/>
              </w:rPr>
              <w:t>r</w:t>
            </w:r>
            <w:r w:rsidRPr="00A94B09">
              <w:rPr>
                <w:i/>
              </w:rPr>
              <w:t xml:space="preserve"> </w:t>
            </w:r>
            <w:r w:rsidRPr="00A94B09">
              <w:t>means the sum of the carbon content values obtained for all waste by</w:t>
            </w:r>
            <w:r w:rsidRPr="00A94B09">
              <w:noBreakHyphen/>
              <w:t>product types (</w:t>
            </w:r>
            <w:r w:rsidRPr="00A94B09">
              <w:rPr>
                <w:b/>
                <w:i/>
              </w:rPr>
              <w:t>r</w:t>
            </w:r>
            <w:r w:rsidRPr="00A94B09">
              <w:t>).</w:t>
            </w:r>
          </w:p>
          <w:p w14:paraId="49F264B1" w14:textId="77777777" w:rsidR="003E2C15" w:rsidRPr="00A94B09" w:rsidRDefault="003E2C15" w:rsidP="00DA0A7A">
            <w:pPr>
              <w:pStyle w:val="TableText1"/>
              <w:spacing w:before="0" w:after="120"/>
              <w:rPr>
                <w:iCs/>
              </w:rPr>
            </w:pPr>
            <w:r w:rsidRPr="00A94B09">
              <w:rPr>
                <w:b/>
                <w:i/>
                <w:iCs/>
              </w:rPr>
              <w:t>CCF</w:t>
            </w:r>
            <w:r w:rsidRPr="00A94B09">
              <w:rPr>
                <w:b/>
                <w:i/>
                <w:iCs/>
                <w:vertAlign w:val="subscript"/>
              </w:rPr>
              <w:t>r</w:t>
            </w:r>
            <w:r w:rsidRPr="00A94B09">
              <w:rPr>
                <w:iCs/>
              </w:rPr>
              <w:t xml:space="preserve"> is the carbon content factor, measured in tonnes of carbon, for each tonne of waste by</w:t>
            </w:r>
            <w:r w:rsidRPr="00A94B09">
              <w:rPr>
                <w:iCs/>
              </w:rPr>
              <w:noBreakHyphen/>
              <w:t>product types</w:t>
            </w:r>
            <w:r w:rsidRPr="00A94B09">
              <w:rPr>
                <w:b/>
                <w:i/>
                <w:iCs/>
              </w:rPr>
              <w:t xml:space="preserve"> </w:t>
            </w:r>
            <w:r w:rsidRPr="00A94B09">
              <w:rPr>
                <w:iCs/>
              </w:rPr>
              <w:t>(</w:t>
            </w:r>
            <w:r w:rsidRPr="00A94B09">
              <w:rPr>
                <w:b/>
                <w:i/>
                <w:iCs/>
              </w:rPr>
              <w:t>r</w:t>
            </w:r>
            <w:r w:rsidRPr="00A94B09">
              <w:rPr>
                <w:iCs/>
              </w:rPr>
              <w:t>).</w:t>
            </w:r>
          </w:p>
          <w:p w14:paraId="730DAB98" w14:textId="77777777" w:rsidR="003E2C15" w:rsidRPr="00A94B09" w:rsidRDefault="003E2C15" w:rsidP="00DA0A7A">
            <w:pPr>
              <w:pStyle w:val="TableText1"/>
              <w:spacing w:before="0" w:after="120"/>
            </w:pPr>
            <w:r w:rsidRPr="00A94B09">
              <w:rPr>
                <w:b/>
                <w:i/>
              </w:rPr>
              <w:t>Y</w:t>
            </w:r>
            <w:r w:rsidRPr="00A94B09">
              <w:rPr>
                <w:b/>
                <w:i/>
                <w:vertAlign w:val="subscript"/>
              </w:rPr>
              <w:t>r</w:t>
            </w:r>
            <w:r w:rsidRPr="00A94B09">
              <w:rPr>
                <w:i/>
              </w:rPr>
              <w:t xml:space="preserve"> </w:t>
            </w:r>
            <w:r w:rsidRPr="00A94B09">
              <w:t>is the quantity of waste by</w:t>
            </w:r>
            <w:r w:rsidRPr="00A94B09">
              <w:noBreakHyphen/>
              <w:t>product types (</w:t>
            </w:r>
            <w:r w:rsidRPr="00A94B09">
              <w:rPr>
                <w:b/>
                <w:i/>
              </w:rPr>
              <w:t>r</w:t>
            </w:r>
            <w:r w:rsidRPr="00A94B09">
              <w:t>) leaving the activity during the year, measured in tonnes.</w:t>
            </w:r>
          </w:p>
        </w:tc>
      </w:tr>
      <w:tr w:rsidR="003E2C15" w:rsidRPr="00A94B09" w14:paraId="368AC90A" w14:textId="77777777" w:rsidTr="003E2C15">
        <w:trPr>
          <w:cantSplit/>
        </w:trPr>
        <w:tc>
          <w:tcPr>
            <w:tcW w:w="882" w:type="dxa"/>
            <w:vMerge w:val="restart"/>
            <w:hideMark/>
          </w:tcPr>
          <w:p w14:paraId="4916699B" w14:textId="77777777" w:rsidR="003E2C15" w:rsidRPr="00A94B09" w:rsidRDefault="003E2C15" w:rsidP="003E2C15">
            <w:pPr>
              <w:spacing w:before="60" w:after="60"/>
              <w:rPr>
                <w:i/>
              </w:rPr>
            </w:pPr>
            <w:r w:rsidRPr="00A94B09">
              <w:rPr>
                <w:i/>
              </w:rPr>
              <w:t>Step 4</w:t>
            </w:r>
          </w:p>
        </w:tc>
        <w:tc>
          <w:tcPr>
            <w:tcW w:w="6678" w:type="dxa"/>
            <w:hideMark/>
          </w:tcPr>
          <w:p w14:paraId="7BDE2942" w14:textId="77777777" w:rsidR="003E2C15" w:rsidRPr="00A94B09" w:rsidRDefault="003E2C15" w:rsidP="00DA0A7A">
            <w:pPr>
              <w:pStyle w:val="TableText1"/>
              <w:rPr>
                <w:iCs/>
              </w:rPr>
            </w:pPr>
            <w:r w:rsidRPr="00A94B09">
              <w:t xml:space="preserve">Work out the carbon content in the amount of the change in </w:t>
            </w:r>
            <w:r w:rsidRPr="00A94B09">
              <w:rPr>
                <w:iCs/>
              </w:rPr>
              <w:t>stocks of inputs, products and waste by</w:t>
            </w:r>
            <w:r w:rsidRPr="00A94B09">
              <w:rPr>
                <w:iCs/>
              </w:rPr>
              <w:noBreakHyphen/>
              <w:t>products held within the boundary of the activity during the year, measured in tonnes of carbon, as follows:</w:t>
            </w:r>
          </w:p>
          <w:p w14:paraId="14E1D3E6" w14:textId="77777777" w:rsidR="003E2C15" w:rsidRPr="00A94B09" w:rsidRDefault="00CA4FB8" w:rsidP="00DA0A7A">
            <w:pPr>
              <w:pStyle w:val="Formula"/>
            </w:pPr>
            <w:r>
              <w:rPr>
                <w:position w:val="-14"/>
              </w:rPr>
              <w:pict w14:anchorId="381FAC4D">
                <v:shape id="_x0000_i1059" type="#_x0000_t75" style="width:273pt;height:18.75pt">
                  <v:imagedata r:id="rId58" o:title=""/>
                </v:shape>
              </w:pict>
            </w:r>
          </w:p>
        </w:tc>
      </w:tr>
      <w:tr w:rsidR="003E2C15" w:rsidRPr="00A94B09" w14:paraId="4A58B77F" w14:textId="77777777" w:rsidTr="003E2C15">
        <w:trPr>
          <w:cantSplit/>
        </w:trPr>
        <w:tc>
          <w:tcPr>
            <w:tcW w:w="882" w:type="dxa"/>
            <w:vMerge/>
            <w:hideMark/>
          </w:tcPr>
          <w:p w14:paraId="054F5E1A" w14:textId="77777777" w:rsidR="003E2C15" w:rsidRPr="00A94B09" w:rsidRDefault="003E2C15" w:rsidP="003E2C15">
            <w:pPr>
              <w:spacing w:before="60" w:after="60"/>
              <w:rPr>
                <w:i/>
              </w:rPr>
            </w:pPr>
          </w:p>
        </w:tc>
        <w:tc>
          <w:tcPr>
            <w:tcW w:w="6678" w:type="dxa"/>
            <w:hideMark/>
          </w:tcPr>
          <w:p w14:paraId="50D9BA46" w14:textId="77777777" w:rsidR="003E2C15" w:rsidRPr="00A94B09" w:rsidRDefault="003E2C15" w:rsidP="00DA0A7A">
            <w:pPr>
              <w:pStyle w:val="TableText1"/>
              <w:spacing w:before="0" w:after="120"/>
            </w:pPr>
            <w:r w:rsidRPr="00A94B09">
              <w:t>where:</w:t>
            </w:r>
          </w:p>
          <w:p w14:paraId="4BCBFD6D" w14:textId="77777777" w:rsidR="003E2C15" w:rsidRPr="00A94B09" w:rsidRDefault="003E2C15" w:rsidP="00DA0A7A">
            <w:pPr>
              <w:pStyle w:val="TableText1"/>
              <w:spacing w:before="0" w:after="120"/>
              <w:rPr>
                <w:b/>
                <w:i/>
              </w:rPr>
            </w:pPr>
            <w:r w:rsidRPr="00A94B09">
              <w:rPr>
                <w:rFonts w:ascii="Symbol" w:hAnsi="Symbol"/>
                <w:b/>
                <w:i/>
              </w:rPr>
              <w:t></w:t>
            </w:r>
            <w:r w:rsidRPr="00A94B09">
              <w:rPr>
                <w:b/>
                <w:i/>
                <w:vertAlign w:val="subscript"/>
              </w:rPr>
              <w:t>i</w:t>
            </w:r>
            <w:r w:rsidRPr="00A94B09">
              <w:rPr>
                <w:i/>
              </w:rPr>
              <w:t xml:space="preserve"> </w:t>
            </w:r>
            <w:r w:rsidRPr="00A94B09">
              <w:t>has the same meaning as in step 1.</w:t>
            </w:r>
          </w:p>
          <w:p w14:paraId="6BC60AF2" w14:textId="77777777" w:rsidR="003E2C15" w:rsidRPr="00A94B09" w:rsidRDefault="003E2C15" w:rsidP="00DA0A7A">
            <w:pPr>
              <w:pStyle w:val="TableText1"/>
              <w:spacing w:before="0" w:after="120"/>
            </w:pPr>
            <w:r w:rsidRPr="00A94B09">
              <w:rPr>
                <w:b/>
                <w:i/>
              </w:rPr>
              <w:t>CCF</w:t>
            </w:r>
            <w:r w:rsidRPr="00A94B09">
              <w:rPr>
                <w:b/>
                <w:i/>
                <w:vertAlign w:val="subscript"/>
              </w:rPr>
              <w:t>i</w:t>
            </w:r>
            <w:r w:rsidRPr="00A94B09">
              <w:rPr>
                <w:i/>
              </w:rPr>
              <w:t xml:space="preserve"> </w:t>
            </w:r>
            <w:r w:rsidRPr="00A94B09">
              <w:t>has the same meaning as in step 1.</w:t>
            </w:r>
          </w:p>
          <w:p w14:paraId="279EE9A4" w14:textId="77777777" w:rsidR="003E2C15" w:rsidRPr="00A94B09" w:rsidRDefault="003E2C15" w:rsidP="00DA0A7A">
            <w:pPr>
              <w:pStyle w:val="TableText1"/>
              <w:spacing w:before="0" w:after="120" w:line="240" w:lineRule="auto"/>
              <w:rPr>
                <w:iCs/>
              </w:rPr>
            </w:pPr>
            <w:r w:rsidRPr="00A94B09">
              <w:rPr>
                <w:b/>
                <w:i/>
                <w:iCs/>
              </w:rPr>
              <w:t>ΔS</w:t>
            </w:r>
            <w:r w:rsidRPr="00A94B09">
              <w:rPr>
                <w:b/>
                <w:i/>
                <w:iCs/>
                <w:szCs w:val="18"/>
                <w:vertAlign w:val="subscript"/>
              </w:rPr>
              <w:t>q</w:t>
            </w:r>
            <w:r w:rsidRPr="00A94B09">
              <w:rPr>
                <w:b/>
                <w:i/>
                <w:iCs/>
                <w:vertAlign w:val="subscript"/>
              </w:rPr>
              <w:t>i</w:t>
            </w:r>
            <w:r w:rsidRPr="00A94B09">
              <w:rPr>
                <w:iCs/>
              </w:rPr>
              <w:t xml:space="preserve"> is the change in stocks of fuel type (</w:t>
            </w:r>
            <w:r w:rsidRPr="00A94B09">
              <w:rPr>
                <w:b/>
                <w:i/>
                <w:iCs/>
              </w:rPr>
              <w:t>i</w:t>
            </w:r>
            <w:r w:rsidRPr="00A94B09">
              <w:rPr>
                <w:iCs/>
              </w:rPr>
              <w:t xml:space="preserve">) for the activity and held </w:t>
            </w:r>
            <w:r w:rsidRPr="00A94B09">
              <w:t xml:space="preserve">within </w:t>
            </w:r>
            <w:r w:rsidRPr="00A94B09">
              <w:rPr>
                <w:iCs/>
              </w:rPr>
              <w:t xml:space="preserve">the boundary of </w:t>
            </w:r>
            <w:r w:rsidRPr="00A94B09">
              <w:t xml:space="preserve">the activity </w:t>
            </w:r>
            <w:r w:rsidRPr="00A94B09">
              <w:rPr>
                <w:iCs/>
              </w:rPr>
              <w:t>during the year, measured in tonnes.</w:t>
            </w:r>
          </w:p>
          <w:p w14:paraId="1675F8A5" w14:textId="77777777" w:rsidR="003E2C15" w:rsidRPr="00A94B09" w:rsidRDefault="003E2C15" w:rsidP="00DA0A7A">
            <w:pPr>
              <w:pStyle w:val="TableText1"/>
              <w:spacing w:before="0" w:after="120"/>
              <w:rPr>
                <w:b/>
                <w:i/>
              </w:rPr>
            </w:pPr>
            <w:r w:rsidRPr="00A94B09">
              <w:rPr>
                <w:rFonts w:ascii="Symbol" w:hAnsi="Symbol"/>
                <w:b/>
                <w:i/>
              </w:rPr>
              <w:t></w:t>
            </w:r>
            <w:r w:rsidRPr="00A94B09">
              <w:rPr>
                <w:b/>
                <w:i/>
                <w:vertAlign w:val="subscript"/>
              </w:rPr>
              <w:t>p</w:t>
            </w:r>
            <w:r w:rsidRPr="00A94B09">
              <w:rPr>
                <w:i/>
              </w:rPr>
              <w:t xml:space="preserve"> </w:t>
            </w:r>
            <w:r w:rsidRPr="00A94B09">
              <w:t>has the same meaning as in step 2.</w:t>
            </w:r>
          </w:p>
          <w:p w14:paraId="46D09108" w14:textId="77777777" w:rsidR="003E2C15" w:rsidRPr="00A94B09" w:rsidRDefault="003E2C15" w:rsidP="00DA0A7A">
            <w:pPr>
              <w:pStyle w:val="TableText1"/>
              <w:spacing w:before="0" w:after="120"/>
              <w:rPr>
                <w:b/>
                <w:i/>
                <w:iCs/>
              </w:rPr>
            </w:pPr>
            <w:r w:rsidRPr="00A94B09">
              <w:rPr>
                <w:b/>
                <w:i/>
              </w:rPr>
              <w:t>CCF</w:t>
            </w:r>
            <w:r w:rsidRPr="00A94B09">
              <w:rPr>
                <w:b/>
                <w:i/>
                <w:vertAlign w:val="subscript"/>
              </w:rPr>
              <w:t>p</w:t>
            </w:r>
            <w:r w:rsidRPr="00A94B09">
              <w:rPr>
                <w:i/>
              </w:rPr>
              <w:t xml:space="preserve"> </w:t>
            </w:r>
            <w:r w:rsidRPr="00A94B09">
              <w:t>has the same meaning as in step 2.</w:t>
            </w:r>
          </w:p>
        </w:tc>
      </w:tr>
      <w:tr w:rsidR="003E2C15" w:rsidRPr="00A94B09" w14:paraId="1CBE57A3" w14:textId="77777777" w:rsidTr="003E2C15">
        <w:trPr>
          <w:cantSplit/>
        </w:trPr>
        <w:tc>
          <w:tcPr>
            <w:tcW w:w="882" w:type="dxa"/>
            <w:vMerge/>
            <w:vAlign w:val="center"/>
            <w:hideMark/>
          </w:tcPr>
          <w:p w14:paraId="488469F0" w14:textId="77777777" w:rsidR="003E2C15" w:rsidRPr="00A94B09" w:rsidRDefault="003E2C15" w:rsidP="003E2C15">
            <w:pPr>
              <w:rPr>
                <w:i/>
              </w:rPr>
            </w:pPr>
          </w:p>
        </w:tc>
        <w:tc>
          <w:tcPr>
            <w:tcW w:w="6678" w:type="dxa"/>
            <w:hideMark/>
          </w:tcPr>
          <w:p w14:paraId="1AE0FE1F" w14:textId="77777777" w:rsidR="003E2C15" w:rsidRPr="00A94B09" w:rsidRDefault="003E2C15" w:rsidP="00DA0A7A">
            <w:pPr>
              <w:pStyle w:val="TableText1"/>
              <w:spacing w:before="0" w:after="120" w:line="240" w:lineRule="auto"/>
              <w:rPr>
                <w:iCs/>
              </w:rPr>
            </w:pPr>
            <w:r w:rsidRPr="00A94B09">
              <w:rPr>
                <w:b/>
                <w:i/>
                <w:iCs/>
              </w:rPr>
              <w:t>ΔS</w:t>
            </w:r>
            <w:r w:rsidRPr="00A94B09">
              <w:rPr>
                <w:b/>
                <w:i/>
                <w:iCs/>
                <w:szCs w:val="18"/>
                <w:vertAlign w:val="subscript"/>
              </w:rPr>
              <w:t>a</w:t>
            </w:r>
            <w:r w:rsidRPr="00A94B09">
              <w:rPr>
                <w:b/>
                <w:i/>
                <w:iCs/>
                <w:vertAlign w:val="subscript"/>
              </w:rPr>
              <w:t>p</w:t>
            </w:r>
            <w:r w:rsidRPr="00A94B09">
              <w:rPr>
                <w:iCs/>
                <w:szCs w:val="18"/>
              </w:rPr>
              <w:t xml:space="preserve"> is the change in stocks of </w:t>
            </w:r>
            <w:r w:rsidRPr="00A94B09">
              <w:rPr>
                <w:iCs/>
              </w:rPr>
              <w:t>product types (</w:t>
            </w:r>
            <w:r w:rsidRPr="00A94B09">
              <w:rPr>
                <w:b/>
                <w:i/>
                <w:iCs/>
              </w:rPr>
              <w:t>p)</w:t>
            </w:r>
            <w:r w:rsidRPr="00A94B09">
              <w:rPr>
                <w:iCs/>
              </w:rPr>
              <w:t xml:space="preserve"> produced by the activity and held </w:t>
            </w:r>
            <w:r w:rsidRPr="00A94B09">
              <w:t xml:space="preserve">within </w:t>
            </w:r>
            <w:r w:rsidRPr="00A94B09">
              <w:rPr>
                <w:iCs/>
              </w:rPr>
              <w:t xml:space="preserve">the boundary of </w:t>
            </w:r>
            <w:r w:rsidRPr="00A94B09">
              <w:t xml:space="preserve">the activity </w:t>
            </w:r>
            <w:r w:rsidRPr="00A94B09">
              <w:rPr>
                <w:iCs/>
              </w:rPr>
              <w:t>during the year, measured in tonnes.</w:t>
            </w:r>
          </w:p>
          <w:p w14:paraId="4481AE3F" w14:textId="77777777" w:rsidR="003E2C15" w:rsidRPr="00A94B09" w:rsidRDefault="003E2C15" w:rsidP="00DA0A7A">
            <w:pPr>
              <w:pStyle w:val="TableText1"/>
              <w:spacing w:before="0" w:after="120"/>
            </w:pPr>
            <w:r w:rsidRPr="00A94B09">
              <w:rPr>
                <w:rFonts w:ascii="Symbol" w:hAnsi="Symbol"/>
                <w:b/>
                <w:i/>
              </w:rPr>
              <w:t></w:t>
            </w:r>
            <w:r w:rsidRPr="00A94B09">
              <w:rPr>
                <w:b/>
                <w:i/>
                <w:vertAlign w:val="subscript"/>
              </w:rPr>
              <w:t>r</w:t>
            </w:r>
            <w:r w:rsidRPr="00A94B09">
              <w:rPr>
                <w:i/>
              </w:rPr>
              <w:t xml:space="preserve"> </w:t>
            </w:r>
            <w:r w:rsidRPr="00A94B09">
              <w:t>has the same meaning as in step 3.</w:t>
            </w:r>
          </w:p>
          <w:p w14:paraId="3E068F90" w14:textId="77777777" w:rsidR="003E2C15" w:rsidRPr="00A94B09" w:rsidRDefault="003E2C15" w:rsidP="00DA0A7A">
            <w:pPr>
              <w:pStyle w:val="TableText1"/>
              <w:spacing w:before="0" w:after="120"/>
              <w:rPr>
                <w:b/>
                <w:i/>
              </w:rPr>
            </w:pPr>
            <w:r w:rsidRPr="00A94B09">
              <w:rPr>
                <w:b/>
                <w:i/>
              </w:rPr>
              <w:t>CCF</w:t>
            </w:r>
            <w:r w:rsidRPr="00A94B09">
              <w:rPr>
                <w:b/>
                <w:i/>
                <w:vertAlign w:val="subscript"/>
              </w:rPr>
              <w:t>r</w:t>
            </w:r>
            <w:r w:rsidRPr="00A94B09">
              <w:rPr>
                <w:i/>
              </w:rPr>
              <w:t xml:space="preserve"> </w:t>
            </w:r>
            <w:r w:rsidRPr="00A94B09">
              <w:t>has the same meaning as in step 3.</w:t>
            </w:r>
          </w:p>
        </w:tc>
      </w:tr>
      <w:tr w:rsidR="003E2C15" w:rsidRPr="00A94B09" w14:paraId="6614CF9C" w14:textId="77777777" w:rsidTr="003E2C15">
        <w:trPr>
          <w:cantSplit/>
        </w:trPr>
        <w:tc>
          <w:tcPr>
            <w:tcW w:w="882" w:type="dxa"/>
            <w:vAlign w:val="center"/>
            <w:hideMark/>
          </w:tcPr>
          <w:p w14:paraId="4D34D744" w14:textId="77777777" w:rsidR="003E2C15" w:rsidRPr="00A94B09" w:rsidRDefault="003E2C15" w:rsidP="003E2C15">
            <w:pPr>
              <w:rPr>
                <w:i/>
              </w:rPr>
            </w:pPr>
          </w:p>
        </w:tc>
        <w:tc>
          <w:tcPr>
            <w:tcW w:w="6678" w:type="dxa"/>
            <w:hideMark/>
          </w:tcPr>
          <w:p w14:paraId="7F331761" w14:textId="77777777" w:rsidR="003E2C15" w:rsidRPr="00A94B09" w:rsidRDefault="003E2C15" w:rsidP="00DA0A7A">
            <w:pPr>
              <w:pStyle w:val="TableText1"/>
              <w:spacing w:before="0" w:after="120" w:line="240" w:lineRule="auto"/>
            </w:pPr>
            <w:r w:rsidRPr="00A94B09">
              <w:rPr>
                <w:b/>
                <w:i/>
                <w:iCs/>
              </w:rPr>
              <w:t>ΔS</w:t>
            </w:r>
            <w:r w:rsidRPr="00A94B09">
              <w:rPr>
                <w:b/>
                <w:i/>
                <w:iCs/>
                <w:szCs w:val="18"/>
                <w:vertAlign w:val="subscript"/>
              </w:rPr>
              <w:t>y</w:t>
            </w:r>
            <w:r w:rsidRPr="00A94B09">
              <w:rPr>
                <w:b/>
                <w:i/>
                <w:iCs/>
                <w:vertAlign w:val="subscript"/>
              </w:rPr>
              <w:t>r</w:t>
            </w:r>
            <w:r w:rsidRPr="00A94B09">
              <w:rPr>
                <w:iCs/>
              </w:rPr>
              <w:t xml:space="preserve"> is the change in stocks </w:t>
            </w:r>
            <w:r w:rsidRPr="00A94B09">
              <w:rPr>
                <w:szCs w:val="22"/>
              </w:rPr>
              <w:t>of</w:t>
            </w:r>
            <w:r w:rsidRPr="00A94B09">
              <w:rPr>
                <w:iCs/>
              </w:rPr>
              <w:t xml:space="preserve"> waste by</w:t>
            </w:r>
            <w:r w:rsidRPr="00A94B09">
              <w:rPr>
                <w:iCs/>
              </w:rPr>
              <w:noBreakHyphen/>
              <w:t>product types (</w:t>
            </w:r>
            <w:r w:rsidRPr="00A94B09">
              <w:rPr>
                <w:b/>
                <w:i/>
                <w:iCs/>
              </w:rPr>
              <w:t>r</w:t>
            </w:r>
            <w:r w:rsidRPr="00A94B09">
              <w:rPr>
                <w:iCs/>
              </w:rPr>
              <w:t xml:space="preserve">) produced from the operation of the activity and held </w:t>
            </w:r>
            <w:r w:rsidRPr="00A94B09">
              <w:t xml:space="preserve">within </w:t>
            </w:r>
            <w:r w:rsidRPr="00A94B09">
              <w:rPr>
                <w:iCs/>
              </w:rPr>
              <w:t xml:space="preserve">the boundary of </w:t>
            </w:r>
            <w:r w:rsidRPr="00A94B09">
              <w:t xml:space="preserve">the activity </w:t>
            </w:r>
            <w:r w:rsidRPr="00A94B09">
              <w:rPr>
                <w:iCs/>
              </w:rPr>
              <w:t>during the year, measured in tonnes.</w:t>
            </w:r>
          </w:p>
        </w:tc>
      </w:tr>
      <w:tr w:rsidR="003E2C15" w:rsidRPr="00A94B09" w14:paraId="13D89D00" w14:textId="77777777" w:rsidTr="003E2C15">
        <w:trPr>
          <w:cantSplit/>
        </w:trPr>
        <w:tc>
          <w:tcPr>
            <w:tcW w:w="882" w:type="dxa"/>
          </w:tcPr>
          <w:p w14:paraId="476D78C0" w14:textId="77777777" w:rsidR="003E2C15" w:rsidRPr="00A94B09" w:rsidRDefault="003E2C15" w:rsidP="003E2C15">
            <w:pPr>
              <w:spacing w:before="60" w:after="60"/>
              <w:rPr>
                <w:i/>
              </w:rPr>
            </w:pPr>
            <w:r w:rsidRPr="00A94B09">
              <w:rPr>
                <w:i/>
              </w:rPr>
              <w:t>Step 5</w:t>
            </w:r>
          </w:p>
        </w:tc>
        <w:tc>
          <w:tcPr>
            <w:tcW w:w="6678" w:type="dxa"/>
            <w:hideMark/>
          </w:tcPr>
          <w:p w14:paraId="4DBE38DD" w14:textId="77777777" w:rsidR="003E2C15" w:rsidRPr="00A94B09" w:rsidRDefault="003E2C15" w:rsidP="00DA0A7A">
            <w:pPr>
              <w:pStyle w:val="TableText1"/>
            </w:pPr>
            <w:r w:rsidRPr="00A94B09">
              <w:t xml:space="preserve">Work out the emissions of carbon dioxide released from the operation of the activity during the year, measured in </w:t>
            </w:r>
            <w:r w:rsidRPr="00A94B09">
              <w:rPr>
                <w:szCs w:val="22"/>
              </w:rPr>
              <w:t>CO</w:t>
            </w:r>
            <w:r w:rsidRPr="00A94B09">
              <w:rPr>
                <w:szCs w:val="22"/>
                <w:vertAlign w:val="subscript"/>
              </w:rPr>
              <w:t>2</w:t>
            </w:r>
            <w:r w:rsidRPr="00A94B09">
              <w:rPr>
                <w:szCs w:val="22"/>
              </w:rPr>
              <w:noBreakHyphen/>
              <w:t>e</w:t>
            </w:r>
            <w:r w:rsidRPr="00A94B09">
              <w:t xml:space="preserve"> tonnes, as follows:</w:t>
            </w:r>
          </w:p>
          <w:p w14:paraId="15984B55" w14:textId="77777777" w:rsidR="003E2C15" w:rsidRPr="00A94B09" w:rsidRDefault="003E2C15" w:rsidP="00DA0A7A">
            <w:pPr>
              <w:pStyle w:val="TableP1a"/>
              <w:ind w:left="0"/>
            </w:pPr>
            <w:r w:rsidRPr="00A94B09">
              <w:tab/>
              <w:t>(a)</w:t>
            </w:r>
            <w:r w:rsidRPr="00A94B09">
              <w:tab/>
              <w:t>add the amounts worked out under steps 2, 3 and 4 to work out a new amount (</w:t>
            </w:r>
            <w:r w:rsidRPr="00A94B09">
              <w:rPr>
                <w:b/>
                <w:i/>
              </w:rPr>
              <w:t>amount A</w:t>
            </w:r>
            <w:r w:rsidRPr="00A94B09">
              <w:t>);</w:t>
            </w:r>
          </w:p>
          <w:p w14:paraId="0E8EB594" w14:textId="77777777" w:rsidR="003E2C15" w:rsidRPr="00A94B09" w:rsidRDefault="003E2C15" w:rsidP="00DA0A7A">
            <w:pPr>
              <w:pStyle w:val="TableP1a"/>
              <w:ind w:left="0"/>
            </w:pPr>
            <w:r w:rsidRPr="00A94B09">
              <w:tab/>
              <w:t>(b)</w:t>
            </w:r>
            <w:r w:rsidRPr="00A94B09">
              <w:tab/>
              <w:t>subtract amount A from the amount worked out under step 1 to work out a new amount (</w:t>
            </w:r>
            <w:r w:rsidRPr="00A94B09">
              <w:rPr>
                <w:b/>
                <w:i/>
              </w:rPr>
              <w:t>amount B</w:t>
            </w:r>
            <w:r w:rsidRPr="00A94B09">
              <w:t>);</w:t>
            </w:r>
          </w:p>
        </w:tc>
      </w:tr>
      <w:tr w:rsidR="003E2C15" w:rsidRPr="00A94B09" w14:paraId="643FB16E" w14:textId="77777777" w:rsidTr="003E2C15">
        <w:trPr>
          <w:cantSplit/>
        </w:trPr>
        <w:tc>
          <w:tcPr>
            <w:tcW w:w="882" w:type="dxa"/>
          </w:tcPr>
          <w:p w14:paraId="780BBF3F" w14:textId="77777777" w:rsidR="003E2C15" w:rsidRPr="00A94B09" w:rsidRDefault="003E2C15" w:rsidP="003E2C15">
            <w:pPr>
              <w:spacing w:before="60" w:after="60"/>
              <w:rPr>
                <w:i/>
              </w:rPr>
            </w:pPr>
          </w:p>
        </w:tc>
        <w:tc>
          <w:tcPr>
            <w:tcW w:w="6678" w:type="dxa"/>
            <w:hideMark/>
          </w:tcPr>
          <w:p w14:paraId="75B4C134" w14:textId="77777777" w:rsidR="003E2C15" w:rsidRDefault="003E2C15" w:rsidP="00DA0A7A">
            <w:pPr>
              <w:pStyle w:val="TableP1a"/>
              <w:ind w:left="0"/>
            </w:pPr>
            <w:r w:rsidRPr="00A94B09">
              <w:tab/>
              <w:t>(c)</w:t>
            </w:r>
            <w:r w:rsidRPr="00A94B09">
              <w:tab/>
              <w:t>multiply amount B by 3.664 to work out the amount of emissions released from the operation of the activity during the year.</w:t>
            </w:r>
          </w:p>
          <w:p w14:paraId="3264E8B2" w14:textId="77777777" w:rsidR="003E2C15" w:rsidRPr="00A94B09" w:rsidRDefault="003E2C15" w:rsidP="00DA0A7A">
            <w:pPr>
              <w:pStyle w:val="TableP1a"/>
              <w:ind w:left="0"/>
            </w:pPr>
          </w:p>
        </w:tc>
      </w:tr>
    </w:tbl>
    <w:p w14:paraId="7A86AEB6" w14:textId="77777777" w:rsidR="003C4881" w:rsidRDefault="003C4881" w:rsidP="003C4881">
      <w:pPr>
        <w:pStyle w:val="Heading2"/>
        <w:tabs>
          <w:tab w:val="left" w:pos="0"/>
        </w:tabs>
        <w:spacing w:before="120" w:after="0" w:line="312" w:lineRule="auto"/>
        <w:ind w:left="578" w:hanging="578"/>
        <w:rPr>
          <w:rFonts w:ascii="Arial" w:hAnsi="Arial"/>
        </w:rPr>
      </w:pPr>
      <w:r>
        <w:rPr>
          <w:rFonts w:ascii="Arial" w:hAnsi="Arial"/>
        </w:rPr>
        <w:t>Other Metals</w:t>
      </w:r>
    </w:p>
    <w:p w14:paraId="1BE96F96" w14:textId="77777777" w:rsidR="003C4881" w:rsidRDefault="003C4881" w:rsidP="003C4881">
      <w:pPr>
        <w:pStyle w:val="Equation"/>
        <w:rPr>
          <w:lang w:eastAsia="en-AU"/>
        </w:rPr>
      </w:pPr>
      <w:r w:rsidRPr="000B79B3">
        <w:rPr>
          <w:lang w:eastAsia="en-AU"/>
        </w:rPr>
        <w:t xml:space="preserve">This </w:t>
      </w:r>
      <w:r>
        <w:rPr>
          <w:lang w:eastAsia="en-AU"/>
        </w:rPr>
        <w:t>section</w:t>
      </w:r>
      <w:r w:rsidRPr="000B79B3">
        <w:rPr>
          <w:lang w:eastAsia="en-AU"/>
        </w:rPr>
        <w:t xml:space="preserve"> applies to the production of metal, other than iron and steel, ferro-alloy metal, aluminium or any other metal produ</w:t>
      </w:r>
      <w:r>
        <w:rPr>
          <w:lang w:eastAsia="en-AU"/>
        </w:rPr>
        <w:t>ced in an integrated metalworks,</w:t>
      </w:r>
      <w:r w:rsidRPr="000B79B3">
        <w:rPr>
          <w:lang w:eastAsia="en-AU"/>
        </w:rPr>
        <w:t xml:space="preserve"> that involves the use of fuels as carbon reductants or consumption of a fossil fuel electrode. </w:t>
      </w:r>
    </w:p>
    <w:p w14:paraId="656A7D85" w14:textId="77777777" w:rsidR="003E2C15" w:rsidRDefault="003E2C15" w:rsidP="003C4881">
      <w:pPr>
        <w:pStyle w:val="Equation"/>
        <w:rPr>
          <w:lang w:eastAsia="en-AU"/>
        </w:rPr>
      </w:pPr>
      <w:r>
        <w:rPr>
          <w:lang w:eastAsia="en-AU"/>
        </w:rPr>
        <w:t>The following formula can be used to estimate greenhouse gas emissions.</w:t>
      </w:r>
    </w:p>
    <w:tbl>
      <w:tblPr>
        <w:tblW w:w="0" w:type="auto"/>
        <w:tblInd w:w="948" w:type="dxa"/>
        <w:tblLayout w:type="fixed"/>
        <w:tblLook w:val="04A0" w:firstRow="1" w:lastRow="0" w:firstColumn="1" w:lastColumn="0" w:noHBand="0" w:noVBand="1"/>
      </w:tblPr>
      <w:tblGrid>
        <w:gridCol w:w="882"/>
        <w:gridCol w:w="6678"/>
      </w:tblGrid>
      <w:tr w:rsidR="003E2C15" w:rsidRPr="00A94B09" w14:paraId="7044AE31" w14:textId="77777777" w:rsidTr="003E2C15">
        <w:trPr>
          <w:cantSplit/>
          <w:trHeight w:val="80"/>
        </w:trPr>
        <w:tc>
          <w:tcPr>
            <w:tcW w:w="882" w:type="dxa"/>
            <w:vMerge w:val="restart"/>
            <w:hideMark/>
          </w:tcPr>
          <w:p w14:paraId="415E41B7" w14:textId="77777777" w:rsidR="003E2C15" w:rsidRPr="00A94B09" w:rsidRDefault="003E2C15" w:rsidP="003E2C15">
            <w:pPr>
              <w:spacing w:before="60" w:after="60"/>
              <w:rPr>
                <w:i/>
              </w:rPr>
            </w:pPr>
            <w:r w:rsidRPr="00A94B09">
              <w:rPr>
                <w:i/>
              </w:rPr>
              <w:t>Step 1</w:t>
            </w:r>
          </w:p>
        </w:tc>
        <w:tc>
          <w:tcPr>
            <w:tcW w:w="6678" w:type="dxa"/>
            <w:hideMark/>
          </w:tcPr>
          <w:p w14:paraId="580BE09F" w14:textId="77777777" w:rsidR="003E2C15" w:rsidRPr="00A94B09" w:rsidRDefault="003E2C15" w:rsidP="003E2C15">
            <w:pPr>
              <w:pStyle w:val="TableText1"/>
            </w:pPr>
            <w:r w:rsidRPr="00A94B09">
              <w:t>Work out the carbon content in fuel types</w:t>
            </w:r>
            <w:r w:rsidRPr="00A94B09">
              <w:rPr>
                <w:b/>
                <w:i/>
              </w:rPr>
              <w:t xml:space="preserve"> </w:t>
            </w:r>
            <w:r w:rsidRPr="00A94B09">
              <w:t>(</w:t>
            </w:r>
            <w:r w:rsidRPr="00A94B09">
              <w:rPr>
                <w:b/>
                <w:i/>
              </w:rPr>
              <w:t>i</w:t>
            </w:r>
            <w:r w:rsidRPr="00A94B09">
              <w:t>) or carbonaceous input material delivered for the activity during the year, measured in tonnes of carbon, as follows:</w:t>
            </w:r>
          </w:p>
          <w:p w14:paraId="5AB5171E" w14:textId="77777777" w:rsidR="003E2C15" w:rsidRPr="00A94B09" w:rsidRDefault="00CA4FB8" w:rsidP="003E2C15">
            <w:pPr>
              <w:pStyle w:val="Formula"/>
              <w:spacing w:before="120" w:after="120"/>
            </w:pPr>
            <w:r>
              <w:rPr>
                <w:position w:val="-10"/>
              </w:rPr>
              <w:pict w14:anchorId="3221C9A2">
                <v:shape id="_x0000_i1060" type="#_x0000_t75" style="width:76.5pt;height:15.75pt">
                  <v:imagedata r:id="rId59" o:title=""/>
                </v:shape>
              </w:pict>
            </w:r>
          </w:p>
        </w:tc>
      </w:tr>
      <w:tr w:rsidR="003E2C15" w:rsidRPr="00A94B09" w14:paraId="7ADBCFE6" w14:textId="77777777" w:rsidTr="003E2C15">
        <w:trPr>
          <w:cantSplit/>
          <w:trHeight w:val="80"/>
        </w:trPr>
        <w:tc>
          <w:tcPr>
            <w:tcW w:w="882" w:type="dxa"/>
            <w:vMerge/>
            <w:hideMark/>
          </w:tcPr>
          <w:p w14:paraId="15DB74E8" w14:textId="77777777" w:rsidR="003E2C15" w:rsidRPr="00A94B09" w:rsidRDefault="003E2C15" w:rsidP="003E2C15">
            <w:pPr>
              <w:spacing w:before="60" w:after="60"/>
              <w:rPr>
                <w:i/>
              </w:rPr>
            </w:pPr>
          </w:p>
        </w:tc>
        <w:tc>
          <w:tcPr>
            <w:tcW w:w="6678" w:type="dxa"/>
            <w:hideMark/>
          </w:tcPr>
          <w:p w14:paraId="1F20995D" w14:textId="77777777" w:rsidR="003E2C15" w:rsidRPr="00A94B09" w:rsidRDefault="003E2C15" w:rsidP="003E2C15">
            <w:pPr>
              <w:pStyle w:val="TableText1"/>
            </w:pPr>
            <w:r w:rsidRPr="00A94B09">
              <w:t>where:</w:t>
            </w:r>
          </w:p>
          <w:p w14:paraId="40A8374A" w14:textId="77777777" w:rsidR="003E2C15" w:rsidRPr="00A94B09" w:rsidRDefault="003E2C15" w:rsidP="003E2C15">
            <w:pPr>
              <w:pStyle w:val="TableText1"/>
              <w:spacing w:line="240" w:lineRule="auto"/>
            </w:pPr>
            <w:r w:rsidRPr="00A94B09">
              <w:rPr>
                <w:rFonts w:ascii="Symbol" w:hAnsi="Symbol"/>
                <w:b/>
                <w:i/>
              </w:rPr>
              <w:t></w:t>
            </w:r>
            <w:r w:rsidRPr="00A94B09">
              <w:rPr>
                <w:b/>
                <w:i/>
                <w:vertAlign w:val="subscript"/>
              </w:rPr>
              <w:t>i</w:t>
            </w:r>
            <w:r w:rsidRPr="00A94B09">
              <w:rPr>
                <w:i/>
              </w:rPr>
              <w:t xml:space="preserve"> </w:t>
            </w:r>
            <w:r w:rsidRPr="00A94B09">
              <w:t xml:space="preserve">means the sum of the </w:t>
            </w:r>
            <w:r w:rsidRPr="00A94B09">
              <w:rPr>
                <w:szCs w:val="22"/>
              </w:rPr>
              <w:t>carbon</w:t>
            </w:r>
            <w:r w:rsidRPr="00A94B09">
              <w:t xml:space="preserve"> content values obtained for all fuel types (</w:t>
            </w:r>
            <w:r w:rsidRPr="00A94B09">
              <w:rPr>
                <w:b/>
                <w:i/>
              </w:rPr>
              <w:t>i</w:t>
            </w:r>
            <w:r w:rsidRPr="00A94B09">
              <w:t>) or carbonaceous input material.</w:t>
            </w:r>
          </w:p>
          <w:p w14:paraId="105DD5B2" w14:textId="77777777" w:rsidR="003E2C15" w:rsidRPr="00A94B09" w:rsidRDefault="003E2C15" w:rsidP="003E2C15">
            <w:pPr>
              <w:pStyle w:val="TableText1"/>
              <w:spacing w:line="240" w:lineRule="auto"/>
              <w:rPr>
                <w:b/>
                <w:i/>
              </w:rPr>
            </w:pPr>
            <w:r w:rsidRPr="00A94B09">
              <w:rPr>
                <w:b/>
                <w:i/>
              </w:rPr>
              <w:t>CCF</w:t>
            </w:r>
            <w:r w:rsidRPr="00A94B09">
              <w:rPr>
                <w:b/>
                <w:i/>
                <w:vertAlign w:val="subscript"/>
              </w:rPr>
              <w:t>i</w:t>
            </w:r>
            <w:r w:rsidRPr="00A94B09">
              <w:rPr>
                <w:i/>
              </w:rPr>
              <w:t xml:space="preserve"> </w:t>
            </w:r>
            <w:r w:rsidRPr="00A94B09">
              <w:t xml:space="preserve">is the </w:t>
            </w:r>
            <w:r w:rsidRPr="00A94B09">
              <w:rPr>
                <w:szCs w:val="22"/>
              </w:rPr>
              <w:t>carbon</w:t>
            </w:r>
            <w:r w:rsidRPr="00A94B09">
              <w:t xml:space="preserve"> content factor mentioned in Schedule 3, measured in tonnes of carbon, for each appropriate unit of fuel type (</w:t>
            </w:r>
            <w:r w:rsidRPr="00A94B09">
              <w:rPr>
                <w:b/>
                <w:i/>
              </w:rPr>
              <w:t>i</w:t>
            </w:r>
            <w:r w:rsidRPr="00A94B09">
              <w:t>) or carbonaceous input material consumed during the year from the operation of the activity.</w:t>
            </w:r>
          </w:p>
        </w:tc>
      </w:tr>
      <w:tr w:rsidR="003E2C15" w:rsidRPr="00A94B09" w14:paraId="211A001B" w14:textId="77777777" w:rsidTr="003E2C15">
        <w:trPr>
          <w:cantSplit/>
          <w:trHeight w:val="80"/>
        </w:trPr>
        <w:tc>
          <w:tcPr>
            <w:tcW w:w="882" w:type="dxa"/>
            <w:vMerge/>
            <w:vAlign w:val="center"/>
            <w:hideMark/>
          </w:tcPr>
          <w:p w14:paraId="5DC39A45" w14:textId="77777777" w:rsidR="003E2C15" w:rsidRPr="00A94B09" w:rsidRDefault="003E2C15" w:rsidP="003E2C15">
            <w:pPr>
              <w:rPr>
                <w:i/>
              </w:rPr>
            </w:pPr>
          </w:p>
        </w:tc>
        <w:tc>
          <w:tcPr>
            <w:tcW w:w="6678" w:type="dxa"/>
            <w:hideMark/>
          </w:tcPr>
          <w:p w14:paraId="340242AD" w14:textId="77777777" w:rsidR="003E2C15" w:rsidRPr="00A94B09" w:rsidRDefault="003E2C15" w:rsidP="003E2C15">
            <w:pPr>
              <w:pStyle w:val="TableText1"/>
            </w:pPr>
            <w:r w:rsidRPr="00A94B09">
              <w:rPr>
                <w:b/>
                <w:i/>
              </w:rPr>
              <w:t>Q</w:t>
            </w:r>
            <w:r w:rsidRPr="00A94B09">
              <w:rPr>
                <w:b/>
                <w:i/>
                <w:sz w:val="24"/>
                <w:vertAlign w:val="subscript"/>
              </w:rPr>
              <w:t>i</w:t>
            </w:r>
            <w:r w:rsidRPr="00A94B09">
              <w:rPr>
                <w:b/>
                <w:i/>
              </w:rPr>
              <w:t xml:space="preserve"> </w:t>
            </w:r>
            <w:r w:rsidRPr="00A94B09">
              <w:t>is the quantity of fuel type (</w:t>
            </w:r>
            <w:r w:rsidRPr="00A94B09">
              <w:rPr>
                <w:b/>
                <w:i/>
              </w:rPr>
              <w:t>i</w:t>
            </w:r>
            <w:r w:rsidRPr="00A94B09">
              <w:t>) or carbonaceous input material delivered for the activity during the year, measured in an appropriate unit and estimated in accordance with:</w:t>
            </w:r>
          </w:p>
          <w:p w14:paraId="55C4B91E" w14:textId="77777777" w:rsidR="003E2C15" w:rsidRPr="00A94B09" w:rsidRDefault="003E2C15" w:rsidP="003E2C15">
            <w:pPr>
              <w:pStyle w:val="TableP1a"/>
            </w:pPr>
            <w:r w:rsidRPr="00A94B09">
              <w:tab/>
              <w:t>(a)</w:t>
            </w:r>
            <w:r w:rsidRPr="00A94B09">
              <w:tab/>
              <w:t>criterion A in Divisions 2.2.5, 2.3.6 and 2.4.6; or</w:t>
            </w:r>
          </w:p>
          <w:p w14:paraId="76FE9EAB" w14:textId="77777777" w:rsidR="003E2C15" w:rsidRPr="00A94B09" w:rsidRDefault="003E2C15" w:rsidP="003E2C15">
            <w:pPr>
              <w:pStyle w:val="TableP1a"/>
            </w:pPr>
            <w:r w:rsidRPr="00A94B09">
              <w:tab/>
              <w:t>(b)</w:t>
            </w:r>
            <w:r w:rsidRPr="00A94B09">
              <w:tab/>
              <w:t>if the quantity of fuel or carbonaceous input material is not acquired as part of a commercial transaction — industry practice, consistent with the principles in section 1.13.</w:t>
            </w:r>
          </w:p>
        </w:tc>
      </w:tr>
      <w:tr w:rsidR="003E2C15" w:rsidRPr="00A94B09" w14:paraId="34DEC993" w14:textId="77777777" w:rsidTr="003E2C15">
        <w:trPr>
          <w:cantSplit/>
        </w:trPr>
        <w:tc>
          <w:tcPr>
            <w:tcW w:w="882" w:type="dxa"/>
            <w:vMerge w:val="restart"/>
            <w:hideMark/>
          </w:tcPr>
          <w:p w14:paraId="7D82DA8E" w14:textId="77777777" w:rsidR="003E2C15" w:rsidRPr="00A94B09" w:rsidRDefault="003E2C15" w:rsidP="003E2C15">
            <w:pPr>
              <w:spacing w:before="60" w:after="60"/>
              <w:rPr>
                <w:i/>
              </w:rPr>
            </w:pPr>
            <w:r w:rsidRPr="00A94B09">
              <w:rPr>
                <w:i/>
              </w:rPr>
              <w:t>Step 2</w:t>
            </w:r>
          </w:p>
        </w:tc>
        <w:tc>
          <w:tcPr>
            <w:tcW w:w="6678" w:type="dxa"/>
            <w:hideMark/>
          </w:tcPr>
          <w:p w14:paraId="2007761E" w14:textId="77777777" w:rsidR="003E2C15" w:rsidRPr="00A94B09" w:rsidRDefault="003E2C15" w:rsidP="003E2C15">
            <w:pPr>
              <w:pStyle w:val="TableText1"/>
            </w:pPr>
            <w:r w:rsidRPr="00A94B09">
              <w:t>Work out the carbon content in products (</w:t>
            </w:r>
            <w:r w:rsidRPr="00A94B09">
              <w:rPr>
                <w:b/>
                <w:i/>
              </w:rPr>
              <w:t>p</w:t>
            </w:r>
            <w:r w:rsidRPr="00A94B09">
              <w:t>) leaving the activity during the year, measured in tonnes of carbon, as follows:</w:t>
            </w:r>
          </w:p>
          <w:p w14:paraId="594B328A" w14:textId="77777777" w:rsidR="003E2C15" w:rsidRPr="00A94B09" w:rsidRDefault="00CA4FB8" w:rsidP="003E2C15">
            <w:pPr>
              <w:pStyle w:val="Formula"/>
              <w:spacing w:before="120" w:after="120"/>
            </w:pPr>
            <w:r>
              <w:rPr>
                <w:position w:val="-14"/>
              </w:rPr>
              <w:pict w14:anchorId="55412684">
                <v:shape id="_x0000_i1061" type="#_x0000_t75" style="width:87.75pt;height:18.75pt">
                  <v:imagedata r:id="rId60" o:title=""/>
                </v:shape>
              </w:pict>
            </w:r>
          </w:p>
        </w:tc>
      </w:tr>
      <w:tr w:rsidR="003E2C15" w:rsidRPr="00A94B09" w14:paraId="1B122A38" w14:textId="77777777" w:rsidTr="003E2C15">
        <w:trPr>
          <w:cantSplit/>
        </w:trPr>
        <w:tc>
          <w:tcPr>
            <w:tcW w:w="882" w:type="dxa"/>
            <w:vMerge/>
            <w:vAlign w:val="center"/>
            <w:hideMark/>
          </w:tcPr>
          <w:p w14:paraId="61E7E664" w14:textId="77777777" w:rsidR="003E2C15" w:rsidRPr="00A94B09" w:rsidRDefault="003E2C15" w:rsidP="003E2C15">
            <w:pPr>
              <w:rPr>
                <w:i/>
              </w:rPr>
            </w:pPr>
          </w:p>
        </w:tc>
        <w:tc>
          <w:tcPr>
            <w:tcW w:w="6678" w:type="dxa"/>
            <w:hideMark/>
          </w:tcPr>
          <w:p w14:paraId="187E69F0" w14:textId="77777777" w:rsidR="003E2C15" w:rsidRPr="00A94B09" w:rsidRDefault="003E2C15" w:rsidP="003E2C15">
            <w:pPr>
              <w:pStyle w:val="TableText1"/>
            </w:pPr>
            <w:r w:rsidRPr="00A94B09">
              <w:t>where:</w:t>
            </w:r>
          </w:p>
          <w:p w14:paraId="44B2ED56" w14:textId="77777777" w:rsidR="003E2C15" w:rsidRPr="00A94B09" w:rsidRDefault="003E2C15" w:rsidP="003E2C15">
            <w:pPr>
              <w:pStyle w:val="TableText1"/>
              <w:spacing w:line="240" w:lineRule="auto"/>
            </w:pPr>
            <w:r w:rsidRPr="00A94B09">
              <w:rPr>
                <w:rFonts w:ascii="Symbol" w:hAnsi="Symbol"/>
                <w:b/>
                <w:i/>
              </w:rPr>
              <w:t></w:t>
            </w:r>
            <w:r w:rsidRPr="00A94B09">
              <w:rPr>
                <w:b/>
                <w:i/>
                <w:vertAlign w:val="subscript"/>
              </w:rPr>
              <w:t>p</w:t>
            </w:r>
            <w:r w:rsidRPr="00A94B09">
              <w:rPr>
                <w:i/>
              </w:rPr>
              <w:t xml:space="preserve"> </w:t>
            </w:r>
            <w:r w:rsidRPr="00A94B09">
              <w:t xml:space="preserve">means the sum of the </w:t>
            </w:r>
            <w:r w:rsidRPr="00A94B09">
              <w:rPr>
                <w:szCs w:val="22"/>
              </w:rPr>
              <w:t>carbon</w:t>
            </w:r>
            <w:r w:rsidRPr="00A94B09">
              <w:t xml:space="preserve"> content values obtained for all product types (</w:t>
            </w:r>
            <w:r w:rsidRPr="00A94B09">
              <w:rPr>
                <w:b/>
                <w:i/>
              </w:rPr>
              <w:t>p</w:t>
            </w:r>
            <w:r w:rsidRPr="00A94B09">
              <w:t>).</w:t>
            </w:r>
          </w:p>
          <w:p w14:paraId="1F47CB38" w14:textId="77777777" w:rsidR="003E2C15" w:rsidRPr="00A94B09" w:rsidRDefault="003E2C15" w:rsidP="003E2C15">
            <w:pPr>
              <w:pStyle w:val="TableText1"/>
              <w:spacing w:line="240" w:lineRule="auto"/>
              <w:rPr>
                <w:iCs/>
              </w:rPr>
            </w:pPr>
            <w:r w:rsidRPr="00A94B09">
              <w:rPr>
                <w:b/>
                <w:i/>
                <w:iCs/>
              </w:rPr>
              <w:t>CCF</w:t>
            </w:r>
            <w:r w:rsidRPr="00A94B09">
              <w:rPr>
                <w:b/>
                <w:i/>
                <w:iCs/>
                <w:vertAlign w:val="subscript"/>
              </w:rPr>
              <w:t>p</w:t>
            </w:r>
            <w:r w:rsidRPr="00A94B09">
              <w:rPr>
                <w:iCs/>
              </w:rPr>
              <w:t xml:space="preserve"> is the </w:t>
            </w:r>
            <w:r w:rsidRPr="00A94B09">
              <w:rPr>
                <w:szCs w:val="22"/>
              </w:rPr>
              <w:t>carbon</w:t>
            </w:r>
            <w:r w:rsidRPr="00A94B09">
              <w:rPr>
                <w:iCs/>
              </w:rPr>
              <w:t xml:space="preserve"> content factor, measured in tonnes of carbon, for each tonne of product type</w:t>
            </w:r>
            <w:r w:rsidRPr="00A94B09">
              <w:rPr>
                <w:b/>
                <w:i/>
                <w:iCs/>
              </w:rPr>
              <w:t xml:space="preserve"> </w:t>
            </w:r>
            <w:r w:rsidRPr="00A94B09">
              <w:rPr>
                <w:iCs/>
              </w:rPr>
              <w:t>(</w:t>
            </w:r>
            <w:r w:rsidRPr="00A94B09">
              <w:rPr>
                <w:b/>
                <w:i/>
                <w:iCs/>
              </w:rPr>
              <w:t>p</w:t>
            </w:r>
            <w:r w:rsidRPr="00A94B09">
              <w:rPr>
                <w:iCs/>
              </w:rPr>
              <w:t>) produced during the year.</w:t>
            </w:r>
          </w:p>
          <w:p w14:paraId="204BE80E" w14:textId="77777777" w:rsidR="003E2C15" w:rsidRPr="00A94B09" w:rsidRDefault="003E2C15" w:rsidP="003E2C15">
            <w:pPr>
              <w:pStyle w:val="TableText1"/>
              <w:spacing w:line="240" w:lineRule="auto"/>
            </w:pPr>
            <w:r w:rsidRPr="00A94B09">
              <w:rPr>
                <w:b/>
                <w:i/>
              </w:rPr>
              <w:t>A</w:t>
            </w:r>
            <w:r w:rsidRPr="00A94B09">
              <w:rPr>
                <w:b/>
                <w:i/>
                <w:vertAlign w:val="subscript"/>
              </w:rPr>
              <w:t>p</w:t>
            </w:r>
            <w:r w:rsidRPr="00A94B09">
              <w:rPr>
                <w:i/>
              </w:rPr>
              <w:t xml:space="preserve"> </w:t>
            </w:r>
            <w:r w:rsidRPr="00A94B09">
              <w:t xml:space="preserve">is the </w:t>
            </w:r>
            <w:r w:rsidRPr="00A94B09">
              <w:rPr>
                <w:szCs w:val="22"/>
              </w:rPr>
              <w:t>quantity</w:t>
            </w:r>
            <w:r w:rsidRPr="00A94B09">
              <w:t xml:space="preserve"> of product types (</w:t>
            </w:r>
            <w:r w:rsidRPr="00A94B09">
              <w:rPr>
                <w:b/>
                <w:i/>
              </w:rPr>
              <w:t>p</w:t>
            </w:r>
            <w:r w:rsidRPr="00A94B09">
              <w:t>) produced leaving the activity during the year, measured in tonnes.</w:t>
            </w:r>
          </w:p>
        </w:tc>
      </w:tr>
      <w:tr w:rsidR="003E2C15" w:rsidRPr="00A94B09" w14:paraId="55F029E6" w14:textId="77777777" w:rsidTr="003E2C15">
        <w:trPr>
          <w:cantSplit/>
        </w:trPr>
        <w:tc>
          <w:tcPr>
            <w:tcW w:w="882" w:type="dxa"/>
            <w:vMerge w:val="restart"/>
            <w:hideMark/>
          </w:tcPr>
          <w:p w14:paraId="22EA649C" w14:textId="77777777" w:rsidR="003E2C15" w:rsidRPr="00A94B09" w:rsidRDefault="003E2C15" w:rsidP="003E2C15">
            <w:pPr>
              <w:spacing w:before="60" w:after="60"/>
              <w:rPr>
                <w:i/>
              </w:rPr>
            </w:pPr>
            <w:r w:rsidRPr="00A94B09">
              <w:rPr>
                <w:i/>
              </w:rPr>
              <w:t>Step 3</w:t>
            </w:r>
          </w:p>
        </w:tc>
        <w:tc>
          <w:tcPr>
            <w:tcW w:w="6678" w:type="dxa"/>
            <w:hideMark/>
          </w:tcPr>
          <w:p w14:paraId="15228C57" w14:textId="77777777" w:rsidR="003E2C15" w:rsidRPr="00A94B09" w:rsidRDefault="003E2C15" w:rsidP="003E2C15">
            <w:pPr>
              <w:pStyle w:val="TableText1"/>
              <w:rPr>
                <w:iCs/>
              </w:rPr>
            </w:pPr>
            <w:r w:rsidRPr="00A94B09">
              <w:rPr>
                <w:iCs/>
              </w:rPr>
              <w:t xml:space="preserve">Work out </w:t>
            </w:r>
            <w:r w:rsidRPr="00A94B09">
              <w:t xml:space="preserve">the carbon content in </w:t>
            </w:r>
            <w:r w:rsidRPr="00A94B09">
              <w:rPr>
                <w:iCs/>
              </w:rPr>
              <w:t>waste by</w:t>
            </w:r>
            <w:r w:rsidRPr="00A94B09">
              <w:rPr>
                <w:iCs/>
              </w:rPr>
              <w:noBreakHyphen/>
              <w:t xml:space="preserve">product types </w:t>
            </w:r>
            <w:r w:rsidRPr="00A94B09">
              <w:rPr>
                <w:b/>
                <w:i/>
              </w:rPr>
              <w:t xml:space="preserve">(r) </w:t>
            </w:r>
            <w:r w:rsidRPr="00A94B09">
              <w:t>leaving the activity,</w:t>
            </w:r>
            <w:r w:rsidRPr="00A94B09">
              <w:rPr>
                <w:iCs/>
              </w:rPr>
              <w:t xml:space="preserve"> other than as an emission of greenhouse gas, during the year, </w:t>
            </w:r>
            <w:r w:rsidRPr="00A94B09">
              <w:t xml:space="preserve">measured in tonnes of carbon, </w:t>
            </w:r>
            <w:r w:rsidRPr="00A94B09">
              <w:rPr>
                <w:iCs/>
              </w:rPr>
              <w:t>as follows:</w:t>
            </w:r>
          </w:p>
          <w:p w14:paraId="696EAD03" w14:textId="77777777" w:rsidR="003E2C15" w:rsidRPr="00A94B09" w:rsidRDefault="00CA4FB8" w:rsidP="003E2C15">
            <w:pPr>
              <w:pStyle w:val="Formula"/>
              <w:spacing w:before="120" w:after="120"/>
            </w:pPr>
            <w:r>
              <w:rPr>
                <w:position w:val="-10"/>
              </w:rPr>
              <w:pict w14:anchorId="3F6F678D">
                <v:shape id="_x0000_i1062" type="#_x0000_t75" style="width:72.75pt;height:15.75pt">
                  <v:imagedata r:id="rId61" o:title=""/>
                </v:shape>
              </w:pict>
            </w:r>
          </w:p>
        </w:tc>
      </w:tr>
      <w:tr w:rsidR="003E2C15" w:rsidRPr="00A94B09" w14:paraId="4CB85E4D" w14:textId="77777777" w:rsidTr="003E2C15">
        <w:trPr>
          <w:cantSplit/>
        </w:trPr>
        <w:tc>
          <w:tcPr>
            <w:tcW w:w="882" w:type="dxa"/>
            <w:vMerge/>
            <w:hideMark/>
          </w:tcPr>
          <w:p w14:paraId="79844646" w14:textId="77777777" w:rsidR="003E2C15" w:rsidRPr="00A94B09" w:rsidRDefault="003E2C15" w:rsidP="003E2C15">
            <w:pPr>
              <w:spacing w:before="60" w:after="60"/>
              <w:rPr>
                <w:i/>
              </w:rPr>
            </w:pPr>
          </w:p>
        </w:tc>
        <w:tc>
          <w:tcPr>
            <w:tcW w:w="6678" w:type="dxa"/>
            <w:hideMark/>
          </w:tcPr>
          <w:p w14:paraId="6288F6F2" w14:textId="77777777" w:rsidR="003E2C15" w:rsidRPr="00A94B09" w:rsidRDefault="003E2C15" w:rsidP="003E2C15">
            <w:pPr>
              <w:pStyle w:val="TableText1"/>
            </w:pPr>
            <w:r w:rsidRPr="00A94B09">
              <w:t>where:</w:t>
            </w:r>
          </w:p>
          <w:p w14:paraId="3B768425" w14:textId="77777777" w:rsidR="003E2C15" w:rsidRPr="00A94B09" w:rsidRDefault="003E2C15" w:rsidP="003E2C15">
            <w:pPr>
              <w:pStyle w:val="TableText1"/>
              <w:spacing w:line="240" w:lineRule="auto"/>
            </w:pPr>
            <w:r w:rsidRPr="00A94B09">
              <w:rPr>
                <w:rFonts w:ascii="Symbol" w:hAnsi="Symbol"/>
                <w:b/>
                <w:i/>
              </w:rPr>
              <w:t></w:t>
            </w:r>
            <w:r w:rsidRPr="00A94B09">
              <w:rPr>
                <w:b/>
                <w:i/>
                <w:vertAlign w:val="subscript"/>
              </w:rPr>
              <w:t>r</w:t>
            </w:r>
            <w:r w:rsidRPr="00A94B09">
              <w:rPr>
                <w:i/>
              </w:rPr>
              <w:t xml:space="preserve"> </w:t>
            </w:r>
            <w:r w:rsidRPr="00A94B09">
              <w:t>means the sum of the carbon content values obtained for all waste by</w:t>
            </w:r>
            <w:r w:rsidRPr="00A94B09">
              <w:noBreakHyphen/>
              <w:t>product types (</w:t>
            </w:r>
            <w:r w:rsidRPr="00A94B09">
              <w:rPr>
                <w:b/>
                <w:i/>
              </w:rPr>
              <w:t>r</w:t>
            </w:r>
            <w:r w:rsidRPr="00A94B09">
              <w:t>).</w:t>
            </w:r>
          </w:p>
        </w:tc>
      </w:tr>
      <w:tr w:rsidR="003E2C15" w:rsidRPr="00A94B09" w14:paraId="37D98834" w14:textId="77777777" w:rsidTr="003E2C15">
        <w:trPr>
          <w:cantSplit/>
        </w:trPr>
        <w:tc>
          <w:tcPr>
            <w:tcW w:w="882" w:type="dxa"/>
            <w:vMerge/>
            <w:vAlign w:val="center"/>
            <w:hideMark/>
          </w:tcPr>
          <w:p w14:paraId="5806882A" w14:textId="77777777" w:rsidR="003E2C15" w:rsidRPr="00A94B09" w:rsidRDefault="003E2C15" w:rsidP="003E2C15">
            <w:pPr>
              <w:rPr>
                <w:i/>
              </w:rPr>
            </w:pPr>
          </w:p>
        </w:tc>
        <w:tc>
          <w:tcPr>
            <w:tcW w:w="6678" w:type="dxa"/>
            <w:hideMark/>
          </w:tcPr>
          <w:p w14:paraId="0DA28515" w14:textId="77777777" w:rsidR="003E2C15" w:rsidRPr="00A94B09" w:rsidRDefault="003E2C15" w:rsidP="003E2C15">
            <w:pPr>
              <w:pStyle w:val="TableText1"/>
              <w:rPr>
                <w:iCs/>
              </w:rPr>
            </w:pPr>
            <w:r w:rsidRPr="00A94B09">
              <w:rPr>
                <w:b/>
                <w:i/>
                <w:iCs/>
              </w:rPr>
              <w:t>CCF</w:t>
            </w:r>
            <w:r w:rsidRPr="00A94B09">
              <w:rPr>
                <w:b/>
                <w:i/>
                <w:iCs/>
                <w:vertAlign w:val="subscript"/>
              </w:rPr>
              <w:t>r</w:t>
            </w:r>
            <w:r w:rsidRPr="00A94B09">
              <w:rPr>
                <w:iCs/>
              </w:rPr>
              <w:t xml:space="preserve"> is the carbon content factor, measured in tonnes of carbon, for each tonne of waste by</w:t>
            </w:r>
            <w:r w:rsidRPr="00A94B09">
              <w:rPr>
                <w:iCs/>
              </w:rPr>
              <w:noBreakHyphen/>
              <w:t>product types</w:t>
            </w:r>
            <w:r w:rsidRPr="00A94B09">
              <w:rPr>
                <w:b/>
                <w:i/>
                <w:iCs/>
              </w:rPr>
              <w:t xml:space="preserve"> </w:t>
            </w:r>
            <w:r w:rsidRPr="00A94B09">
              <w:rPr>
                <w:iCs/>
              </w:rPr>
              <w:t>(</w:t>
            </w:r>
            <w:r w:rsidRPr="00A94B09">
              <w:rPr>
                <w:b/>
                <w:i/>
                <w:iCs/>
              </w:rPr>
              <w:t>r</w:t>
            </w:r>
            <w:r w:rsidRPr="00A94B09">
              <w:rPr>
                <w:iCs/>
              </w:rPr>
              <w:t>).</w:t>
            </w:r>
          </w:p>
          <w:p w14:paraId="2ED83798" w14:textId="77777777" w:rsidR="003E2C15" w:rsidRPr="00A94B09" w:rsidRDefault="003E2C15" w:rsidP="003E2C15">
            <w:pPr>
              <w:pStyle w:val="TableText1"/>
            </w:pPr>
            <w:r w:rsidRPr="00A94B09">
              <w:rPr>
                <w:b/>
                <w:i/>
              </w:rPr>
              <w:t>Y</w:t>
            </w:r>
            <w:r w:rsidRPr="00A94B09">
              <w:rPr>
                <w:b/>
                <w:i/>
                <w:vertAlign w:val="subscript"/>
              </w:rPr>
              <w:t>r</w:t>
            </w:r>
            <w:r w:rsidRPr="00A94B09">
              <w:rPr>
                <w:i/>
              </w:rPr>
              <w:t xml:space="preserve"> </w:t>
            </w:r>
            <w:r w:rsidRPr="00A94B09">
              <w:t>is the quantity of waste by</w:t>
            </w:r>
            <w:r w:rsidRPr="00A94B09">
              <w:noBreakHyphen/>
              <w:t>product types (</w:t>
            </w:r>
            <w:r w:rsidRPr="00A94B09">
              <w:rPr>
                <w:b/>
                <w:i/>
              </w:rPr>
              <w:t>r</w:t>
            </w:r>
            <w:r w:rsidRPr="00A94B09">
              <w:t>) leaving the activity during the year, measured in tonnes.</w:t>
            </w:r>
          </w:p>
        </w:tc>
      </w:tr>
      <w:tr w:rsidR="003E2C15" w:rsidRPr="00A94B09" w14:paraId="5BA7CF3C" w14:textId="77777777" w:rsidTr="003E2C15">
        <w:trPr>
          <w:cantSplit/>
        </w:trPr>
        <w:tc>
          <w:tcPr>
            <w:tcW w:w="882" w:type="dxa"/>
            <w:hideMark/>
          </w:tcPr>
          <w:p w14:paraId="2F4AFF65" w14:textId="77777777" w:rsidR="003E2C15" w:rsidRPr="00A94B09" w:rsidRDefault="003E2C15" w:rsidP="003E2C15">
            <w:pPr>
              <w:spacing w:before="60" w:after="60"/>
              <w:rPr>
                <w:i/>
              </w:rPr>
            </w:pPr>
            <w:r w:rsidRPr="00A94B09">
              <w:rPr>
                <w:i/>
              </w:rPr>
              <w:t>Step 4</w:t>
            </w:r>
          </w:p>
        </w:tc>
        <w:tc>
          <w:tcPr>
            <w:tcW w:w="6678" w:type="dxa"/>
            <w:hideMark/>
          </w:tcPr>
          <w:p w14:paraId="6B348AA0" w14:textId="77777777" w:rsidR="003E2C15" w:rsidRPr="00A94B09" w:rsidRDefault="003E2C15" w:rsidP="003E2C15">
            <w:pPr>
              <w:pStyle w:val="TableText1"/>
              <w:keepNext/>
              <w:rPr>
                <w:iCs/>
              </w:rPr>
            </w:pPr>
            <w:r w:rsidRPr="00A94B09">
              <w:t xml:space="preserve">Work out the carbon content in the amount of the change in </w:t>
            </w:r>
            <w:r w:rsidRPr="00A94B09">
              <w:rPr>
                <w:iCs/>
              </w:rPr>
              <w:t>stocks of inputs, products and waste by</w:t>
            </w:r>
            <w:r w:rsidRPr="00A94B09">
              <w:rPr>
                <w:iCs/>
              </w:rPr>
              <w:noBreakHyphen/>
              <w:t>products held within the boundary of the activity during the year, measured in tonnes of carbon, as follows:</w:t>
            </w:r>
          </w:p>
          <w:p w14:paraId="59B6FA29" w14:textId="77777777" w:rsidR="003E2C15" w:rsidRPr="00A94B09" w:rsidRDefault="00CA4FB8" w:rsidP="003E2C15">
            <w:pPr>
              <w:pStyle w:val="Formula"/>
              <w:spacing w:before="120" w:after="120"/>
            </w:pPr>
            <w:r>
              <w:rPr>
                <w:position w:val="-14"/>
              </w:rPr>
              <w:pict w14:anchorId="2FE45EA5">
                <v:shape id="_x0000_i1063" type="#_x0000_t75" style="width:294.75pt;height:18.75pt">
                  <v:imagedata r:id="rId62" o:title=""/>
                </v:shape>
              </w:pict>
            </w:r>
          </w:p>
        </w:tc>
      </w:tr>
      <w:tr w:rsidR="003E2C15" w:rsidRPr="00A94B09" w14:paraId="1CDC2785" w14:textId="77777777" w:rsidTr="003E2C15">
        <w:trPr>
          <w:cantSplit/>
        </w:trPr>
        <w:tc>
          <w:tcPr>
            <w:tcW w:w="882" w:type="dxa"/>
            <w:vAlign w:val="center"/>
            <w:hideMark/>
          </w:tcPr>
          <w:p w14:paraId="4FC6108E" w14:textId="77777777" w:rsidR="003E2C15" w:rsidRPr="00A94B09" w:rsidRDefault="003E2C15" w:rsidP="003E2C15">
            <w:pPr>
              <w:spacing w:before="60" w:after="60"/>
              <w:rPr>
                <w:i/>
              </w:rPr>
            </w:pPr>
          </w:p>
        </w:tc>
        <w:tc>
          <w:tcPr>
            <w:tcW w:w="6678" w:type="dxa"/>
            <w:hideMark/>
          </w:tcPr>
          <w:p w14:paraId="7C75F6AB" w14:textId="77777777" w:rsidR="003E2C15" w:rsidRPr="00A94B09" w:rsidRDefault="003E2C15" w:rsidP="003E2C15">
            <w:pPr>
              <w:pStyle w:val="TableText1"/>
            </w:pPr>
            <w:r w:rsidRPr="00A94B09">
              <w:t>where:</w:t>
            </w:r>
          </w:p>
          <w:p w14:paraId="5484EB37" w14:textId="77777777" w:rsidR="003E2C15" w:rsidRPr="00A94B09" w:rsidRDefault="003E2C15" w:rsidP="003E2C15">
            <w:pPr>
              <w:pStyle w:val="TableText1"/>
              <w:rPr>
                <w:b/>
                <w:i/>
              </w:rPr>
            </w:pPr>
            <w:r w:rsidRPr="00A94B09">
              <w:rPr>
                <w:rFonts w:ascii="Symbol" w:hAnsi="Symbol"/>
                <w:b/>
                <w:i/>
              </w:rPr>
              <w:t></w:t>
            </w:r>
            <w:r w:rsidRPr="00A94B09">
              <w:rPr>
                <w:b/>
                <w:i/>
                <w:vertAlign w:val="subscript"/>
              </w:rPr>
              <w:t>i</w:t>
            </w:r>
            <w:r w:rsidRPr="00A94B09">
              <w:rPr>
                <w:i/>
              </w:rPr>
              <w:t xml:space="preserve"> </w:t>
            </w:r>
            <w:r w:rsidRPr="00A94B09">
              <w:t>has the same meaning as in step 1.</w:t>
            </w:r>
          </w:p>
          <w:p w14:paraId="0A4088CE" w14:textId="77777777" w:rsidR="003E2C15" w:rsidRPr="00A94B09" w:rsidRDefault="003E2C15" w:rsidP="003E2C15">
            <w:pPr>
              <w:pStyle w:val="TableText1"/>
            </w:pPr>
            <w:r w:rsidRPr="00A94B09">
              <w:rPr>
                <w:b/>
                <w:i/>
              </w:rPr>
              <w:t>CCF</w:t>
            </w:r>
            <w:r w:rsidRPr="00A94B09">
              <w:rPr>
                <w:b/>
                <w:i/>
                <w:vertAlign w:val="subscript"/>
              </w:rPr>
              <w:t>i</w:t>
            </w:r>
            <w:r w:rsidRPr="00A94B09">
              <w:rPr>
                <w:i/>
              </w:rPr>
              <w:t xml:space="preserve"> </w:t>
            </w:r>
            <w:r w:rsidRPr="00A94B09">
              <w:t>has the same meaning as in step 1.</w:t>
            </w:r>
          </w:p>
          <w:p w14:paraId="68CD08EC" w14:textId="77777777" w:rsidR="003E2C15" w:rsidRPr="00A94B09" w:rsidRDefault="003E2C15" w:rsidP="003E2C15">
            <w:pPr>
              <w:pStyle w:val="TableText1"/>
              <w:spacing w:line="240" w:lineRule="auto"/>
              <w:rPr>
                <w:iCs/>
              </w:rPr>
            </w:pPr>
            <w:r w:rsidRPr="00A94B09">
              <w:rPr>
                <w:b/>
                <w:i/>
                <w:iCs/>
              </w:rPr>
              <w:t>ΔS</w:t>
            </w:r>
            <w:r w:rsidRPr="00A94B09">
              <w:rPr>
                <w:b/>
                <w:i/>
                <w:iCs/>
                <w:szCs w:val="18"/>
                <w:vertAlign w:val="subscript"/>
              </w:rPr>
              <w:t>q</w:t>
            </w:r>
            <w:r w:rsidRPr="00A94B09">
              <w:rPr>
                <w:b/>
                <w:i/>
                <w:iCs/>
                <w:vertAlign w:val="subscript"/>
              </w:rPr>
              <w:t>i</w:t>
            </w:r>
            <w:r w:rsidRPr="00A94B09">
              <w:rPr>
                <w:iCs/>
              </w:rPr>
              <w:t xml:space="preserve"> is the change in stocks of fuel type (</w:t>
            </w:r>
            <w:r w:rsidRPr="00A94B09">
              <w:rPr>
                <w:b/>
                <w:i/>
                <w:iCs/>
              </w:rPr>
              <w:t>i</w:t>
            </w:r>
            <w:r w:rsidRPr="00A94B09">
              <w:rPr>
                <w:iCs/>
              </w:rPr>
              <w:t xml:space="preserve">) for the activity and held </w:t>
            </w:r>
            <w:r w:rsidRPr="00A94B09">
              <w:t xml:space="preserve">within </w:t>
            </w:r>
            <w:r w:rsidRPr="00A94B09">
              <w:rPr>
                <w:iCs/>
              </w:rPr>
              <w:t xml:space="preserve">the boundary of </w:t>
            </w:r>
            <w:r w:rsidRPr="00A94B09">
              <w:t xml:space="preserve">the activity </w:t>
            </w:r>
            <w:r w:rsidRPr="00A94B09">
              <w:rPr>
                <w:iCs/>
              </w:rPr>
              <w:t>during the year, measured in tonnes.</w:t>
            </w:r>
          </w:p>
        </w:tc>
      </w:tr>
      <w:tr w:rsidR="003E2C15" w:rsidRPr="00A94B09" w14:paraId="7F96D82C" w14:textId="77777777" w:rsidTr="003E2C15">
        <w:trPr>
          <w:cantSplit/>
        </w:trPr>
        <w:tc>
          <w:tcPr>
            <w:tcW w:w="882" w:type="dxa"/>
            <w:vMerge w:val="restart"/>
            <w:hideMark/>
          </w:tcPr>
          <w:p w14:paraId="44E4CE5E" w14:textId="77777777" w:rsidR="003E2C15" w:rsidRPr="00A94B09" w:rsidRDefault="003E2C15" w:rsidP="003E2C15">
            <w:pPr>
              <w:keepNext/>
              <w:spacing w:before="60" w:after="60"/>
              <w:rPr>
                <w:i/>
              </w:rPr>
            </w:pPr>
          </w:p>
        </w:tc>
        <w:tc>
          <w:tcPr>
            <w:tcW w:w="6678" w:type="dxa"/>
            <w:hideMark/>
          </w:tcPr>
          <w:p w14:paraId="18CDB6B4" w14:textId="77777777" w:rsidR="003E2C15" w:rsidRPr="00A94B09" w:rsidRDefault="003E2C15" w:rsidP="003E2C15">
            <w:pPr>
              <w:pStyle w:val="TableText1"/>
              <w:spacing w:line="240" w:lineRule="auto"/>
              <w:rPr>
                <w:b/>
                <w:i/>
              </w:rPr>
            </w:pPr>
            <w:r w:rsidRPr="00A94B09">
              <w:rPr>
                <w:rFonts w:ascii="Symbol" w:hAnsi="Symbol"/>
                <w:b/>
                <w:i/>
              </w:rPr>
              <w:t></w:t>
            </w:r>
            <w:r w:rsidRPr="00A94B09">
              <w:rPr>
                <w:b/>
                <w:i/>
                <w:vertAlign w:val="subscript"/>
              </w:rPr>
              <w:t>p</w:t>
            </w:r>
            <w:r w:rsidRPr="00A94B09">
              <w:rPr>
                <w:i/>
              </w:rPr>
              <w:t xml:space="preserve"> </w:t>
            </w:r>
            <w:r w:rsidRPr="00A94B09">
              <w:t xml:space="preserve">has the same </w:t>
            </w:r>
            <w:r w:rsidRPr="00A94B09">
              <w:rPr>
                <w:szCs w:val="22"/>
              </w:rPr>
              <w:t>meaning</w:t>
            </w:r>
            <w:r w:rsidRPr="00A94B09">
              <w:t xml:space="preserve"> as in step 2.</w:t>
            </w:r>
          </w:p>
          <w:p w14:paraId="26E6E6F7" w14:textId="77777777" w:rsidR="003E2C15" w:rsidRPr="00A94B09" w:rsidRDefault="003E2C15" w:rsidP="003E2C15">
            <w:pPr>
              <w:pStyle w:val="TableText1"/>
              <w:spacing w:line="240" w:lineRule="auto"/>
              <w:rPr>
                <w:b/>
                <w:i/>
                <w:iCs/>
              </w:rPr>
            </w:pPr>
            <w:r w:rsidRPr="00A94B09">
              <w:rPr>
                <w:b/>
                <w:i/>
              </w:rPr>
              <w:t>CCF</w:t>
            </w:r>
            <w:r w:rsidRPr="00A94B09">
              <w:rPr>
                <w:b/>
                <w:i/>
                <w:vertAlign w:val="subscript"/>
              </w:rPr>
              <w:t>p</w:t>
            </w:r>
            <w:r w:rsidRPr="00A94B09">
              <w:rPr>
                <w:i/>
              </w:rPr>
              <w:t xml:space="preserve"> </w:t>
            </w:r>
            <w:r w:rsidRPr="00A94B09">
              <w:t>has the same meaning as in step 2.</w:t>
            </w:r>
          </w:p>
          <w:p w14:paraId="033767D4" w14:textId="77777777" w:rsidR="003E2C15" w:rsidRPr="00A94B09" w:rsidRDefault="003E2C15" w:rsidP="003E2C15">
            <w:pPr>
              <w:pStyle w:val="TableText1"/>
              <w:spacing w:line="240" w:lineRule="auto"/>
            </w:pPr>
            <w:r w:rsidRPr="00A94B09">
              <w:rPr>
                <w:b/>
                <w:i/>
                <w:iCs/>
              </w:rPr>
              <w:t>ΔS</w:t>
            </w:r>
            <w:r w:rsidRPr="00A94B09">
              <w:rPr>
                <w:b/>
                <w:i/>
                <w:iCs/>
                <w:szCs w:val="18"/>
                <w:vertAlign w:val="subscript"/>
              </w:rPr>
              <w:t>a</w:t>
            </w:r>
            <w:r w:rsidRPr="00A94B09">
              <w:rPr>
                <w:b/>
                <w:i/>
                <w:iCs/>
                <w:vertAlign w:val="subscript"/>
              </w:rPr>
              <w:t>p</w:t>
            </w:r>
            <w:r w:rsidRPr="00A94B09">
              <w:rPr>
                <w:iCs/>
                <w:szCs w:val="18"/>
              </w:rPr>
              <w:t xml:space="preserve"> is the change in stocks of </w:t>
            </w:r>
            <w:r w:rsidRPr="00A94B09">
              <w:rPr>
                <w:iCs/>
              </w:rPr>
              <w:t>product types (</w:t>
            </w:r>
            <w:r w:rsidRPr="00A94B09">
              <w:rPr>
                <w:b/>
                <w:i/>
                <w:iCs/>
              </w:rPr>
              <w:t>p)</w:t>
            </w:r>
            <w:r w:rsidRPr="00A94B09">
              <w:rPr>
                <w:iCs/>
              </w:rPr>
              <w:t xml:space="preserve"> produced by the activity and held </w:t>
            </w:r>
            <w:r w:rsidRPr="00A94B09">
              <w:t xml:space="preserve">within </w:t>
            </w:r>
            <w:r w:rsidRPr="00A94B09">
              <w:rPr>
                <w:iCs/>
              </w:rPr>
              <w:t xml:space="preserve">the boundary of </w:t>
            </w:r>
            <w:r w:rsidRPr="00A94B09">
              <w:t xml:space="preserve">the activity </w:t>
            </w:r>
            <w:r w:rsidRPr="00A94B09">
              <w:rPr>
                <w:iCs/>
              </w:rPr>
              <w:t>during the year, measured in tonnes.</w:t>
            </w:r>
          </w:p>
        </w:tc>
      </w:tr>
      <w:tr w:rsidR="003E2C15" w:rsidRPr="00A94B09" w14:paraId="28F3D008" w14:textId="77777777" w:rsidTr="003E2C15">
        <w:trPr>
          <w:cantSplit/>
        </w:trPr>
        <w:tc>
          <w:tcPr>
            <w:tcW w:w="882" w:type="dxa"/>
            <w:vMerge/>
            <w:vAlign w:val="center"/>
            <w:hideMark/>
          </w:tcPr>
          <w:p w14:paraId="58F01DFA" w14:textId="77777777" w:rsidR="003E2C15" w:rsidRPr="00A94B09" w:rsidRDefault="003E2C15" w:rsidP="003E2C15">
            <w:pPr>
              <w:rPr>
                <w:i/>
              </w:rPr>
            </w:pPr>
          </w:p>
        </w:tc>
        <w:tc>
          <w:tcPr>
            <w:tcW w:w="6678" w:type="dxa"/>
            <w:hideMark/>
          </w:tcPr>
          <w:p w14:paraId="0EBAD252" w14:textId="77777777" w:rsidR="003E2C15" w:rsidRPr="00A94B09" w:rsidRDefault="003E2C15" w:rsidP="003E2C15">
            <w:pPr>
              <w:pStyle w:val="TableText1"/>
              <w:spacing w:line="240" w:lineRule="auto"/>
              <w:rPr>
                <w:b/>
                <w:i/>
              </w:rPr>
            </w:pPr>
            <w:r w:rsidRPr="00A94B09">
              <w:rPr>
                <w:rFonts w:ascii="Symbol" w:hAnsi="Symbol"/>
                <w:b/>
                <w:i/>
              </w:rPr>
              <w:t></w:t>
            </w:r>
            <w:r w:rsidRPr="00A94B09">
              <w:rPr>
                <w:b/>
                <w:i/>
                <w:vertAlign w:val="subscript"/>
              </w:rPr>
              <w:t>r</w:t>
            </w:r>
            <w:r w:rsidRPr="00A94B09">
              <w:rPr>
                <w:i/>
              </w:rPr>
              <w:t xml:space="preserve"> </w:t>
            </w:r>
            <w:r w:rsidRPr="00A94B09">
              <w:t>has the same meaning as in step 3.</w:t>
            </w:r>
          </w:p>
          <w:p w14:paraId="302346BE" w14:textId="77777777" w:rsidR="003E2C15" w:rsidRPr="00A94B09" w:rsidRDefault="003E2C15" w:rsidP="003E2C15">
            <w:pPr>
              <w:pStyle w:val="TableText1"/>
              <w:spacing w:line="240" w:lineRule="auto"/>
              <w:rPr>
                <w:b/>
                <w:i/>
                <w:iCs/>
              </w:rPr>
            </w:pPr>
            <w:r w:rsidRPr="00A94B09">
              <w:rPr>
                <w:b/>
                <w:i/>
              </w:rPr>
              <w:t>CCF</w:t>
            </w:r>
            <w:r w:rsidRPr="00A94B09">
              <w:rPr>
                <w:b/>
                <w:i/>
                <w:vertAlign w:val="subscript"/>
              </w:rPr>
              <w:t>r</w:t>
            </w:r>
            <w:r w:rsidRPr="00A94B09">
              <w:rPr>
                <w:i/>
              </w:rPr>
              <w:t xml:space="preserve"> </w:t>
            </w:r>
            <w:r w:rsidRPr="00A94B09">
              <w:t xml:space="preserve">has the </w:t>
            </w:r>
            <w:r w:rsidRPr="00A94B09">
              <w:rPr>
                <w:szCs w:val="22"/>
              </w:rPr>
              <w:t>same</w:t>
            </w:r>
            <w:r w:rsidRPr="00A94B09">
              <w:t xml:space="preserve"> meaning as in step 3.</w:t>
            </w:r>
          </w:p>
          <w:p w14:paraId="545DAE48" w14:textId="77777777" w:rsidR="003E2C15" w:rsidRPr="00A94B09" w:rsidRDefault="003E2C15" w:rsidP="003E2C15">
            <w:pPr>
              <w:pStyle w:val="TableText1"/>
              <w:spacing w:line="240" w:lineRule="auto"/>
            </w:pPr>
            <w:r w:rsidRPr="00A94B09">
              <w:rPr>
                <w:b/>
                <w:i/>
                <w:iCs/>
              </w:rPr>
              <w:t>ΔS</w:t>
            </w:r>
            <w:r w:rsidRPr="00A94B09">
              <w:rPr>
                <w:b/>
                <w:i/>
                <w:iCs/>
                <w:szCs w:val="18"/>
                <w:vertAlign w:val="subscript"/>
              </w:rPr>
              <w:t>y</w:t>
            </w:r>
            <w:r w:rsidRPr="00A94B09">
              <w:rPr>
                <w:b/>
                <w:i/>
                <w:iCs/>
                <w:vertAlign w:val="subscript"/>
              </w:rPr>
              <w:t>r</w:t>
            </w:r>
            <w:r w:rsidRPr="00A94B09">
              <w:rPr>
                <w:iCs/>
              </w:rPr>
              <w:t xml:space="preserve"> is the </w:t>
            </w:r>
            <w:r w:rsidRPr="00A94B09">
              <w:rPr>
                <w:szCs w:val="22"/>
              </w:rPr>
              <w:t>change</w:t>
            </w:r>
            <w:r w:rsidRPr="00A94B09">
              <w:rPr>
                <w:iCs/>
              </w:rPr>
              <w:t xml:space="preserve"> in stocks of waste by</w:t>
            </w:r>
            <w:r w:rsidRPr="00A94B09">
              <w:rPr>
                <w:iCs/>
              </w:rPr>
              <w:noBreakHyphen/>
              <w:t>product types (</w:t>
            </w:r>
            <w:r w:rsidRPr="00A94B09">
              <w:rPr>
                <w:b/>
                <w:i/>
                <w:iCs/>
              </w:rPr>
              <w:t>r</w:t>
            </w:r>
            <w:r w:rsidRPr="00A94B09">
              <w:rPr>
                <w:iCs/>
              </w:rPr>
              <w:t xml:space="preserve">) produced from the operation of the activity and held </w:t>
            </w:r>
            <w:r w:rsidRPr="00A94B09">
              <w:t xml:space="preserve">within </w:t>
            </w:r>
            <w:r w:rsidRPr="00A94B09">
              <w:rPr>
                <w:iCs/>
              </w:rPr>
              <w:t xml:space="preserve">the boundary of </w:t>
            </w:r>
            <w:r w:rsidRPr="00A94B09">
              <w:t xml:space="preserve">the activity </w:t>
            </w:r>
            <w:r w:rsidRPr="00A94B09">
              <w:rPr>
                <w:iCs/>
              </w:rPr>
              <w:t>during the year, measured in tonnes.</w:t>
            </w:r>
          </w:p>
        </w:tc>
      </w:tr>
      <w:tr w:rsidR="003E2C15" w:rsidRPr="00A94B09" w14:paraId="4D91E98D" w14:textId="77777777" w:rsidTr="003E2C15">
        <w:trPr>
          <w:cantSplit/>
        </w:trPr>
        <w:tc>
          <w:tcPr>
            <w:tcW w:w="882" w:type="dxa"/>
          </w:tcPr>
          <w:p w14:paraId="2C808E83" w14:textId="77777777" w:rsidR="003E2C15" w:rsidRPr="00A94B09" w:rsidRDefault="003E2C15" w:rsidP="003E2C15">
            <w:pPr>
              <w:spacing w:before="60" w:after="60"/>
              <w:rPr>
                <w:i/>
              </w:rPr>
            </w:pPr>
            <w:r w:rsidRPr="00A94B09">
              <w:rPr>
                <w:i/>
              </w:rPr>
              <w:t>Step 5</w:t>
            </w:r>
          </w:p>
        </w:tc>
        <w:tc>
          <w:tcPr>
            <w:tcW w:w="6678" w:type="dxa"/>
            <w:hideMark/>
          </w:tcPr>
          <w:p w14:paraId="5AE7F5A1" w14:textId="77777777" w:rsidR="003E2C15" w:rsidRPr="00A94B09" w:rsidRDefault="003E2C15" w:rsidP="003E2C15">
            <w:pPr>
              <w:pStyle w:val="TableText1"/>
            </w:pPr>
            <w:r w:rsidRPr="00A94B09">
              <w:t xml:space="preserve">Work out the emissions of carbon dioxide released from the operation of the activity during the year, measured in </w:t>
            </w:r>
            <w:r w:rsidRPr="00A94B09">
              <w:rPr>
                <w:szCs w:val="22"/>
              </w:rPr>
              <w:t>CO</w:t>
            </w:r>
            <w:r w:rsidRPr="00A94B09">
              <w:rPr>
                <w:szCs w:val="22"/>
                <w:vertAlign w:val="subscript"/>
              </w:rPr>
              <w:t>2</w:t>
            </w:r>
            <w:r w:rsidRPr="00A94B09">
              <w:rPr>
                <w:szCs w:val="22"/>
              </w:rPr>
              <w:noBreakHyphen/>
              <w:t>e</w:t>
            </w:r>
            <w:r w:rsidRPr="00A94B09">
              <w:t xml:space="preserve"> tonnes, as follows:</w:t>
            </w:r>
          </w:p>
          <w:p w14:paraId="0FC70A9E" w14:textId="77777777" w:rsidR="003E2C15" w:rsidRPr="00A94B09" w:rsidRDefault="003E2C15" w:rsidP="003E2C15">
            <w:pPr>
              <w:pStyle w:val="TableP1a"/>
            </w:pPr>
            <w:r w:rsidRPr="00A94B09">
              <w:tab/>
              <w:t>(a)</w:t>
            </w:r>
            <w:r w:rsidRPr="00A94B09">
              <w:tab/>
              <w:t>add the amounts worked out under steps 2, 3 and 4 to work out a new amount (</w:t>
            </w:r>
            <w:r w:rsidRPr="00A94B09">
              <w:rPr>
                <w:b/>
                <w:i/>
              </w:rPr>
              <w:t>amount A</w:t>
            </w:r>
            <w:r w:rsidRPr="00A94B09">
              <w:t>);</w:t>
            </w:r>
          </w:p>
          <w:p w14:paraId="61EEFCCE" w14:textId="77777777" w:rsidR="003E2C15" w:rsidRPr="00A94B09" w:rsidRDefault="003E2C15" w:rsidP="003E2C15">
            <w:pPr>
              <w:pStyle w:val="TableP1a"/>
            </w:pPr>
            <w:r w:rsidRPr="00A94B09">
              <w:tab/>
              <w:t>(b)</w:t>
            </w:r>
            <w:r w:rsidRPr="00A94B09">
              <w:tab/>
              <w:t>subtract amount A from the amount worked out under step 1 to work out a new amount (</w:t>
            </w:r>
            <w:r w:rsidRPr="00A94B09">
              <w:rPr>
                <w:b/>
                <w:i/>
              </w:rPr>
              <w:t>amount B</w:t>
            </w:r>
            <w:r w:rsidRPr="00A94B09">
              <w:t>);</w:t>
            </w:r>
          </w:p>
          <w:p w14:paraId="28654786" w14:textId="77777777" w:rsidR="003E2C15" w:rsidRDefault="003E2C15" w:rsidP="003E2C15">
            <w:pPr>
              <w:pStyle w:val="TableP1a"/>
            </w:pPr>
            <w:r w:rsidRPr="00A94B09">
              <w:tab/>
              <w:t>(c)</w:t>
            </w:r>
            <w:r w:rsidRPr="00A94B09">
              <w:tab/>
              <w:t>multiply amount B by 3.664 to work out the amount of emissions released from the operation of the activity during the year.</w:t>
            </w:r>
          </w:p>
          <w:p w14:paraId="5075AD9B" w14:textId="77777777" w:rsidR="00DA0A7A" w:rsidRPr="00A94B09" w:rsidRDefault="00DA0A7A" w:rsidP="003E2C15">
            <w:pPr>
              <w:pStyle w:val="TableP1a"/>
            </w:pPr>
          </w:p>
        </w:tc>
      </w:tr>
    </w:tbl>
    <w:p w14:paraId="71B9A2AE" w14:textId="77777777" w:rsidR="001363EF" w:rsidRDefault="00010E2E">
      <w:pPr>
        <w:pStyle w:val="Heading2"/>
        <w:tabs>
          <w:tab w:val="left" w:pos="0"/>
          <w:tab w:val="left" w:pos="1134"/>
        </w:tabs>
        <w:spacing w:before="120" w:after="0" w:line="312" w:lineRule="auto"/>
        <w:ind w:left="578" w:hanging="578"/>
        <w:rPr>
          <w:rFonts w:ascii="Arial" w:hAnsi="Arial"/>
        </w:rPr>
      </w:pPr>
      <w:r>
        <w:rPr>
          <w:rFonts w:ascii="Arial" w:hAnsi="Arial"/>
        </w:rPr>
        <w:t>Aluminium — emissions from consumption of carbon anodes in aluminium production</w:t>
      </w:r>
    </w:p>
    <w:p w14:paraId="79A2F2F4" w14:textId="77777777" w:rsidR="00010E2E" w:rsidRPr="00DA0A7A" w:rsidRDefault="00CA4FB8">
      <w:pPr>
        <w:pStyle w:val="Equation"/>
        <w:jc w:val="center"/>
        <w:rPr>
          <w:rFonts w:ascii="Times New Roman" w:hAnsi="Times New Roman" w:cs="Times New Roman"/>
          <w:sz w:val="28"/>
          <w:szCs w:val="28"/>
        </w:rPr>
      </w:pPr>
      <w:r>
        <w:rPr>
          <w:rFonts w:ascii="Times New Roman" w:hAnsi="Times New Roman" w:cs="Times New Roman"/>
          <w:position w:val="-8"/>
        </w:rPr>
        <w:pict w14:anchorId="670FB249">
          <v:shape id="_x0000_i1064" type="#_x0000_t75" style="width:65.25pt;height:15.75pt">
            <v:imagedata r:id="rId63" o:title=""/>
          </v:shape>
        </w:pict>
      </w:r>
    </w:p>
    <w:p w14:paraId="7B4F83AE" w14:textId="77777777" w:rsidR="00010E2E" w:rsidRPr="008870C0" w:rsidRDefault="00010E2E">
      <w:pPr>
        <w:pStyle w:val="EquationNote"/>
        <w:ind w:firstLine="0"/>
        <w:rPr>
          <w:rFonts w:ascii="Times New Roman" w:hAnsi="Times New Roman" w:cs="Times New Roman"/>
          <w:sz w:val="22"/>
          <w:szCs w:val="22"/>
        </w:rPr>
      </w:pPr>
      <w:r w:rsidRPr="008870C0">
        <w:rPr>
          <w:rFonts w:ascii="Times New Roman" w:hAnsi="Times New Roman" w:cs="Times New Roman"/>
          <w:sz w:val="22"/>
          <w:szCs w:val="22"/>
        </w:rPr>
        <w:t>where:</w:t>
      </w:r>
    </w:p>
    <w:p w14:paraId="347BB2F5"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sz w:val="22"/>
          <w:szCs w:val="22"/>
        </w:rPr>
        <w:t>E</w:t>
      </w:r>
      <w:r w:rsidRPr="008870C0">
        <w:rPr>
          <w:rStyle w:val="Subscript"/>
          <w:rFonts w:ascii="Times New Roman" w:hAnsi="Times New Roman" w:cs="Times New Roman"/>
          <w:b/>
          <w:sz w:val="22"/>
          <w:szCs w:val="22"/>
        </w:rPr>
        <w:t>ij</w:t>
      </w:r>
      <w:r w:rsidRPr="008870C0">
        <w:rPr>
          <w:rFonts w:ascii="Times New Roman" w:hAnsi="Times New Roman" w:cs="Times New Roman"/>
          <w:b/>
          <w:sz w:val="22"/>
          <w:szCs w:val="22"/>
        </w:rPr>
        <w:t xml:space="preserve"> </w:t>
      </w:r>
      <w:r w:rsidRPr="008870C0">
        <w:rPr>
          <w:rFonts w:ascii="Times New Roman" w:hAnsi="Times New Roman" w:cs="Times New Roman"/>
          <w:sz w:val="22"/>
          <w:szCs w:val="22"/>
        </w:rPr>
        <w:t>is the emission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from aluminium smelting (tonnes)</w:t>
      </w:r>
    </w:p>
    <w:p w14:paraId="088D2784"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A</w:t>
      </w:r>
      <w:r w:rsidRPr="008870C0">
        <w:rPr>
          <w:rStyle w:val="Subscript"/>
          <w:rFonts w:ascii="Times New Roman" w:hAnsi="Times New Roman" w:cs="Times New Roman"/>
          <w:b/>
          <w:i/>
          <w:sz w:val="22"/>
          <w:szCs w:val="22"/>
        </w:rPr>
        <w:t>i</w:t>
      </w:r>
      <w:r w:rsidRPr="008870C0">
        <w:rPr>
          <w:rFonts w:ascii="Times New Roman" w:hAnsi="Times New Roman" w:cs="Times New Roman"/>
          <w:sz w:val="22"/>
          <w:szCs w:val="22"/>
        </w:rPr>
        <w:t xml:space="preserve"> is the amount of aluminium produced (tonnes)</w:t>
      </w:r>
    </w:p>
    <w:p w14:paraId="2A31A382"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EF</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emission factor for carbon anode consumption (tonnes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-e emissions per tonne of aluminium produced), estimated according to:</w:t>
      </w:r>
    </w:p>
    <w:p w14:paraId="4D5A80AD" w14:textId="77777777" w:rsidR="00010E2E" w:rsidRPr="008870C0" w:rsidRDefault="00010E2E">
      <w:pPr>
        <w:pStyle w:val="EquationNote"/>
        <w:rPr>
          <w:rFonts w:ascii="Times New Roman" w:hAnsi="Times New Roman" w:cs="Times New Roman"/>
          <w:sz w:val="22"/>
          <w:szCs w:val="22"/>
        </w:rPr>
      </w:pPr>
    </w:p>
    <w:p w14:paraId="24074D82" w14:textId="77777777" w:rsidR="00010E2E" w:rsidRPr="008870C0" w:rsidRDefault="00CA4FB8">
      <w:pPr>
        <w:pStyle w:val="Equation"/>
        <w:jc w:val="center"/>
        <w:rPr>
          <w:rFonts w:ascii="Times New Roman" w:hAnsi="Times New Roman" w:cs="Times New Roman"/>
          <w:sz w:val="22"/>
          <w:szCs w:val="22"/>
        </w:rPr>
      </w:pPr>
      <w:r>
        <w:rPr>
          <w:rFonts w:ascii="Times New Roman" w:hAnsi="Times New Roman" w:cs="Times New Roman"/>
          <w:color w:val="000000"/>
          <w:position w:val="-28"/>
          <w:sz w:val="22"/>
          <w:szCs w:val="22"/>
        </w:rPr>
        <w:pict w14:anchorId="60378C42">
          <v:shape id="_x0000_i1065" type="#_x0000_t75" style="width:204.75pt;height:34.5pt">
            <v:imagedata r:id="rId64" o:title=""/>
          </v:shape>
        </w:pict>
      </w:r>
    </w:p>
    <w:p w14:paraId="473533D7"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t>where:</w:t>
      </w:r>
    </w:p>
    <w:p w14:paraId="5F12A11C"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00B80F09" w:rsidRPr="00B80F09">
        <w:rPr>
          <w:rFonts w:ascii="Times New Roman" w:hAnsi="Times New Roman" w:cs="Times New Roman"/>
          <w:b/>
          <w:i/>
          <w:sz w:val="22"/>
          <w:szCs w:val="22"/>
        </w:rPr>
        <w:t>NAC</w:t>
      </w:r>
      <w:r w:rsidR="005A19A7">
        <w:rPr>
          <w:rFonts w:ascii="Times New Roman" w:hAnsi="Times New Roman" w:cs="Times New Roman"/>
          <w:sz w:val="22"/>
          <w:szCs w:val="22"/>
        </w:rPr>
        <w:t xml:space="preserve"> is the amount of carbon consumed from a carbon anode consumed in the production of aluminium during the year, worked out at the rate of </w:t>
      </w:r>
      <w:r w:rsidRPr="008870C0">
        <w:rPr>
          <w:rFonts w:ascii="Times New Roman" w:hAnsi="Times New Roman" w:cs="Times New Roman"/>
          <w:b/>
          <w:i/>
          <w:sz w:val="22"/>
          <w:szCs w:val="22"/>
        </w:rPr>
        <w:t>0.413</w:t>
      </w:r>
      <w:r w:rsidRPr="008870C0">
        <w:rPr>
          <w:rFonts w:ascii="Times New Roman" w:hAnsi="Times New Roman" w:cs="Times New Roman"/>
          <w:sz w:val="22"/>
          <w:szCs w:val="22"/>
        </w:rPr>
        <w:t xml:space="preserve"> tonnes of carbon anode consumed per tonne of aluminium produced</w:t>
      </w:r>
    </w:p>
    <w:p w14:paraId="68BB9F7D"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S</w:t>
      </w:r>
      <w:r w:rsidRPr="008870C0">
        <w:rPr>
          <w:rFonts w:ascii="Times New Roman" w:hAnsi="Times New Roman" w:cs="Times New Roman"/>
          <w:b/>
          <w:i/>
          <w:sz w:val="22"/>
          <w:szCs w:val="22"/>
          <w:vertAlign w:val="subscript"/>
        </w:rPr>
        <w:t>a</w:t>
      </w:r>
      <w:r w:rsidRPr="008870C0">
        <w:rPr>
          <w:rFonts w:ascii="Times New Roman" w:hAnsi="Times New Roman" w:cs="Times New Roman"/>
          <w:sz w:val="22"/>
          <w:szCs w:val="22"/>
        </w:rPr>
        <w:t xml:space="preserve"> is the sulphur content in anodes (by % weight; the default is assumed to be equal to 2%)</w:t>
      </w:r>
    </w:p>
    <w:p w14:paraId="00E262F8" w14:textId="77777777" w:rsidR="00010E2E" w:rsidRPr="008870C0" w:rsidRDefault="00010E2E">
      <w:pPr>
        <w:pStyle w:val="EquationNote"/>
        <w:ind w:left="720"/>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Ash</w:t>
      </w:r>
      <w:r w:rsidRPr="008870C0">
        <w:rPr>
          <w:rStyle w:val="Subscript"/>
          <w:rFonts w:ascii="Times New Roman" w:hAnsi="Times New Roman" w:cs="Times New Roman"/>
          <w:b/>
          <w:i/>
          <w:sz w:val="22"/>
          <w:szCs w:val="22"/>
        </w:rPr>
        <w:t>a</w:t>
      </w:r>
      <w:r w:rsidRPr="008870C0">
        <w:rPr>
          <w:rFonts w:ascii="Times New Roman" w:hAnsi="Times New Roman" w:cs="Times New Roman"/>
          <w:sz w:val="22"/>
          <w:szCs w:val="22"/>
        </w:rPr>
        <w:t xml:space="preserve"> is the ash content in anodes (by % weight, the default is assumed to be equal to 0.4%)</w:t>
      </w:r>
    </w:p>
    <w:p w14:paraId="07FB6E6F" w14:textId="77777777" w:rsidR="00D157AC" w:rsidRDefault="00D157AC">
      <w:pPr>
        <w:pStyle w:val="BodyText"/>
        <w:ind w:left="0"/>
        <w:rPr>
          <w:rFonts w:ascii="Arial" w:hAnsi="Arial"/>
          <w:u w:val="single"/>
        </w:rPr>
      </w:pPr>
    </w:p>
    <w:p w14:paraId="53C83D7D" w14:textId="77777777" w:rsidR="001363EF" w:rsidRDefault="00010E2E">
      <w:pPr>
        <w:pStyle w:val="Heading2"/>
        <w:tabs>
          <w:tab w:val="left" w:pos="0"/>
          <w:tab w:val="left" w:pos="1134"/>
        </w:tabs>
        <w:spacing w:before="120" w:after="0" w:line="312" w:lineRule="auto"/>
        <w:ind w:left="578" w:hanging="578"/>
        <w:rPr>
          <w:rFonts w:ascii="Arial" w:hAnsi="Arial"/>
        </w:rPr>
      </w:pPr>
      <w:r>
        <w:rPr>
          <w:rFonts w:ascii="Arial" w:hAnsi="Arial"/>
        </w:rPr>
        <w:t>Aluminium — emissions from production of baked carbon anodes in aluminium production</w:t>
      </w:r>
    </w:p>
    <w:p w14:paraId="43EBCD59" w14:textId="77777777" w:rsidR="00010E2E" w:rsidRDefault="00010E2E">
      <w:pPr>
        <w:pStyle w:val="BodyText"/>
        <w:spacing w:after="0"/>
        <w:ind w:left="0"/>
      </w:pPr>
    </w:p>
    <w:p w14:paraId="4831A4E6" w14:textId="77777777" w:rsidR="00D157AC" w:rsidRDefault="00CA4FB8">
      <w:pPr>
        <w:pStyle w:val="EquationNote"/>
        <w:ind w:left="0" w:firstLine="0"/>
        <w:rPr>
          <w:rFonts w:ascii="Times New Roman" w:hAnsi="Times New Roman" w:cs="Times New Roman"/>
          <w:sz w:val="22"/>
          <w:szCs w:val="22"/>
        </w:rPr>
      </w:pPr>
      <w:r>
        <w:rPr>
          <w:color w:val="000000"/>
          <w:position w:val="-32"/>
        </w:rPr>
        <w:pict w14:anchorId="4E0CB5D7">
          <v:shape id="_x0000_i1066" type="#_x0000_t75" style="width:417pt;height:37.5pt">
            <v:imagedata r:id="rId65" o:title=""/>
          </v:shape>
        </w:pict>
      </w:r>
      <w:r w:rsidR="00010E2E" w:rsidRPr="008870C0">
        <w:rPr>
          <w:rFonts w:ascii="Times New Roman" w:hAnsi="Times New Roman" w:cs="Times New Roman"/>
          <w:sz w:val="22"/>
          <w:szCs w:val="22"/>
        </w:rPr>
        <w:t>where:</w:t>
      </w:r>
    </w:p>
    <w:p w14:paraId="338FF607"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E</w:t>
      </w:r>
      <w:r w:rsidRPr="008870C0">
        <w:rPr>
          <w:rStyle w:val="Subscript"/>
          <w:rFonts w:ascii="Times New Roman" w:hAnsi="Times New Roman" w:cs="Times New Roman"/>
          <w:b/>
          <w:i/>
          <w:sz w:val="22"/>
          <w:szCs w:val="22"/>
        </w:rPr>
        <w:t>ij</w:t>
      </w:r>
      <w:r w:rsidRPr="008870C0">
        <w:rPr>
          <w:rFonts w:ascii="Times New Roman" w:hAnsi="Times New Roman" w:cs="Times New Roman"/>
          <w:sz w:val="22"/>
          <w:szCs w:val="22"/>
        </w:rPr>
        <w:t xml:space="preserve"> is the emissions of CO</w:t>
      </w:r>
      <w:r w:rsidRPr="008870C0">
        <w:rPr>
          <w:rStyle w:val="Subscript"/>
          <w:rFonts w:ascii="Times New Roman" w:hAnsi="Times New Roman" w:cs="Times New Roman"/>
          <w:sz w:val="22"/>
          <w:szCs w:val="22"/>
        </w:rPr>
        <w:t>2</w:t>
      </w:r>
      <w:r w:rsidRPr="008870C0">
        <w:rPr>
          <w:rFonts w:ascii="Times New Roman" w:hAnsi="Times New Roman" w:cs="Times New Roman"/>
          <w:sz w:val="22"/>
          <w:szCs w:val="22"/>
        </w:rPr>
        <w:t xml:space="preserve"> from baked carbon anode production</w:t>
      </w:r>
    </w:p>
    <w:p w14:paraId="34DE48A7"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GA</w:t>
      </w:r>
      <w:r w:rsidRPr="008870C0">
        <w:rPr>
          <w:rFonts w:ascii="Times New Roman" w:hAnsi="Times New Roman" w:cs="Times New Roman"/>
          <w:sz w:val="22"/>
          <w:szCs w:val="22"/>
        </w:rPr>
        <w:t xml:space="preserve"> is the initial weight of green anodes used in the production process of the baked carbon anode </w:t>
      </w:r>
    </w:p>
    <w:p w14:paraId="4E960DE7"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BA</w:t>
      </w:r>
      <w:r w:rsidRPr="008870C0">
        <w:rPr>
          <w:rFonts w:ascii="Times New Roman" w:hAnsi="Times New Roman" w:cs="Times New Roman"/>
          <w:sz w:val="22"/>
          <w:szCs w:val="22"/>
        </w:rPr>
        <w:t xml:space="preserve"> is baked anode production (tonnes)</w:t>
      </w:r>
    </w:p>
    <w:p w14:paraId="6DA02B96"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Hw</w:t>
      </w:r>
      <w:r w:rsidRPr="008870C0">
        <w:rPr>
          <w:rFonts w:ascii="Times New Roman" w:hAnsi="Times New Roman" w:cs="Times New Roman"/>
          <w:sz w:val="22"/>
          <w:szCs w:val="22"/>
        </w:rPr>
        <w:t xml:space="preserve"> is the weight of the hydrogen content in green anodes (tonnes)</w:t>
      </w:r>
      <w:r w:rsidR="004D364E" w:rsidRPr="008870C0">
        <w:rPr>
          <w:rFonts w:ascii="Times New Roman" w:hAnsi="Times New Roman" w:cs="Times New Roman"/>
          <w:sz w:val="22"/>
          <w:szCs w:val="22"/>
        </w:rPr>
        <w:t xml:space="preserve"> (the default value for </w:t>
      </w:r>
      <w:r w:rsidR="004D364E" w:rsidRPr="008870C0">
        <w:rPr>
          <w:rFonts w:ascii="Times New Roman" w:hAnsi="Times New Roman" w:cs="Times New Roman"/>
          <w:i/>
          <w:sz w:val="22"/>
          <w:szCs w:val="22"/>
        </w:rPr>
        <w:t>Hw</w:t>
      </w:r>
      <w:r w:rsidR="004D364E" w:rsidRPr="008870C0">
        <w:rPr>
          <w:rFonts w:ascii="Times New Roman" w:hAnsi="Times New Roman" w:cs="Times New Roman"/>
          <w:sz w:val="22"/>
          <w:szCs w:val="22"/>
        </w:rPr>
        <w:t xml:space="preserve"> is 0.5% of GA)</w:t>
      </w:r>
    </w:p>
    <w:p w14:paraId="34B4FD13"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WT</w:t>
      </w:r>
      <w:r w:rsidRPr="008870C0">
        <w:rPr>
          <w:rFonts w:ascii="Times New Roman" w:hAnsi="Times New Roman" w:cs="Times New Roman"/>
          <w:sz w:val="22"/>
          <w:szCs w:val="22"/>
        </w:rPr>
        <w:t xml:space="preserve"> is waste tar collected (tonnes)</w:t>
      </w:r>
    </w:p>
    <w:p w14:paraId="1E5D84D1"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∑Q</w:t>
      </w:r>
      <w:r w:rsidRPr="008870C0">
        <w:rPr>
          <w:rStyle w:val="Subscript"/>
          <w:rFonts w:ascii="Times New Roman" w:hAnsi="Times New Roman" w:cs="Times New Roman"/>
          <w:b/>
          <w:i/>
          <w:sz w:val="22"/>
          <w:szCs w:val="22"/>
        </w:rPr>
        <w:t>i</w:t>
      </w:r>
      <w:r w:rsidRPr="008870C0">
        <w:rPr>
          <w:rFonts w:ascii="Times New Roman" w:hAnsi="Times New Roman" w:cs="Times New Roman"/>
          <w:sz w:val="22"/>
          <w:szCs w:val="22"/>
        </w:rPr>
        <w:t xml:space="preserve"> is the quantity of fuel consumed in the production of baked carbon anodes (tonnes)</w:t>
      </w:r>
    </w:p>
    <w:p w14:paraId="04BD0146"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S</w:t>
      </w:r>
      <w:r w:rsidRPr="008870C0">
        <w:rPr>
          <w:rFonts w:ascii="Times New Roman" w:hAnsi="Times New Roman" w:cs="Times New Roman"/>
          <w:b/>
          <w:i/>
          <w:sz w:val="22"/>
          <w:szCs w:val="22"/>
          <w:vertAlign w:val="subscript"/>
        </w:rPr>
        <w:t>i</w:t>
      </w:r>
      <w:r w:rsidRPr="008870C0">
        <w:rPr>
          <w:rFonts w:ascii="Times New Roman" w:hAnsi="Times New Roman" w:cs="Times New Roman"/>
          <w:b/>
          <w:i/>
          <w:sz w:val="22"/>
          <w:szCs w:val="22"/>
        </w:rPr>
        <w:t xml:space="preserve"> </w:t>
      </w:r>
      <w:r w:rsidRPr="008870C0">
        <w:rPr>
          <w:rFonts w:ascii="Times New Roman" w:hAnsi="Times New Roman" w:cs="Times New Roman"/>
          <w:sz w:val="22"/>
          <w:szCs w:val="22"/>
        </w:rPr>
        <w:t xml:space="preserve">is the sulphur content in packing coke (by % weight, assumed to be 2%) </w:t>
      </w:r>
    </w:p>
    <w:p w14:paraId="61E68882" w14:textId="77777777" w:rsidR="00010E2E" w:rsidRPr="008870C0" w:rsidRDefault="00010E2E">
      <w:pPr>
        <w:pStyle w:val="EquationNote"/>
        <w:rPr>
          <w:rFonts w:ascii="Times New Roman" w:hAnsi="Times New Roman" w:cs="Times New Roman"/>
          <w:sz w:val="22"/>
          <w:szCs w:val="22"/>
        </w:rPr>
      </w:pPr>
      <w:r w:rsidRPr="008870C0">
        <w:rPr>
          <w:rFonts w:ascii="Times New Roman" w:hAnsi="Times New Roman" w:cs="Times New Roman"/>
          <w:sz w:val="22"/>
          <w:szCs w:val="22"/>
        </w:rPr>
        <w:tab/>
      </w:r>
      <w:r w:rsidRPr="008870C0">
        <w:rPr>
          <w:rFonts w:ascii="Times New Roman" w:hAnsi="Times New Roman" w:cs="Times New Roman"/>
          <w:b/>
          <w:i/>
          <w:sz w:val="22"/>
          <w:szCs w:val="22"/>
        </w:rPr>
        <w:t>Ash</w:t>
      </w:r>
      <w:r w:rsidRPr="008870C0">
        <w:rPr>
          <w:rStyle w:val="Subscript"/>
          <w:rFonts w:ascii="Times New Roman" w:hAnsi="Times New Roman" w:cs="Times New Roman"/>
          <w:b/>
          <w:i/>
          <w:sz w:val="22"/>
          <w:szCs w:val="22"/>
        </w:rPr>
        <w:t>i</w:t>
      </w:r>
      <w:r w:rsidRPr="008870C0">
        <w:rPr>
          <w:rFonts w:ascii="Times New Roman" w:hAnsi="Times New Roman" w:cs="Times New Roman"/>
          <w:sz w:val="22"/>
          <w:szCs w:val="22"/>
        </w:rPr>
        <w:t xml:space="preserve"> is the ash content in packing coke (by % weight, assumed to be 0.4%)</w:t>
      </w:r>
    </w:p>
    <w:p w14:paraId="640FD843" w14:textId="77777777" w:rsidR="00010E2E" w:rsidRDefault="00010E2E">
      <w:pPr>
        <w:pStyle w:val="EquationNote"/>
      </w:pPr>
    </w:p>
    <w:p w14:paraId="4EE877E7" w14:textId="77777777" w:rsidR="001363EF" w:rsidRDefault="00010E2E">
      <w:pPr>
        <w:pStyle w:val="Heading2"/>
        <w:tabs>
          <w:tab w:val="left" w:pos="0"/>
          <w:tab w:val="left" w:pos="1134"/>
        </w:tabs>
        <w:spacing w:before="120" w:after="0" w:line="312" w:lineRule="auto"/>
        <w:ind w:left="578" w:hanging="578"/>
        <w:rPr>
          <w:rFonts w:ascii="Arial" w:hAnsi="Arial"/>
        </w:rPr>
      </w:pPr>
      <w:r>
        <w:rPr>
          <w:rFonts w:ascii="Arial" w:hAnsi="Arial"/>
        </w:rPr>
        <w:t>Aluminium (perfluoronated carbon compound emissions) – tetrafluoromethane and hexafluoroethane</w:t>
      </w:r>
    </w:p>
    <w:p w14:paraId="474CB288" w14:textId="77777777" w:rsidR="00010E2E" w:rsidRDefault="00CA4FB8">
      <w:pPr>
        <w:pStyle w:val="Equation"/>
        <w:jc w:val="center"/>
        <w:rPr>
          <w:rFonts w:ascii="Times New Roman" w:hAnsi="Times New Roman" w:cs="Times New Roman"/>
          <w:sz w:val="28"/>
          <w:szCs w:val="28"/>
        </w:rPr>
      </w:pPr>
      <w:r>
        <w:rPr>
          <w:position w:val="-8"/>
        </w:rPr>
        <w:pict w14:anchorId="58A8C83B">
          <v:shape id="_x0000_i1067" type="#_x0000_t75" style="width:80.25pt;height:15.75pt">
            <v:imagedata r:id="rId66" o:title=""/>
          </v:shape>
        </w:pict>
      </w:r>
    </w:p>
    <w:p w14:paraId="6469EE89" w14:textId="77777777" w:rsidR="00CE5F52" w:rsidRDefault="00CE5F52">
      <w:pPr>
        <w:pStyle w:val="EquationNote"/>
        <w:rPr>
          <w:rFonts w:ascii="Times New Roman" w:hAnsi="Times New Roman" w:cs="Times New Roman"/>
        </w:rPr>
      </w:pPr>
    </w:p>
    <w:p w14:paraId="4EF0E386" w14:textId="77777777" w:rsidR="00010E2E" w:rsidRPr="00DA0A7A" w:rsidRDefault="00010E2E">
      <w:pPr>
        <w:pStyle w:val="EquationNote"/>
        <w:rPr>
          <w:rFonts w:ascii="Times New Roman" w:hAnsi="Times New Roman" w:cs="Times New Roman"/>
        </w:rPr>
      </w:pPr>
      <w:r w:rsidRPr="00DA0A7A">
        <w:rPr>
          <w:rFonts w:ascii="Times New Roman" w:hAnsi="Times New Roman" w:cs="Times New Roman"/>
        </w:rPr>
        <w:t>where:</w:t>
      </w:r>
    </w:p>
    <w:p w14:paraId="0A5558C9" w14:textId="77777777" w:rsidR="00010E2E" w:rsidRPr="00DA0A7A" w:rsidRDefault="00010E2E">
      <w:pPr>
        <w:pStyle w:val="EquationNote"/>
        <w:rPr>
          <w:rFonts w:ascii="Times New Roman" w:hAnsi="Times New Roman" w:cs="Times New Roman"/>
        </w:rPr>
      </w:pPr>
      <w:r w:rsidRPr="00DA0A7A">
        <w:rPr>
          <w:rFonts w:ascii="Times New Roman" w:hAnsi="Times New Roman" w:cs="Times New Roman"/>
        </w:rPr>
        <w:tab/>
      </w:r>
      <w:r w:rsidRPr="00DA0A7A">
        <w:rPr>
          <w:rFonts w:ascii="Times New Roman" w:hAnsi="Times New Roman" w:cs="Times New Roman"/>
          <w:b/>
          <w:i/>
          <w:sz w:val="24"/>
          <w:szCs w:val="24"/>
        </w:rPr>
        <w:t>E</w:t>
      </w:r>
      <w:r w:rsidRPr="00DA0A7A">
        <w:rPr>
          <w:rStyle w:val="Subscript"/>
          <w:rFonts w:ascii="Times New Roman" w:hAnsi="Times New Roman" w:cs="Times New Roman"/>
          <w:b/>
          <w:i/>
          <w:sz w:val="24"/>
          <w:szCs w:val="24"/>
        </w:rPr>
        <w:t>ij</w:t>
      </w:r>
      <w:r w:rsidRPr="00DA0A7A">
        <w:rPr>
          <w:rFonts w:ascii="Times New Roman" w:hAnsi="Times New Roman" w:cs="Times New Roman"/>
          <w:b/>
          <w:i/>
          <w:sz w:val="24"/>
          <w:szCs w:val="24"/>
        </w:rPr>
        <w:t xml:space="preserve"> </w:t>
      </w:r>
      <w:r w:rsidRPr="00DA0A7A">
        <w:rPr>
          <w:rFonts w:ascii="Times New Roman" w:hAnsi="Times New Roman" w:cs="Times New Roman"/>
          <w:szCs w:val="18"/>
        </w:rPr>
        <w:t>is the process emission of tetrafluoromethane (CF</w:t>
      </w:r>
      <w:r w:rsidRPr="00DA0A7A">
        <w:rPr>
          <w:rStyle w:val="Subscript"/>
          <w:rFonts w:ascii="Times New Roman" w:hAnsi="Times New Roman" w:cs="Times New Roman"/>
          <w:sz w:val="18"/>
          <w:szCs w:val="18"/>
        </w:rPr>
        <w:t>4</w:t>
      </w:r>
      <w:r w:rsidRPr="00DA0A7A">
        <w:rPr>
          <w:rFonts w:ascii="Times New Roman" w:hAnsi="Times New Roman" w:cs="Times New Roman"/>
          <w:szCs w:val="18"/>
        </w:rPr>
        <w:t>) and hexafluoroethane (C</w:t>
      </w:r>
      <w:r w:rsidRPr="00DA0A7A">
        <w:rPr>
          <w:rStyle w:val="Subscript"/>
          <w:rFonts w:ascii="Times New Roman" w:hAnsi="Times New Roman" w:cs="Times New Roman"/>
          <w:sz w:val="18"/>
          <w:szCs w:val="18"/>
        </w:rPr>
        <w:t>2</w:t>
      </w:r>
      <w:r w:rsidRPr="00DA0A7A">
        <w:rPr>
          <w:rFonts w:ascii="Times New Roman" w:hAnsi="Times New Roman" w:cs="Times New Roman"/>
          <w:szCs w:val="18"/>
        </w:rPr>
        <w:t>F</w:t>
      </w:r>
      <w:r w:rsidRPr="00DA0A7A">
        <w:rPr>
          <w:rStyle w:val="Subscript"/>
          <w:rFonts w:ascii="Times New Roman" w:hAnsi="Times New Roman" w:cs="Times New Roman"/>
          <w:sz w:val="18"/>
          <w:szCs w:val="18"/>
        </w:rPr>
        <w:t>6</w:t>
      </w:r>
      <w:r w:rsidRPr="00DA0A7A">
        <w:rPr>
          <w:rFonts w:ascii="Times New Roman" w:hAnsi="Times New Roman" w:cs="Times New Roman"/>
          <w:szCs w:val="18"/>
        </w:rPr>
        <w:t>) f</w:t>
      </w:r>
      <w:r w:rsidRPr="00DA0A7A">
        <w:rPr>
          <w:rFonts w:ascii="Times New Roman" w:hAnsi="Times New Roman" w:cs="Times New Roman"/>
        </w:rPr>
        <w:t>rom primary aluminium production (CO</w:t>
      </w:r>
      <w:r w:rsidRPr="00DA0A7A">
        <w:rPr>
          <w:rStyle w:val="Subscript"/>
          <w:rFonts w:ascii="Times New Roman" w:hAnsi="Times New Roman" w:cs="Times New Roman"/>
        </w:rPr>
        <w:t>2</w:t>
      </w:r>
      <w:r w:rsidRPr="00DA0A7A">
        <w:rPr>
          <w:rFonts w:ascii="Times New Roman" w:hAnsi="Times New Roman" w:cs="Times New Roman"/>
        </w:rPr>
        <w:t>-e tonnes)</w:t>
      </w:r>
    </w:p>
    <w:p w14:paraId="073BC6FA" w14:textId="77777777" w:rsidR="00010E2E" w:rsidRPr="00DA0A7A" w:rsidRDefault="00010E2E">
      <w:pPr>
        <w:pStyle w:val="EquationNote"/>
        <w:rPr>
          <w:rFonts w:ascii="Times New Roman" w:hAnsi="Times New Roman" w:cs="Times New Roman"/>
        </w:rPr>
      </w:pPr>
      <w:r w:rsidRPr="00DA0A7A">
        <w:rPr>
          <w:rFonts w:ascii="Times New Roman" w:hAnsi="Times New Roman" w:cs="Times New Roman"/>
        </w:rPr>
        <w:tab/>
      </w:r>
      <w:r w:rsidRPr="00DA0A7A">
        <w:rPr>
          <w:rFonts w:ascii="Times New Roman" w:hAnsi="Times New Roman" w:cs="Times New Roman"/>
          <w:b/>
          <w:i/>
          <w:sz w:val="24"/>
          <w:szCs w:val="24"/>
        </w:rPr>
        <w:t>A</w:t>
      </w:r>
      <w:r w:rsidRPr="00DA0A7A">
        <w:rPr>
          <w:rStyle w:val="Subscript"/>
          <w:rFonts w:ascii="Times New Roman" w:hAnsi="Times New Roman" w:cs="Times New Roman"/>
          <w:b/>
          <w:i/>
          <w:sz w:val="24"/>
          <w:szCs w:val="24"/>
        </w:rPr>
        <w:t xml:space="preserve">i </w:t>
      </w:r>
      <w:r w:rsidRPr="00DA0A7A">
        <w:rPr>
          <w:rFonts w:ascii="Times New Roman" w:hAnsi="Times New Roman" w:cs="Times New Roman"/>
        </w:rPr>
        <w:t>is the amount of primary aluminium production (tonnes)</w:t>
      </w:r>
    </w:p>
    <w:p w14:paraId="1B4D21E4" w14:textId="77777777" w:rsidR="00010E2E" w:rsidRPr="00DA0A7A" w:rsidRDefault="00010E2E">
      <w:pPr>
        <w:pStyle w:val="EquationNote"/>
        <w:rPr>
          <w:rFonts w:ascii="Times New Roman" w:hAnsi="Times New Roman" w:cs="Times New Roman"/>
        </w:rPr>
      </w:pPr>
      <w:r w:rsidRPr="00DA0A7A">
        <w:rPr>
          <w:rFonts w:ascii="Times New Roman" w:hAnsi="Times New Roman" w:cs="Times New Roman"/>
        </w:rPr>
        <w:tab/>
      </w:r>
      <w:r w:rsidRPr="00DA0A7A">
        <w:rPr>
          <w:rFonts w:ascii="Times New Roman" w:hAnsi="Times New Roman" w:cs="Times New Roman"/>
          <w:b/>
          <w:i/>
          <w:sz w:val="24"/>
          <w:szCs w:val="24"/>
        </w:rPr>
        <w:t>EF</w:t>
      </w:r>
      <w:r w:rsidRPr="00DA0A7A">
        <w:rPr>
          <w:rStyle w:val="Subscript"/>
          <w:rFonts w:ascii="Times New Roman" w:hAnsi="Times New Roman" w:cs="Times New Roman"/>
          <w:b/>
          <w:i/>
          <w:sz w:val="24"/>
          <w:szCs w:val="24"/>
        </w:rPr>
        <w:t>ij</w:t>
      </w:r>
      <w:r w:rsidRPr="00DA0A7A">
        <w:rPr>
          <w:rFonts w:ascii="Times New Roman" w:hAnsi="Times New Roman" w:cs="Times New Roman"/>
        </w:rPr>
        <w:t xml:space="preserve"> is the emission factor for</w:t>
      </w:r>
      <w:r w:rsidRPr="00DA0A7A">
        <w:rPr>
          <w:rFonts w:ascii="Times New Roman" w:hAnsi="Times New Roman" w:cs="Times New Roman"/>
          <w:iCs w:val="0"/>
        </w:rPr>
        <w:t xml:space="preserve"> CF</w:t>
      </w:r>
      <w:r w:rsidRPr="00DA0A7A">
        <w:rPr>
          <w:rStyle w:val="Subscript"/>
          <w:rFonts w:ascii="Times New Roman" w:hAnsi="Times New Roman" w:cs="Times New Roman"/>
          <w:iCs w:val="0"/>
        </w:rPr>
        <w:t>4</w:t>
      </w:r>
      <w:r w:rsidRPr="00DA0A7A">
        <w:rPr>
          <w:rFonts w:ascii="Times New Roman" w:hAnsi="Times New Roman" w:cs="Times New Roman"/>
          <w:iCs w:val="0"/>
        </w:rPr>
        <w:t xml:space="preserve"> or C</w:t>
      </w:r>
      <w:r w:rsidRPr="00DA0A7A">
        <w:rPr>
          <w:rStyle w:val="Subscript"/>
          <w:rFonts w:ascii="Times New Roman" w:hAnsi="Times New Roman" w:cs="Times New Roman"/>
          <w:iCs w:val="0"/>
        </w:rPr>
        <w:t>2</w:t>
      </w:r>
      <w:r w:rsidRPr="00DA0A7A">
        <w:rPr>
          <w:rFonts w:ascii="Times New Roman" w:hAnsi="Times New Roman" w:cs="Times New Roman"/>
          <w:iCs w:val="0"/>
        </w:rPr>
        <w:t>F</w:t>
      </w:r>
      <w:r w:rsidRPr="00DA0A7A">
        <w:rPr>
          <w:rStyle w:val="Subscript"/>
          <w:rFonts w:ascii="Times New Roman" w:hAnsi="Times New Roman" w:cs="Times New Roman"/>
          <w:iCs w:val="0"/>
        </w:rPr>
        <w:t>6</w:t>
      </w:r>
      <w:r w:rsidRPr="00DA0A7A">
        <w:rPr>
          <w:rFonts w:ascii="Times New Roman" w:hAnsi="Times New Roman" w:cs="Times New Roman"/>
          <w:iCs w:val="0"/>
        </w:rPr>
        <w:t>, (tonne CO</w:t>
      </w:r>
      <w:r w:rsidRPr="00DA0A7A">
        <w:rPr>
          <w:rStyle w:val="Subscript"/>
          <w:rFonts w:ascii="Times New Roman" w:hAnsi="Times New Roman" w:cs="Times New Roman"/>
          <w:iCs w:val="0"/>
        </w:rPr>
        <w:t>2</w:t>
      </w:r>
      <w:r w:rsidRPr="00DA0A7A">
        <w:rPr>
          <w:rFonts w:ascii="Times New Roman" w:hAnsi="Times New Roman" w:cs="Times New Roman"/>
          <w:iCs w:val="0"/>
        </w:rPr>
        <w:t>-e per tonne</w:t>
      </w:r>
      <w:r w:rsidRPr="00DA0A7A">
        <w:rPr>
          <w:rFonts w:ascii="Times New Roman" w:hAnsi="Times New Roman" w:cs="Times New Roman"/>
        </w:rPr>
        <w:t xml:space="preserve"> aluminium).</w:t>
      </w:r>
    </w:p>
    <w:p w14:paraId="7919DCB9" w14:textId="77777777" w:rsidR="00D76245" w:rsidRDefault="00D76245" w:rsidP="00C23E3B">
      <w:pPr>
        <w:pStyle w:val="Caption"/>
      </w:pPr>
      <w:bookmarkStart w:id="98" w:name="_Toc185914405"/>
    </w:p>
    <w:p w14:paraId="7035AE8C" w14:textId="77777777" w:rsidR="00D76245" w:rsidRDefault="00491D41" w:rsidP="00C23E3B">
      <w:pPr>
        <w:pStyle w:val="Caption"/>
      </w:pPr>
      <w:bookmarkStart w:id="99" w:name="_Toc391646709"/>
      <w:bookmarkStart w:id="100" w:name="_Toc485728132"/>
      <w:bookmarkEnd w:id="98"/>
      <w:r>
        <w:t xml:space="preserve">Table </w:t>
      </w:r>
      <w:r w:rsidR="00DC52E0">
        <w:fldChar w:fldCharType="begin"/>
      </w:r>
      <w:r>
        <w:instrText xml:space="preserve"> SEQ Table \* ARABIC </w:instrText>
      </w:r>
      <w:r w:rsidR="00DC52E0">
        <w:fldChar w:fldCharType="separate"/>
      </w:r>
      <w:r w:rsidR="004A1330">
        <w:rPr>
          <w:noProof/>
        </w:rPr>
        <w:t>24</w:t>
      </w:r>
      <w:r w:rsidR="00DC52E0">
        <w:fldChar w:fldCharType="end"/>
      </w:r>
      <w:r w:rsidR="00010E2E">
        <w:t>: Aluminium perfluoronated carbon compound emission factors</w:t>
      </w:r>
      <w:bookmarkEnd w:id="99"/>
      <w:bookmarkEnd w:id="10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8"/>
        <w:gridCol w:w="2625"/>
        <w:gridCol w:w="2694"/>
      </w:tblGrid>
      <w:tr w:rsidR="00010E2E" w14:paraId="32A60127" w14:textId="77777777" w:rsidTr="00DD4FF2">
        <w:trPr>
          <w:cantSplit/>
        </w:trPr>
        <w:tc>
          <w:tcPr>
            <w:tcW w:w="2478" w:type="dxa"/>
            <w:vMerge w:val="restart"/>
            <w:shd w:val="pct15" w:color="auto" w:fill="auto"/>
            <w:vAlign w:val="center"/>
          </w:tcPr>
          <w:p w14:paraId="56762F1D" w14:textId="77777777" w:rsidR="00010E2E" w:rsidRDefault="00010E2E" w:rsidP="00DD4FF2">
            <w:pPr>
              <w:pStyle w:val="Table"/>
              <w:jc w:val="center"/>
              <w:rPr>
                <w:b/>
                <w:bCs/>
              </w:rPr>
            </w:pPr>
            <w:r>
              <w:rPr>
                <w:b/>
                <w:bCs/>
              </w:rPr>
              <w:t>Source</w:t>
            </w:r>
          </w:p>
        </w:tc>
        <w:tc>
          <w:tcPr>
            <w:tcW w:w="5319" w:type="dxa"/>
            <w:gridSpan w:val="2"/>
            <w:shd w:val="pct15" w:color="auto" w:fill="auto"/>
            <w:vAlign w:val="center"/>
          </w:tcPr>
          <w:p w14:paraId="0EFA47ED" w14:textId="77777777" w:rsidR="00010E2E" w:rsidRDefault="00010E2E" w:rsidP="00DD4FF2">
            <w:pPr>
              <w:pStyle w:val="TableCentre"/>
              <w:rPr>
                <w:b/>
                <w:bCs/>
              </w:rPr>
            </w:pPr>
            <w:r>
              <w:rPr>
                <w:b/>
                <w:bCs/>
              </w:rPr>
              <w:t>Emission factor (EF</w:t>
            </w:r>
            <w:r>
              <w:rPr>
                <w:rStyle w:val="Subscript"/>
                <w:b/>
                <w:bCs/>
              </w:rPr>
              <w:t>pfi</w:t>
            </w:r>
            <w:r>
              <w:rPr>
                <w:b/>
                <w:bCs/>
              </w:rPr>
              <w:t>) tonne CO</w:t>
            </w:r>
            <w:r>
              <w:rPr>
                <w:rStyle w:val="Subscript"/>
                <w:b/>
                <w:bCs/>
              </w:rPr>
              <w:t>2</w:t>
            </w:r>
            <w:r>
              <w:rPr>
                <w:b/>
                <w:bCs/>
              </w:rPr>
              <w:t>-e per tonne</w:t>
            </w:r>
          </w:p>
        </w:tc>
      </w:tr>
      <w:tr w:rsidR="00010E2E" w14:paraId="57F575AA" w14:textId="77777777" w:rsidTr="00DD4FF2">
        <w:trPr>
          <w:cantSplit/>
        </w:trPr>
        <w:tc>
          <w:tcPr>
            <w:tcW w:w="2478" w:type="dxa"/>
            <w:vMerge/>
            <w:shd w:val="pct15" w:color="auto" w:fill="auto"/>
            <w:vAlign w:val="center"/>
          </w:tcPr>
          <w:p w14:paraId="2586F589" w14:textId="77777777" w:rsidR="00010E2E" w:rsidRDefault="00010E2E" w:rsidP="00DD4FF2">
            <w:pPr>
              <w:pStyle w:val="Table"/>
              <w:jc w:val="center"/>
              <w:rPr>
                <w:b/>
                <w:bCs/>
              </w:rPr>
            </w:pPr>
          </w:p>
        </w:tc>
        <w:tc>
          <w:tcPr>
            <w:tcW w:w="2625" w:type="dxa"/>
            <w:shd w:val="pct15" w:color="auto" w:fill="auto"/>
            <w:vAlign w:val="center"/>
          </w:tcPr>
          <w:p w14:paraId="45863D5F" w14:textId="77777777" w:rsidR="00010E2E" w:rsidRDefault="00010E2E" w:rsidP="00DD4FF2">
            <w:pPr>
              <w:pStyle w:val="TableCentre"/>
              <w:rPr>
                <w:b/>
                <w:bCs/>
              </w:rPr>
            </w:pPr>
            <w:r>
              <w:rPr>
                <w:b/>
                <w:szCs w:val="18"/>
              </w:rPr>
              <w:t>Tetrafluoromethane</w:t>
            </w:r>
          </w:p>
          <w:p w14:paraId="49ED2C9E" w14:textId="77777777" w:rsidR="00010E2E" w:rsidRDefault="00010E2E" w:rsidP="00DD4FF2">
            <w:pPr>
              <w:pStyle w:val="TableCentre"/>
              <w:rPr>
                <w:b/>
                <w:bCs/>
              </w:rPr>
            </w:pPr>
            <w:r>
              <w:rPr>
                <w:b/>
                <w:bCs/>
              </w:rPr>
              <w:t>CF</w:t>
            </w:r>
            <w:r>
              <w:rPr>
                <w:rStyle w:val="Subscript"/>
                <w:b/>
                <w:bCs/>
              </w:rPr>
              <w:t>4</w:t>
            </w:r>
          </w:p>
        </w:tc>
        <w:tc>
          <w:tcPr>
            <w:tcW w:w="2694" w:type="dxa"/>
            <w:shd w:val="pct15" w:color="auto" w:fill="auto"/>
            <w:vAlign w:val="center"/>
          </w:tcPr>
          <w:p w14:paraId="2AD591B3" w14:textId="77777777" w:rsidR="00010E2E" w:rsidRDefault="00010E2E" w:rsidP="00DD4FF2">
            <w:pPr>
              <w:pStyle w:val="TableCentre"/>
              <w:rPr>
                <w:b/>
                <w:bCs/>
              </w:rPr>
            </w:pPr>
            <w:r>
              <w:rPr>
                <w:b/>
                <w:szCs w:val="18"/>
              </w:rPr>
              <w:t>Hexafluoroethane</w:t>
            </w:r>
          </w:p>
          <w:p w14:paraId="5E4353DF" w14:textId="77777777" w:rsidR="00010E2E" w:rsidRDefault="00010E2E" w:rsidP="00DD4FF2">
            <w:pPr>
              <w:pStyle w:val="TableCentre"/>
              <w:rPr>
                <w:b/>
                <w:bCs/>
              </w:rPr>
            </w:pPr>
            <w:r>
              <w:rPr>
                <w:b/>
                <w:bCs/>
              </w:rPr>
              <w:t>C</w:t>
            </w:r>
            <w:r>
              <w:rPr>
                <w:rStyle w:val="Subscript"/>
                <w:b/>
                <w:bCs/>
              </w:rPr>
              <w:t>2</w:t>
            </w:r>
            <w:r>
              <w:rPr>
                <w:b/>
                <w:bCs/>
              </w:rPr>
              <w:t>F</w:t>
            </w:r>
            <w:r>
              <w:rPr>
                <w:rStyle w:val="Subscript"/>
                <w:b/>
                <w:bCs/>
              </w:rPr>
              <w:t>6</w:t>
            </w:r>
          </w:p>
        </w:tc>
      </w:tr>
      <w:tr w:rsidR="00010E2E" w14:paraId="6AA44703" w14:textId="77777777" w:rsidTr="00DD4FF2">
        <w:trPr>
          <w:trHeight w:val="390"/>
        </w:trPr>
        <w:tc>
          <w:tcPr>
            <w:tcW w:w="2478" w:type="dxa"/>
            <w:vAlign w:val="center"/>
          </w:tcPr>
          <w:p w14:paraId="7EAFEAEC" w14:textId="77777777" w:rsidR="00010E2E" w:rsidRDefault="00010E2E" w:rsidP="00DD4FF2">
            <w:pPr>
              <w:pStyle w:val="Table"/>
              <w:jc w:val="center"/>
            </w:pPr>
            <w:r>
              <w:t>Aluminium production</w:t>
            </w:r>
          </w:p>
        </w:tc>
        <w:tc>
          <w:tcPr>
            <w:tcW w:w="2625" w:type="dxa"/>
            <w:vAlign w:val="center"/>
          </w:tcPr>
          <w:p w14:paraId="3DD45CB7" w14:textId="77777777" w:rsidR="00010E2E" w:rsidRDefault="00010E2E" w:rsidP="00DD4FF2">
            <w:pPr>
              <w:pStyle w:val="TableCentre"/>
            </w:pPr>
            <w:r>
              <w:t>0.</w:t>
            </w:r>
            <w:r w:rsidR="001A093D">
              <w:t>30</w:t>
            </w:r>
          </w:p>
        </w:tc>
        <w:tc>
          <w:tcPr>
            <w:tcW w:w="2694" w:type="dxa"/>
            <w:vAlign w:val="center"/>
          </w:tcPr>
          <w:p w14:paraId="16F5B16C" w14:textId="77777777" w:rsidR="00010E2E" w:rsidRDefault="00010E2E" w:rsidP="00DD4FF2">
            <w:pPr>
              <w:pStyle w:val="TableCentre"/>
            </w:pPr>
            <w:r>
              <w:t>0.0</w:t>
            </w:r>
            <w:r w:rsidR="001A093D">
              <w:t>7</w:t>
            </w:r>
          </w:p>
        </w:tc>
      </w:tr>
    </w:tbl>
    <w:p w14:paraId="3B452292" w14:textId="77777777" w:rsidR="00010E2E" w:rsidRDefault="00010E2E">
      <w:pPr>
        <w:pStyle w:val="TableNote"/>
        <w:rPr>
          <w:szCs w:val="16"/>
        </w:rPr>
      </w:pPr>
      <w:r>
        <w:t xml:space="preserve">Source: </w:t>
      </w:r>
      <w:r>
        <w:rPr>
          <w:szCs w:val="16"/>
        </w:rPr>
        <w:t>National Greenhouse and Energy Reporting (Measurement) Determination 20</w:t>
      </w:r>
      <w:r w:rsidR="003E2C15">
        <w:rPr>
          <w:szCs w:val="16"/>
        </w:rPr>
        <w:t>08</w:t>
      </w:r>
      <w:r>
        <w:rPr>
          <w:szCs w:val="16"/>
        </w:rPr>
        <w:t xml:space="preserve"> (Division 4.4.4).</w:t>
      </w:r>
    </w:p>
    <w:p w14:paraId="664C04C4" w14:textId="77777777" w:rsidR="00010E2E" w:rsidRDefault="00010E2E" w:rsidP="00F94A77">
      <w:pPr>
        <w:pStyle w:val="EquationNote"/>
        <w:ind w:left="0" w:firstLine="0"/>
      </w:pPr>
    </w:p>
    <w:p w14:paraId="0D5FC938" w14:textId="77777777" w:rsidR="001363EF" w:rsidRDefault="00010E2E">
      <w:pPr>
        <w:pStyle w:val="Heading2"/>
        <w:tabs>
          <w:tab w:val="left" w:pos="0"/>
          <w:tab w:val="left" w:pos="1134"/>
        </w:tabs>
        <w:spacing w:before="120" w:after="0" w:line="312" w:lineRule="auto"/>
        <w:ind w:left="578" w:hanging="578"/>
        <w:rPr>
          <w:rFonts w:ascii="Arial" w:hAnsi="Arial"/>
        </w:rPr>
      </w:pPr>
      <w:r>
        <w:rPr>
          <w:rFonts w:ascii="Arial" w:hAnsi="Arial"/>
        </w:rPr>
        <w:t>Industrial processes — emissions of hydrofluorocarbons and sulphur hexafluoride gases</w:t>
      </w:r>
    </w:p>
    <w:p w14:paraId="2EB7200B" w14:textId="77777777" w:rsidR="00010E2E" w:rsidRDefault="00CA4FB8">
      <w:pPr>
        <w:pStyle w:val="Equation"/>
        <w:jc w:val="center"/>
        <w:rPr>
          <w:rStyle w:val="Subscript"/>
          <w:rFonts w:ascii="Times New Roman" w:hAnsi="Times New Roman" w:cs="Times New Roman"/>
          <w:sz w:val="28"/>
          <w:szCs w:val="28"/>
        </w:rPr>
      </w:pPr>
      <w:r>
        <w:rPr>
          <w:position w:val="-8"/>
        </w:rPr>
        <w:pict w14:anchorId="5E165214">
          <v:shape id="_x0000_i1068" type="#_x0000_t75" style="width:108.75pt;height:15.75pt">
            <v:imagedata r:id="rId67" o:title=""/>
          </v:shape>
        </w:pict>
      </w:r>
    </w:p>
    <w:p w14:paraId="42551066" w14:textId="77777777" w:rsidR="00010E2E" w:rsidRDefault="00010E2E">
      <w:pPr>
        <w:pStyle w:val="Text"/>
        <w:spacing w:before="0" w:line="240" w:lineRule="auto"/>
        <w:rPr>
          <w:rFonts w:ascii="Arial" w:hAnsi="Arial" w:cs="Arial"/>
          <w:sz w:val="18"/>
          <w:szCs w:val="18"/>
        </w:rPr>
      </w:pPr>
    </w:p>
    <w:p w14:paraId="5463010E" w14:textId="77777777" w:rsidR="00010E2E" w:rsidRPr="008870C0" w:rsidRDefault="00010E2E">
      <w:pPr>
        <w:pStyle w:val="Text"/>
        <w:spacing w:before="60" w:line="240" w:lineRule="auto"/>
        <w:rPr>
          <w:sz w:val="22"/>
          <w:szCs w:val="22"/>
        </w:rPr>
      </w:pPr>
      <w:r w:rsidRPr="008870C0">
        <w:rPr>
          <w:sz w:val="22"/>
          <w:szCs w:val="22"/>
        </w:rPr>
        <w:t xml:space="preserve">where </w:t>
      </w:r>
    </w:p>
    <w:p w14:paraId="752C546B" w14:textId="77777777" w:rsidR="00010E2E" w:rsidRPr="008870C0" w:rsidRDefault="00010E2E">
      <w:pPr>
        <w:pStyle w:val="Text"/>
        <w:spacing w:before="60" w:line="240" w:lineRule="auto"/>
        <w:rPr>
          <w:sz w:val="22"/>
          <w:szCs w:val="22"/>
        </w:rPr>
      </w:pPr>
      <w:r w:rsidRPr="008870C0">
        <w:rPr>
          <w:b/>
          <w:i/>
          <w:sz w:val="22"/>
          <w:szCs w:val="22"/>
        </w:rPr>
        <w:t>E</w:t>
      </w:r>
      <w:r w:rsidRPr="008870C0">
        <w:rPr>
          <w:b/>
          <w:i/>
          <w:sz w:val="22"/>
          <w:szCs w:val="22"/>
          <w:vertAlign w:val="subscript"/>
        </w:rPr>
        <w:t>jk</w:t>
      </w:r>
      <w:r w:rsidRPr="008870C0">
        <w:rPr>
          <w:sz w:val="22"/>
          <w:szCs w:val="22"/>
        </w:rPr>
        <w:t xml:space="preserve"> is the emissions of  HFC or SF</w:t>
      </w:r>
      <w:r w:rsidRPr="008870C0">
        <w:rPr>
          <w:sz w:val="22"/>
          <w:szCs w:val="22"/>
          <w:vertAlign w:val="subscript"/>
        </w:rPr>
        <w:t>6</w:t>
      </w:r>
      <w:r w:rsidRPr="008870C0">
        <w:rPr>
          <w:sz w:val="22"/>
          <w:szCs w:val="22"/>
        </w:rPr>
        <w:t>, summed over each equipment type (tonnes of CO</w:t>
      </w:r>
      <w:r w:rsidRPr="008870C0">
        <w:rPr>
          <w:sz w:val="22"/>
          <w:szCs w:val="22"/>
          <w:vertAlign w:val="subscript"/>
        </w:rPr>
        <w:t>2</w:t>
      </w:r>
      <w:r w:rsidRPr="008870C0">
        <w:rPr>
          <w:sz w:val="22"/>
          <w:szCs w:val="22"/>
        </w:rPr>
        <w:t>-equivalent);</w:t>
      </w:r>
    </w:p>
    <w:p w14:paraId="40AF8103" w14:textId="77777777" w:rsidR="00010E2E" w:rsidRPr="008870C0" w:rsidRDefault="00010E2E">
      <w:pPr>
        <w:pStyle w:val="Text"/>
        <w:spacing w:before="60" w:line="240" w:lineRule="auto"/>
        <w:rPr>
          <w:sz w:val="22"/>
          <w:szCs w:val="22"/>
        </w:rPr>
      </w:pPr>
      <w:r w:rsidRPr="008870C0">
        <w:rPr>
          <w:b/>
          <w:i/>
          <w:sz w:val="22"/>
          <w:szCs w:val="22"/>
        </w:rPr>
        <w:t>Stock</w:t>
      </w:r>
      <w:r w:rsidRPr="008870C0">
        <w:rPr>
          <w:b/>
          <w:i/>
          <w:sz w:val="22"/>
          <w:szCs w:val="22"/>
          <w:vertAlign w:val="subscript"/>
        </w:rPr>
        <w:t>jk</w:t>
      </w:r>
      <w:r w:rsidRPr="008870C0">
        <w:rPr>
          <w:sz w:val="22"/>
          <w:szCs w:val="22"/>
          <w:vertAlign w:val="subscript"/>
        </w:rPr>
        <w:t xml:space="preserve"> </w:t>
      </w:r>
      <w:r w:rsidRPr="008870C0">
        <w:rPr>
          <w:sz w:val="22"/>
          <w:szCs w:val="22"/>
        </w:rPr>
        <w:t>is the stock of HFC or SF</w:t>
      </w:r>
      <w:r w:rsidRPr="008870C0">
        <w:rPr>
          <w:sz w:val="22"/>
          <w:szCs w:val="22"/>
          <w:vertAlign w:val="subscript"/>
        </w:rPr>
        <w:t>6</w:t>
      </w:r>
      <w:r w:rsidRPr="008870C0">
        <w:rPr>
          <w:sz w:val="22"/>
          <w:szCs w:val="22"/>
        </w:rPr>
        <w:t xml:space="preserve"> contained in equipment, by equipment type (tonnes of CO</w:t>
      </w:r>
      <w:r w:rsidRPr="008870C0">
        <w:rPr>
          <w:sz w:val="22"/>
          <w:szCs w:val="22"/>
          <w:vertAlign w:val="subscript"/>
        </w:rPr>
        <w:t>2</w:t>
      </w:r>
      <w:r w:rsidRPr="008870C0">
        <w:rPr>
          <w:sz w:val="22"/>
          <w:szCs w:val="22"/>
        </w:rPr>
        <w:t>-e); and</w:t>
      </w:r>
    </w:p>
    <w:p w14:paraId="27F5188C" w14:textId="77777777" w:rsidR="00010E2E" w:rsidRPr="008870C0" w:rsidRDefault="00010E2E">
      <w:pPr>
        <w:pStyle w:val="Text"/>
        <w:spacing w:before="60"/>
        <w:rPr>
          <w:sz w:val="22"/>
          <w:szCs w:val="22"/>
        </w:rPr>
      </w:pPr>
      <w:r w:rsidRPr="008870C0">
        <w:rPr>
          <w:b/>
          <w:i/>
          <w:sz w:val="22"/>
          <w:szCs w:val="22"/>
        </w:rPr>
        <w:t>L</w:t>
      </w:r>
      <w:r w:rsidRPr="008870C0">
        <w:rPr>
          <w:b/>
          <w:i/>
          <w:sz w:val="22"/>
          <w:szCs w:val="22"/>
          <w:vertAlign w:val="subscript"/>
        </w:rPr>
        <w:t>jk</w:t>
      </w:r>
      <w:r w:rsidRPr="008870C0">
        <w:rPr>
          <w:sz w:val="22"/>
          <w:szCs w:val="22"/>
          <w:vertAlign w:val="subscript"/>
        </w:rPr>
        <w:t xml:space="preserve"> </w:t>
      </w:r>
      <w:r w:rsidRPr="008870C0">
        <w:rPr>
          <w:sz w:val="22"/>
          <w:szCs w:val="22"/>
        </w:rPr>
        <w:t>is the default leakage rates by equipment type.</w:t>
      </w:r>
    </w:p>
    <w:p w14:paraId="00BB7F24" w14:textId="77777777" w:rsidR="00010E2E" w:rsidRPr="008870C0" w:rsidRDefault="00010E2E">
      <w:pPr>
        <w:pStyle w:val="Text"/>
        <w:spacing w:before="0"/>
        <w:rPr>
          <w:sz w:val="22"/>
          <w:szCs w:val="22"/>
        </w:rPr>
      </w:pPr>
    </w:p>
    <w:p w14:paraId="3409381C" w14:textId="77777777" w:rsidR="00010E2E" w:rsidRPr="008870C0" w:rsidRDefault="00010E2E">
      <w:pPr>
        <w:pStyle w:val="ZR2"/>
        <w:spacing w:before="0"/>
        <w:ind w:left="0" w:firstLine="0"/>
        <w:rPr>
          <w:sz w:val="22"/>
          <w:szCs w:val="22"/>
        </w:rPr>
      </w:pPr>
      <w:r w:rsidRPr="008870C0">
        <w:rPr>
          <w:sz w:val="22"/>
          <w:szCs w:val="22"/>
        </w:rPr>
        <w:t xml:space="preserve">For the factor </w:t>
      </w:r>
      <w:r w:rsidRPr="008870C0">
        <w:rPr>
          <w:b/>
          <w:i/>
          <w:sz w:val="22"/>
          <w:szCs w:val="22"/>
        </w:rPr>
        <w:t>Stock</w:t>
      </w:r>
      <w:r w:rsidRPr="008870C0">
        <w:rPr>
          <w:b/>
          <w:i/>
          <w:sz w:val="22"/>
          <w:szCs w:val="22"/>
          <w:vertAlign w:val="subscript"/>
        </w:rPr>
        <w:t>jk</w:t>
      </w:r>
      <w:r w:rsidRPr="008870C0">
        <w:rPr>
          <w:sz w:val="22"/>
          <w:szCs w:val="22"/>
        </w:rPr>
        <w:t>, an estimation of the stock of synthetic gases contained in an equipment type may be based on the following sources:</w:t>
      </w:r>
    </w:p>
    <w:p w14:paraId="60BA4E35" w14:textId="77777777" w:rsidR="00010E2E" w:rsidRPr="008870C0" w:rsidRDefault="00010E2E">
      <w:pPr>
        <w:pStyle w:val="P1"/>
        <w:tabs>
          <w:tab w:val="clear" w:pos="1191"/>
          <w:tab w:val="right" w:pos="0"/>
        </w:tabs>
        <w:spacing w:before="0"/>
        <w:ind w:left="0" w:firstLine="0"/>
        <w:rPr>
          <w:sz w:val="22"/>
          <w:szCs w:val="22"/>
        </w:rPr>
      </w:pPr>
      <w:r w:rsidRPr="008870C0">
        <w:rPr>
          <w:sz w:val="22"/>
          <w:szCs w:val="22"/>
        </w:rPr>
        <w:tab/>
        <w:t>(a)</w:t>
      </w:r>
      <w:r w:rsidRPr="008870C0">
        <w:rPr>
          <w:sz w:val="22"/>
          <w:szCs w:val="22"/>
        </w:rPr>
        <w:tab/>
        <w:t>the stated capacity of the equipment according to the manufacturer’s nameplate;</w:t>
      </w:r>
    </w:p>
    <w:p w14:paraId="665729E5" w14:textId="77777777" w:rsidR="00010E2E" w:rsidRPr="008870C0" w:rsidRDefault="00010E2E">
      <w:pPr>
        <w:pStyle w:val="P1"/>
        <w:tabs>
          <w:tab w:val="clear" w:pos="1191"/>
          <w:tab w:val="right" w:pos="0"/>
        </w:tabs>
        <w:spacing w:before="0"/>
        <w:ind w:left="0" w:firstLine="0"/>
        <w:rPr>
          <w:sz w:val="22"/>
          <w:szCs w:val="22"/>
        </w:rPr>
      </w:pPr>
      <w:r w:rsidRPr="008870C0">
        <w:rPr>
          <w:sz w:val="22"/>
          <w:szCs w:val="22"/>
        </w:rPr>
        <w:tab/>
        <w:t>(b)</w:t>
      </w:r>
      <w:r w:rsidRPr="008870C0">
        <w:rPr>
          <w:sz w:val="22"/>
          <w:szCs w:val="22"/>
        </w:rPr>
        <w:tab/>
        <w:t>estimates based on:</w:t>
      </w:r>
    </w:p>
    <w:p w14:paraId="38EF283C" w14:textId="77777777" w:rsidR="00010E2E" w:rsidRPr="008870C0" w:rsidRDefault="00010E2E">
      <w:pPr>
        <w:pStyle w:val="P2"/>
        <w:spacing w:before="0"/>
        <w:rPr>
          <w:sz w:val="22"/>
          <w:szCs w:val="22"/>
        </w:rPr>
      </w:pPr>
      <w:r w:rsidRPr="008870C0">
        <w:rPr>
          <w:sz w:val="22"/>
          <w:szCs w:val="22"/>
        </w:rPr>
        <w:tab/>
        <w:t>(i)</w:t>
      </w:r>
      <w:r w:rsidRPr="008870C0">
        <w:rPr>
          <w:sz w:val="22"/>
          <w:szCs w:val="22"/>
        </w:rPr>
        <w:tab/>
        <w:t>the opening stock of gas in the equipment; and</w:t>
      </w:r>
    </w:p>
    <w:p w14:paraId="49E74ACE" w14:textId="77777777" w:rsidR="00010E2E" w:rsidRPr="008870C0" w:rsidRDefault="00010E2E">
      <w:pPr>
        <w:pStyle w:val="P2"/>
        <w:spacing w:before="0"/>
        <w:rPr>
          <w:sz w:val="22"/>
          <w:szCs w:val="22"/>
        </w:rPr>
      </w:pPr>
      <w:r w:rsidRPr="008870C0">
        <w:rPr>
          <w:sz w:val="22"/>
          <w:szCs w:val="22"/>
        </w:rPr>
        <w:tab/>
        <w:t>(ii)</w:t>
      </w:r>
      <w:r w:rsidRPr="008870C0">
        <w:rPr>
          <w:sz w:val="22"/>
          <w:szCs w:val="22"/>
        </w:rPr>
        <w:tab/>
        <w:t>transfers into the facility from additions of gas from purchases of new equipment and replenishments; and</w:t>
      </w:r>
    </w:p>
    <w:p w14:paraId="492DA5D7" w14:textId="77777777" w:rsidR="00010E2E" w:rsidRPr="008870C0" w:rsidRDefault="00010E2E">
      <w:pPr>
        <w:pStyle w:val="P2"/>
        <w:spacing w:before="0"/>
        <w:rPr>
          <w:sz w:val="22"/>
          <w:szCs w:val="22"/>
        </w:rPr>
      </w:pPr>
      <w:r w:rsidRPr="008870C0">
        <w:rPr>
          <w:sz w:val="22"/>
          <w:szCs w:val="22"/>
        </w:rPr>
        <w:tab/>
        <w:t>(iii)</w:t>
      </w:r>
      <w:r w:rsidRPr="008870C0">
        <w:rPr>
          <w:sz w:val="22"/>
          <w:szCs w:val="22"/>
        </w:rPr>
        <w:tab/>
        <w:t>transfers out of the facility from disposal of equipment or gas.</w:t>
      </w:r>
    </w:p>
    <w:p w14:paraId="135C2433" w14:textId="29E1054E" w:rsidR="007C5A97" w:rsidRDefault="007C5A97">
      <w:pPr>
        <w:ind w:left="0"/>
        <w:rPr>
          <w:rFonts w:ascii="Arial" w:hAnsi="Arial"/>
        </w:rPr>
      </w:pPr>
      <w:bookmarkStart w:id="101" w:name="_Toc391646710"/>
    </w:p>
    <w:p w14:paraId="6CE3596A" w14:textId="3C7298C9" w:rsidR="00D76245" w:rsidRDefault="00491D41" w:rsidP="00C23E3B">
      <w:pPr>
        <w:pStyle w:val="Caption"/>
      </w:pPr>
      <w:bookmarkStart w:id="102" w:name="_Toc485728133"/>
      <w:r>
        <w:t xml:space="preserve">Table </w:t>
      </w:r>
      <w:r w:rsidR="00DC52E0">
        <w:fldChar w:fldCharType="begin"/>
      </w:r>
      <w:r>
        <w:instrText xml:space="preserve"> SEQ Table \* ARABIC </w:instrText>
      </w:r>
      <w:r w:rsidR="00DC52E0">
        <w:fldChar w:fldCharType="separate"/>
      </w:r>
      <w:r w:rsidR="004A1330">
        <w:rPr>
          <w:noProof/>
        </w:rPr>
        <w:t>25</w:t>
      </w:r>
      <w:r w:rsidR="00DC52E0">
        <w:fldChar w:fldCharType="end"/>
      </w:r>
      <w:r w:rsidR="00010E2E">
        <w:t>: Leakage rates for synthetic gases</w:t>
      </w:r>
      <w:bookmarkEnd w:id="101"/>
      <w:bookmarkEnd w:id="10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1"/>
        <w:gridCol w:w="1780"/>
        <w:gridCol w:w="1628"/>
      </w:tblGrid>
      <w:tr w:rsidR="00010E2E" w14:paraId="28D5D7E1" w14:textId="77777777" w:rsidTr="00DD4FF2">
        <w:trPr>
          <w:cantSplit/>
        </w:trPr>
        <w:tc>
          <w:tcPr>
            <w:tcW w:w="4928" w:type="dxa"/>
            <w:vMerge w:val="restart"/>
            <w:shd w:val="pct15" w:color="auto" w:fill="auto"/>
            <w:vAlign w:val="center"/>
          </w:tcPr>
          <w:p w14:paraId="68EA1757" w14:textId="77777777" w:rsidR="00010E2E" w:rsidRDefault="00010E2E" w:rsidP="00DD4FF2">
            <w:pPr>
              <w:pStyle w:val="Table"/>
              <w:jc w:val="center"/>
              <w:rPr>
                <w:b/>
                <w:bCs/>
              </w:rPr>
            </w:pPr>
            <w:r>
              <w:rPr>
                <w:b/>
                <w:bCs/>
              </w:rPr>
              <w:t>Equipment type</w:t>
            </w:r>
          </w:p>
        </w:tc>
        <w:tc>
          <w:tcPr>
            <w:tcW w:w="3493" w:type="dxa"/>
            <w:gridSpan w:val="2"/>
            <w:shd w:val="pct15" w:color="auto" w:fill="auto"/>
            <w:vAlign w:val="center"/>
          </w:tcPr>
          <w:p w14:paraId="778E4ABB" w14:textId="77777777" w:rsidR="00010E2E" w:rsidRDefault="00010E2E" w:rsidP="00DD4FF2">
            <w:pPr>
              <w:pStyle w:val="TableCentre"/>
              <w:rPr>
                <w:b/>
                <w:bCs/>
              </w:rPr>
            </w:pPr>
            <w:r>
              <w:rPr>
                <w:b/>
                <w:bCs/>
              </w:rPr>
              <w:t>Default annual leakage rates of gas</w:t>
            </w:r>
          </w:p>
        </w:tc>
      </w:tr>
      <w:tr w:rsidR="00010E2E" w14:paraId="4D7EF99B" w14:textId="77777777" w:rsidTr="00DD4FF2">
        <w:trPr>
          <w:cantSplit/>
        </w:trPr>
        <w:tc>
          <w:tcPr>
            <w:tcW w:w="4928" w:type="dxa"/>
            <w:vMerge/>
            <w:shd w:val="pct15" w:color="auto" w:fill="auto"/>
            <w:vAlign w:val="center"/>
          </w:tcPr>
          <w:p w14:paraId="2EC7949A" w14:textId="77777777" w:rsidR="00010E2E" w:rsidRDefault="00010E2E" w:rsidP="00DD4FF2">
            <w:pPr>
              <w:pStyle w:val="Table"/>
              <w:jc w:val="center"/>
              <w:rPr>
                <w:b/>
                <w:bCs/>
              </w:rPr>
            </w:pPr>
          </w:p>
        </w:tc>
        <w:tc>
          <w:tcPr>
            <w:tcW w:w="1827" w:type="dxa"/>
            <w:shd w:val="pct15" w:color="auto" w:fill="auto"/>
            <w:vAlign w:val="center"/>
          </w:tcPr>
          <w:p w14:paraId="399CA4D3" w14:textId="77777777" w:rsidR="00010E2E" w:rsidRDefault="00010E2E" w:rsidP="00DD4FF2">
            <w:pPr>
              <w:pStyle w:val="TableCentre"/>
              <w:rPr>
                <w:b/>
                <w:bCs/>
              </w:rPr>
            </w:pPr>
            <w:r>
              <w:rPr>
                <w:b/>
                <w:bCs/>
              </w:rPr>
              <w:t>HFCs</w:t>
            </w:r>
          </w:p>
        </w:tc>
        <w:tc>
          <w:tcPr>
            <w:tcW w:w="1666" w:type="dxa"/>
            <w:shd w:val="pct15" w:color="auto" w:fill="auto"/>
            <w:vAlign w:val="center"/>
          </w:tcPr>
          <w:p w14:paraId="496BF411" w14:textId="77777777" w:rsidR="00010E2E" w:rsidRDefault="00010E2E" w:rsidP="00DD4FF2">
            <w:pPr>
              <w:pStyle w:val="TableCentre"/>
              <w:rPr>
                <w:b/>
                <w:bCs/>
              </w:rPr>
            </w:pPr>
            <w:r>
              <w:rPr>
                <w:b/>
                <w:bCs/>
              </w:rPr>
              <w:t>SF</w:t>
            </w:r>
            <w:r>
              <w:rPr>
                <w:rStyle w:val="Subscript"/>
                <w:b/>
                <w:bCs/>
              </w:rPr>
              <w:t>6</w:t>
            </w:r>
          </w:p>
        </w:tc>
      </w:tr>
      <w:tr w:rsidR="00010E2E" w14:paraId="78FADA26" w14:textId="77777777">
        <w:trPr>
          <w:cantSplit/>
        </w:trPr>
        <w:tc>
          <w:tcPr>
            <w:tcW w:w="4928" w:type="dxa"/>
          </w:tcPr>
          <w:p w14:paraId="1B3A8973" w14:textId="77777777" w:rsidR="00010E2E" w:rsidRDefault="00010E2E">
            <w:pPr>
              <w:pStyle w:val="Table"/>
            </w:pPr>
            <w:r>
              <w:t>Commercial air conditioning—chillers</w:t>
            </w:r>
          </w:p>
        </w:tc>
        <w:tc>
          <w:tcPr>
            <w:tcW w:w="1827" w:type="dxa"/>
          </w:tcPr>
          <w:p w14:paraId="2FB7C7F6" w14:textId="77777777" w:rsidR="00010E2E" w:rsidRDefault="00010E2E">
            <w:pPr>
              <w:pStyle w:val="TableCentre"/>
            </w:pPr>
            <w:r>
              <w:t>0.09</w:t>
            </w:r>
          </w:p>
        </w:tc>
        <w:tc>
          <w:tcPr>
            <w:tcW w:w="1666" w:type="dxa"/>
            <w:shd w:val="clear" w:color="auto" w:fill="D9D9D9"/>
          </w:tcPr>
          <w:p w14:paraId="387EF146" w14:textId="77777777" w:rsidR="00010E2E" w:rsidRDefault="00010E2E">
            <w:pPr>
              <w:pStyle w:val="TableCentre"/>
            </w:pPr>
          </w:p>
        </w:tc>
      </w:tr>
      <w:tr w:rsidR="00010E2E" w14:paraId="6995451B" w14:textId="77777777">
        <w:trPr>
          <w:cantSplit/>
        </w:trPr>
        <w:tc>
          <w:tcPr>
            <w:tcW w:w="4928" w:type="dxa"/>
          </w:tcPr>
          <w:p w14:paraId="4A8FEE32" w14:textId="77777777" w:rsidR="00010E2E" w:rsidRDefault="00010E2E">
            <w:pPr>
              <w:pStyle w:val="Table"/>
            </w:pPr>
            <w:r>
              <w:t>Commercial refrigeration - supermarket systems</w:t>
            </w:r>
          </w:p>
        </w:tc>
        <w:tc>
          <w:tcPr>
            <w:tcW w:w="1827" w:type="dxa"/>
          </w:tcPr>
          <w:p w14:paraId="0EB1E0E3" w14:textId="77777777" w:rsidR="00010E2E" w:rsidRDefault="00010E2E">
            <w:pPr>
              <w:pStyle w:val="TableCentre"/>
            </w:pPr>
            <w:r>
              <w:t>0.23</w:t>
            </w:r>
          </w:p>
        </w:tc>
        <w:tc>
          <w:tcPr>
            <w:tcW w:w="1666" w:type="dxa"/>
            <w:shd w:val="clear" w:color="auto" w:fill="D9D9D9"/>
          </w:tcPr>
          <w:p w14:paraId="590D2D72" w14:textId="77777777" w:rsidR="00010E2E" w:rsidRDefault="00010E2E">
            <w:pPr>
              <w:pStyle w:val="TableCentre"/>
            </w:pPr>
          </w:p>
        </w:tc>
      </w:tr>
      <w:tr w:rsidR="00010E2E" w14:paraId="0D831D45" w14:textId="77777777">
        <w:trPr>
          <w:cantSplit/>
        </w:trPr>
        <w:tc>
          <w:tcPr>
            <w:tcW w:w="4928" w:type="dxa"/>
          </w:tcPr>
          <w:p w14:paraId="1E88FCB8" w14:textId="77777777" w:rsidR="00010E2E" w:rsidRDefault="00010E2E">
            <w:pPr>
              <w:pStyle w:val="Table"/>
            </w:pPr>
            <w:r>
              <w:t xml:space="preserve">Industrial refrigeration including food processing and cold storage </w:t>
            </w:r>
          </w:p>
        </w:tc>
        <w:tc>
          <w:tcPr>
            <w:tcW w:w="1827" w:type="dxa"/>
          </w:tcPr>
          <w:p w14:paraId="0853E581" w14:textId="77777777" w:rsidR="00010E2E" w:rsidRDefault="00010E2E">
            <w:pPr>
              <w:pStyle w:val="TableCentre"/>
            </w:pPr>
            <w:r>
              <w:t>0.16</w:t>
            </w:r>
          </w:p>
        </w:tc>
        <w:tc>
          <w:tcPr>
            <w:tcW w:w="1666" w:type="dxa"/>
            <w:shd w:val="clear" w:color="auto" w:fill="D9D9D9"/>
          </w:tcPr>
          <w:p w14:paraId="1598445B" w14:textId="77777777" w:rsidR="00010E2E" w:rsidRDefault="00010E2E">
            <w:pPr>
              <w:pStyle w:val="TableCentre"/>
            </w:pPr>
          </w:p>
        </w:tc>
      </w:tr>
      <w:tr w:rsidR="00010E2E" w14:paraId="484239AA" w14:textId="77777777">
        <w:trPr>
          <w:cantSplit/>
        </w:trPr>
        <w:tc>
          <w:tcPr>
            <w:tcW w:w="4928" w:type="dxa"/>
          </w:tcPr>
          <w:p w14:paraId="7A069B1B" w14:textId="77777777" w:rsidR="00010E2E" w:rsidRDefault="00010E2E">
            <w:pPr>
              <w:pStyle w:val="Table"/>
            </w:pPr>
            <w:r>
              <w:t>Gas insulated switchgear and circuit breaker applications</w:t>
            </w:r>
          </w:p>
        </w:tc>
        <w:tc>
          <w:tcPr>
            <w:tcW w:w="1827" w:type="dxa"/>
            <w:shd w:val="clear" w:color="auto" w:fill="D9D9D9"/>
          </w:tcPr>
          <w:p w14:paraId="6A79601B" w14:textId="77777777" w:rsidR="00010E2E" w:rsidRDefault="00010E2E">
            <w:pPr>
              <w:pStyle w:val="TableCentre"/>
            </w:pPr>
          </w:p>
        </w:tc>
        <w:tc>
          <w:tcPr>
            <w:tcW w:w="1666" w:type="dxa"/>
          </w:tcPr>
          <w:p w14:paraId="4D68CB0B" w14:textId="77777777" w:rsidR="00010E2E" w:rsidRDefault="00010E2E" w:rsidP="00F25B63">
            <w:pPr>
              <w:pStyle w:val="TableCentre"/>
            </w:pPr>
            <w:r>
              <w:t>0.</w:t>
            </w:r>
            <w:r w:rsidR="00F25B63">
              <w:t xml:space="preserve">0089 </w:t>
            </w:r>
          </w:p>
        </w:tc>
      </w:tr>
    </w:tbl>
    <w:p w14:paraId="2FAB1257" w14:textId="77777777" w:rsidR="00010E2E" w:rsidRPr="00553A7B" w:rsidRDefault="00010E2E">
      <w:pPr>
        <w:pStyle w:val="TableNote"/>
        <w:rPr>
          <w:szCs w:val="16"/>
        </w:rPr>
      </w:pPr>
      <w:r>
        <w:t xml:space="preserve">Source: </w:t>
      </w:r>
      <w:r>
        <w:rPr>
          <w:szCs w:val="16"/>
        </w:rPr>
        <w:t>National Greenhouse and Energy Reporting (</w:t>
      </w:r>
      <w:r w:rsidR="003E2C15">
        <w:rPr>
          <w:szCs w:val="16"/>
        </w:rPr>
        <w:t>Measurement) Determination 2008</w:t>
      </w:r>
      <w:r w:rsidRPr="00553A7B">
        <w:rPr>
          <w:szCs w:val="16"/>
        </w:rPr>
        <w:t xml:space="preserve"> (Section 4.102).</w:t>
      </w:r>
    </w:p>
    <w:p w14:paraId="50EB5671"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b/>
          <w:bCs/>
        </w:rPr>
      </w:pPr>
      <w:r>
        <w:rPr>
          <w:rFonts w:ascii="Arial" w:hAnsi="Arial" w:cs="Arial"/>
          <w:b/>
          <w:bCs/>
        </w:rPr>
        <w:t>Example: Calculation of emissions generated from the operation of a commercial chiller</w:t>
      </w:r>
    </w:p>
    <w:p w14:paraId="6F6007C9"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rPr>
      </w:pPr>
      <w:r>
        <w:rPr>
          <w:rFonts w:ascii="Arial" w:hAnsi="Arial" w:cs="Arial"/>
        </w:rPr>
        <w:t>A company operates a commercial air conditioning-chiller, which contains 160 kg charge of HFC134a.</w:t>
      </w:r>
    </w:p>
    <w:p w14:paraId="5217A8F3"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rPr>
      </w:pPr>
      <w:r>
        <w:rPr>
          <w:rFonts w:ascii="Arial" w:hAnsi="Arial" w:cs="Arial"/>
        </w:rPr>
        <w:t>Convert HFC134a into a CO</w:t>
      </w:r>
      <w:r>
        <w:rPr>
          <w:rFonts w:ascii="Arial" w:hAnsi="Arial" w:cs="Arial"/>
          <w:vertAlign w:val="subscript"/>
        </w:rPr>
        <w:t>2</w:t>
      </w:r>
      <w:r>
        <w:rPr>
          <w:rFonts w:ascii="Arial" w:hAnsi="Arial" w:cs="Arial"/>
        </w:rPr>
        <w:t xml:space="preserve">-equivalent using the global warming potential of </w:t>
      </w:r>
      <w:r w:rsidR="005642D7">
        <w:rPr>
          <w:rFonts w:ascii="Arial" w:hAnsi="Arial" w:cs="Arial"/>
        </w:rPr>
        <w:t xml:space="preserve">1430 </w:t>
      </w:r>
      <w:r>
        <w:rPr>
          <w:rFonts w:ascii="Arial" w:hAnsi="Arial" w:cs="Arial"/>
        </w:rPr>
        <w:t>(from Appendix 1)</w:t>
      </w:r>
    </w:p>
    <w:p w14:paraId="70B940BA"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rPr>
      </w:pPr>
      <w:r>
        <w:rPr>
          <w:rFonts w:ascii="Arial" w:hAnsi="Arial" w:cs="Arial"/>
        </w:rPr>
        <w:tab/>
        <w:t xml:space="preserve">= 160 x </w:t>
      </w:r>
      <w:r w:rsidR="005642D7">
        <w:rPr>
          <w:rFonts w:ascii="Arial" w:hAnsi="Arial" w:cs="Arial"/>
        </w:rPr>
        <w:t>1430</w:t>
      </w:r>
      <w:r>
        <w:rPr>
          <w:rFonts w:ascii="Arial" w:hAnsi="Arial" w:cs="Arial"/>
        </w:rPr>
        <w:t>/1000</w:t>
      </w:r>
    </w:p>
    <w:p w14:paraId="0DF5003B"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rPr>
      </w:pPr>
      <w:r>
        <w:rPr>
          <w:rFonts w:ascii="Arial" w:hAnsi="Arial" w:cs="Arial"/>
        </w:rPr>
        <w:tab/>
        <w:t xml:space="preserve">= </w:t>
      </w:r>
      <w:r w:rsidR="005642D7">
        <w:rPr>
          <w:rFonts w:ascii="Arial" w:hAnsi="Arial" w:cs="Arial"/>
        </w:rPr>
        <w:t xml:space="preserve">229 </w:t>
      </w:r>
      <w:r>
        <w:rPr>
          <w:rFonts w:ascii="Arial" w:hAnsi="Arial" w:cs="Arial"/>
        </w:rPr>
        <w:t>tonnes CO</w:t>
      </w:r>
      <w:r>
        <w:rPr>
          <w:rFonts w:ascii="Arial" w:hAnsi="Arial" w:cs="Arial"/>
          <w:vertAlign w:val="subscript"/>
        </w:rPr>
        <w:t>2</w:t>
      </w:r>
      <w:r>
        <w:rPr>
          <w:rFonts w:ascii="Arial" w:hAnsi="Arial" w:cs="Arial"/>
        </w:rPr>
        <w:t>-e</w:t>
      </w:r>
    </w:p>
    <w:p w14:paraId="0B169733"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rPr>
      </w:pPr>
      <w:r>
        <w:rPr>
          <w:rFonts w:ascii="Arial" w:hAnsi="Arial" w:cs="Arial"/>
        </w:rPr>
        <w:t>Applying the annual leakage rate of 0.09 (i.e. 9%) gives:</w:t>
      </w:r>
    </w:p>
    <w:p w14:paraId="7CB3491B"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 w:val="left" w:pos="2250"/>
        </w:tabs>
        <w:spacing w:before="120" w:after="0" w:line="312" w:lineRule="auto"/>
        <w:ind w:left="0"/>
        <w:rPr>
          <w:rFonts w:ascii="Arial" w:hAnsi="Arial" w:cs="Arial"/>
        </w:rPr>
      </w:pPr>
      <w:r>
        <w:rPr>
          <w:rFonts w:ascii="Arial" w:hAnsi="Arial" w:cs="Arial"/>
        </w:rPr>
        <w:tab/>
        <w:t xml:space="preserve">= 0.09 x </w:t>
      </w:r>
      <w:r w:rsidR="005642D7">
        <w:rPr>
          <w:rFonts w:ascii="Arial" w:hAnsi="Arial" w:cs="Arial"/>
        </w:rPr>
        <w:t xml:space="preserve">229 </w:t>
      </w:r>
    </w:p>
    <w:p w14:paraId="050878E3"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Total scope 1 GHG emissions = </w:t>
      </w:r>
      <w:r w:rsidR="005642D7">
        <w:rPr>
          <w:rFonts w:ascii="Arial" w:hAnsi="Arial" w:cs="Arial"/>
        </w:rPr>
        <w:t xml:space="preserve">21 </w:t>
      </w:r>
      <w:r>
        <w:rPr>
          <w:rFonts w:ascii="Arial" w:hAnsi="Arial" w:cs="Arial"/>
        </w:rPr>
        <w:t>tonnes CO</w:t>
      </w:r>
      <w:r>
        <w:rPr>
          <w:rFonts w:ascii="Arial" w:hAnsi="Arial" w:cs="Arial"/>
          <w:vertAlign w:val="subscript"/>
        </w:rPr>
        <w:t>2</w:t>
      </w:r>
      <w:r>
        <w:rPr>
          <w:rFonts w:ascii="Arial" w:hAnsi="Arial" w:cs="Arial"/>
        </w:rPr>
        <w:t xml:space="preserve">-e </w:t>
      </w:r>
    </w:p>
    <w:p w14:paraId="31125B7B" w14:textId="77777777" w:rsidR="00A831A0" w:rsidRDefault="00A831A0" w:rsidP="00EF1C12">
      <w:pPr>
        <w:pStyle w:val="Heading2"/>
        <w:numPr>
          <w:ilvl w:val="0"/>
          <w:numId w:val="0"/>
        </w:numPr>
        <w:tabs>
          <w:tab w:val="left" w:pos="0"/>
          <w:tab w:val="left" w:pos="2250"/>
        </w:tabs>
        <w:spacing w:before="120" w:after="0" w:line="312" w:lineRule="auto"/>
        <w:rPr>
          <w:rFonts w:ascii="Arial" w:hAnsi="Arial" w:cs="Arial"/>
        </w:rPr>
      </w:pPr>
    </w:p>
    <w:p w14:paraId="284C4E4F" w14:textId="77777777" w:rsidR="00A831A0" w:rsidRDefault="00A831A0" w:rsidP="00EF1C12">
      <w:pPr>
        <w:pStyle w:val="Heading2"/>
        <w:numPr>
          <w:ilvl w:val="0"/>
          <w:numId w:val="0"/>
        </w:numPr>
        <w:tabs>
          <w:tab w:val="left" w:pos="0"/>
          <w:tab w:val="left" w:pos="2250"/>
        </w:tabs>
        <w:spacing w:before="120" w:after="0" w:line="312" w:lineRule="auto"/>
        <w:rPr>
          <w:rFonts w:ascii="Arial" w:hAnsi="Arial" w:cs="Arial"/>
        </w:rPr>
      </w:pPr>
    </w:p>
    <w:p w14:paraId="1264F143" w14:textId="77777777" w:rsidR="00010E2E" w:rsidRDefault="002004FF" w:rsidP="00EF1C12">
      <w:pPr>
        <w:pStyle w:val="Heading2"/>
        <w:numPr>
          <w:ilvl w:val="0"/>
          <w:numId w:val="0"/>
        </w:numPr>
        <w:tabs>
          <w:tab w:val="left" w:pos="0"/>
          <w:tab w:val="left" w:pos="2250"/>
        </w:tabs>
        <w:spacing w:before="120" w:after="0" w:line="312" w:lineRule="auto"/>
        <w:rPr>
          <w:rFonts w:ascii="Arial" w:hAnsi="Arial" w:cs="Arial"/>
        </w:rPr>
      </w:pPr>
      <w:r>
        <w:rPr>
          <w:rFonts w:ascii="Arial" w:hAnsi="Arial" w:cs="Arial"/>
        </w:rPr>
        <w:br w:type="page"/>
      </w:r>
    </w:p>
    <w:p w14:paraId="45885288" w14:textId="77777777" w:rsidR="00010E2E" w:rsidRDefault="00010E2E">
      <w:pPr>
        <w:pStyle w:val="Heading1"/>
        <w:tabs>
          <w:tab w:val="left" w:pos="0"/>
          <w:tab w:val="left" w:pos="2250"/>
        </w:tabs>
        <w:spacing w:before="120" w:after="0" w:line="312" w:lineRule="auto"/>
        <w:ind w:left="0" w:firstLine="0"/>
        <w:rPr>
          <w:rFonts w:ascii="Arial" w:hAnsi="Arial" w:cs="Arial"/>
        </w:rPr>
      </w:pPr>
      <w:bookmarkStart w:id="103" w:name="_Toc391646679"/>
      <w:r>
        <w:rPr>
          <w:rFonts w:ascii="Arial" w:hAnsi="Arial" w:cs="Arial"/>
        </w:rPr>
        <w:t>Waste emissions</w:t>
      </w:r>
      <w:bookmarkEnd w:id="103"/>
      <w:r>
        <w:rPr>
          <w:rFonts w:ascii="Arial" w:hAnsi="Arial" w:cs="Arial"/>
        </w:rPr>
        <w:t xml:space="preserve"> </w:t>
      </w:r>
      <w:bookmarkStart w:id="104" w:name="_Toc69785188"/>
      <w:bookmarkStart w:id="105" w:name="_Toc75660556"/>
      <w:bookmarkStart w:id="106" w:name="_Toc76473873"/>
      <w:bookmarkStart w:id="107" w:name="_Toc120525220"/>
    </w:p>
    <w:p w14:paraId="19D31848" w14:textId="77777777" w:rsidR="00010E2E" w:rsidRDefault="00010E2E">
      <w:pPr>
        <w:pStyle w:val="BodyText"/>
        <w:tabs>
          <w:tab w:val="left" w:pos="-90"/>
          <w:tab w:val="left" w:pos="0"/>
        </w:tabs>
        <w:spacing w:before="120" w:line="312" w:lineRule="auto"/>
        <w:ind w:left="0"/>
        <w:rPr>
          <w:rFonts w:ascii="Arial" w:hAnsi="Arial"/>
        </w:rPr>
      </w:pPr>
      <w:r>
        <w:rPr>
          <w:rFonts w:ascii="Arial" w:hAnsi="Arial"/>
        </w:rPr>
        <w:t>Throughout this Waste chapter, emissions of CO</w:t>
      </w:r>
      <w:r>
        <w:rPr>
          <w:rFonts w:ascii="Arial" w:hAnsi="Arial"/>
          <w:vertAlign w:val="subscript"/>
        </w:rPr>
        <w:t>2</w:t>
      </w:r>
      <w:r>
        <w:rPr>
          <w:rFonts w:ascii="Arial" w:hAnsi="Arial"/>
        </w:rPr>
        <w:t xml:space="preserve"> generated from waste management are considered to be from biomass sources and therefore do not need to be estimated. For example, landfill gas comprises both methane and carbon dioxide but only the methane component should be considered. </w:t>
      </w:r>
    </w:p>
    <w:p w14:paraId="525732B6" w14:textId="77777777" w:rsidR="00010E2E" w:rsidRDefault="00010E2E">
      <w:pPr>
        <w:pStyle w:val="BodyText"/>
        <w:tabs>
          <w:tab w:val="left" w:pos="-90"/>
          <w:tab w:val="left" w:pos="0"/>
        </w:tabs>
        <w:spacing w:before="120" w:line="312" w:lineRule="auto"/>
        <w:ind w:left="0"/>
        <w:rPr>
          <w:rFonts w:ascii="Arial" w:hAnsi="Arial"/>
        </w:rPr>
      </w:pPr>
      <w:r>
        <w:rPr>
          <w:rFonts w:ascii="Arial" w:hAnsi="Arial"/>
        </w:rPr>
        <w:t>Carbon dioxide produced from the flaring of methane from landfill gas or other emission sources is also considered as having been derived from biomass sources.</w:t>
      </w:r>
    </w:p>
    <w:p w14:paraId="76413E90" w14:textId="77777777" w:rsidR="00010E2E" w:rsidRDefault="00010E2E">
      <w:pPr>
        <w:pStyle w:val="BodyText"/>
        <w:tabs>
          <w:tab w:val="left" w:pos="-90"/>
          <w:tab w:val="left" w:pos="0"/>
        </w:tabs>
        <w:spacing w:before="120" w:line="312" w:lineRule="auto"/>
        <w:ind w:left="0"/>
        <w:rPr>
          <w:rFonts w:ascii="Arial" w:hAnsi="Arial"/>
        </w:rPr>
      </w:pPr>
      <w:r>
        <w:rPr>
          <w:rFonts w:ascii="Arial" w:hAnsi="Arial"/>
        </w:rPr>
        <w:t>Emissions of all gases arising from other non-waste processes from a facility,  such as emissions from the combustion of fuels for energy, should be estimated using methods described in the appropriate chapter.</w:t>
      </w:r>
    </w:p>
    <w:p w14:paraId="400A2155" w14:textId="77777777" w:rsidR="00010E2E" w:rsidRDefault="00010E2E">
      <w:pPr>
        <w:pStyle w:val="Heading2"/>
        <w:tabs>
          <w:tab w:val="left" w:pos="0"/>
          <w:tab w:val="left" w:pos="2250"/>
        </w:tabs>
        <w:spacing w:before="120" w:after="0" w:line="312" w:lineRule="auto"/>
        <w:rPr>
          <w:rFonts w:ascii="Arial" w:hAnsi="Arial" w:cs="Arial"/>
        </w:rPr>
      </w:pPr>
      <w:bookmarkStart w:id="108" w:name="_Toc121648156"/>
      <w:bookmarkStart w:id="109" w:name="_Toc142888300"/>
      <w:r>
        <w:rPr>
          <w:rFonts w:ascii="Arial" w:hAnsi="Arial" w:cs="Arial"/>
        </w:rPr>
        <w:t>Methane released from landfills - (other than from flaring of methane)</w:t>
      </w:r>
      <w:bookmarkEnd w:id="104"/>
      <w:bookmarkEnd w:id="105"/>
      <w:bookmarkEnd w:id="106"/>
      <w:bookmarkEnd w:id="107"/>
      <w:bookmarkEnd w:id="108"/>
      <w:bookmarkEnd w:id="109"/>
    </w:p>
    <w:p w14:paraId="5FADA001" w14:textId="0224B576" w:rsidR="00010E2E" w:rsidRDefault="00010E2E">
      <w:pPr>
        <w:pStyle w:val="BodyText"/>
        <w:tabs>
          <w:tab w:val="left" w:pos="-90"/>
          <w:tab w:val="left" w:pos="0"/>
        </w:tabs>
        <w:spacing w:before="120" w:line="312" w:lineRule="auto"/>
        <w:ind w:left="0"/>
        <w:rPr>
          <w:rFonts w:ascii="Arial" w:hAnsi="Arial"/>
        </w:rPr>
      </w:pPr>
      <w:r>
        <w:rPr>
          <w:rFonts w:ascii="Arial" w:hAnsi="Arial"/>
        </w:rPr>
        <w:t xml:space="preserve">For companies that operate landfill sites and wish to </w:t>
      </w:r>
      <w:r w:rsidR="00E811AD">
        <w:rPr>
          <w:rFonts w:ascii="Arial" w:hAnsi="Arial"/>
        </w:rPr>
        <w:t>calculate scope</w:t>
      </w:r>
      <w:r>
        <w:rPr>
          <w:rFonts w:ascii="Arial" w:hAnsi="Arial"/>
        </w:rPr>
        <w:t xml:space="preserve"> 1 emissions, please refer to Chapter 5 – Part 5.2 of </w:t>
      </w:r>
      <w:r w:rsidRPr="00B90C7D">
        <w:rPr>
          <w:rFonts w:ascii="Arial" w:hAnsi="Arial"/>
        </w:rPr>
        <w:t xml:space="preserve">the </w:t>
      </w:r>
      <w:r w:rsidR="00710E95" w:rsidRPr="00710E95">
        <w:rPr>
          <w:rFonts w:ascii="Arial" w:hAnsi="Arial"/>
          <w:i/>
        </w:rPr>
        <w:t xml:space="preserve">National Greenhouse and Energy Reporting (Measurement) Technical Guidelines </w:t>
      </w:r>
      <w:r w:rsidR="00345E7B" w:rsidRPr="00345E7B">
        <w:rPr>
          <w:rFonts w:ascii="Arial" w:hAnsi="Arial"/>
        </w:rPr>
        <w:t>for guidance.  For companies wishing to calculate scope 3 emissions from the disposal</w:t>
      </w:r>
      <w:r w:rsidRPr="00B90C7D">
        <w:rPr>
          <w:rFonts w:ascii="Arial" w:hAnsi="Arial"/>
        </w:rPr>
        <w:t xml:space="preserve"> of their waste</w:t>
      </w:r>
      <w:r>
        <w:rPr>
          <w:rFonts w:ascii="Arial" w:hAnsi="Arial"/>
        </w:rPr>
        <w:t xml:space="preserve"> outside the organisation boundaries (eg, waste taken to municipal landfill), please refer to Appendix </w:t>
      </w:r>
      <w:r w:rsidR="00B90C7D">
        <w:rPr>
          <w:rFonts w:ascii="Arial" w:hAnsi="Arial"/>
        </w:rPr>
        <w:t>4 of</w:t>
      </w:r>
      <w:r>
        <w:rPr>
          <w:rFonts w:ascii="Arial" w:hAnsi="Arial"/>
        </w:rPr>
        <w:t xml:space="preserve"> this workbook.</w:t>
      </w:r>
    </w:p>
    <w:p w14:paraId="22E0364F" w14:textId="77777777" w:rsidR="00010E2E" w:rsidRDefault="00010E2E">
      <w:pPr>
        <w:pStyle w:val="Heading2"/>
        <w:tabs>
          <w:tab w:val="left" w:pos="0"/>
          <w:tab w:val="left" w:pos="2250"/>
        </w:tabs>
        <w:spacing w:before="120" w:after="0" w:line="312" w:lineRule="auto"/>
        <w:rPr>
          <w:rFonts w:ascii="Arial" w:hAnsi="Arial" w:cs="Arial"/>
        </w:rPr>
      </w:pPr>
      <w:bookmarkStart w:id="110" w:name="_Toc202002407"/>
      <w:bookmarkStart w:id="111" w:name="_Toc203488610"/>
      <w:r>
        <w:rPr>
          <w:rFonts w:ascii="Arial" w:hAnsi="Arial" w:cs="Arial"/>
        </w:rPr>
        <w:t>Biological treatment of solid waste at the landfill</w:t>
      </w:r>
      <w:bookmarkEnd w:id="110"/>
      <w:bookmarkEnd w:id="111"/>
      <w:r>
        <w:rPr>
          <w:rFonts w:ascii="Arial" w:hAnsi="Arial" w:cs="Arial"/>
        </w:rPr>
        <w:t xml:space="preserve"> – composting and anaerobic digestion</w:t>
      </w:r>
    </w:p>
    <w:p w14:paraId="0E90366A" w14:textId="77777777" w:rsidR="00010E2E" w:rsidRDefault="00010E2E">
      <w:pPr>
        <w:pStyle w:val="R1"/>
        <w:rPr>
          <w:color w:val="000000"/>
        </w:rPr>
      </w:pPr>
    </w:p>
    <w:p w14:paraId="4D843F72" w14:textId="77777777" w:rsidR="00010E2E" w:rsidRDefault="00010E2E" w:rsidP="00B34AA4">
      <w:pPr>
        <w:pStyle w:val="BodyText"/>
        <w:tabs>
          <w:tab w:val="left" w:pos="-90"/>
          <w:tab w:val="left" w:pos="0"/>
        </w:tabs>
        <w:spacing w:before="120" w:line="312" w:lineRule="auto"/>
        <w:ind w:left="0"/>
        <w:rPr>
          <w:i/>
          <w:iCs/>
          <w:sz w:val="22"/>
          <w:szCs w:val="22"/>
        </w:rPr>
      </w:pPr>
      <w:r>
        <w:rPr>
          <w:rFonts w:ascii="Arial" w:hAnsi="Arial"/>
        </w:rPr>
        <w:t>Greenhouse emissions from biological treatment of solid waste may be estimated according to:</w:t>
      </w:r>
    </w:p>
    <w:p w14:paraId="6582E86E" w14:textId="77777777" w:rsidR="00010E2E" w:rsidRDefault="00010E2E">
      <w:pPr>
        <w:autoSpaceDE w:val="0"/>
        <w:autoSpaceDN w:val="0"/>
        <w:adjustRightInd w:val="0"/>
        <w:jc w:val="center"/>
        <w:rPr>
          <w:sz w:val="24"/>
          <w:szCs w:val="24"/>
        </w:rPr>
      </w:pPr>
      <w:r>
        <w:rPr>
          <w:i/>
          <w:iCs/>
          <w:sz w:val="24"/>
          <w:szCs w:val="24"/>
        </w:rPr>
        <w:t>CH</w:t>
      </w:r>
      <w:r>
        <w:rPr>
          <w:i/>
          <w:iCs/>
          <w:sz w:val="24"/>
          <w:szCs w:val="24"/>
          <w:vertAlign w:val="subscript"/>
        </w:rPr>
        <w:t>4</w:t>
      </w:r>
      <w:r>
        <w:rPr>
          <w:i/>
          <w:iCs/>
          <w:sz w:val="24"/>
          <w:szCs w:val="24"/>
        </w:rPr>
        <w:t xml:space="preserve"> Emissions </w:t>
      </w:r>
      <w:r>
        <w:rPr>
          <w:sz w:val="24"/>
          <w:szCs w:val="24"/>
        </w:rPr>
        <w:t xml:space="preserve">= Σ </w:t>
      </w:r>
      <w:r>
        <w:rPr>
          <w:i/>
          <w:iCs/>
          <w:sz w:val="24"/>
          <w:szCs w:val="24"/>
          <w:vertAlign w:val="subscript"/>
        </w:rPr>
        <w:t>i</w:t>
      </w:r>
      <w:r>
        <w:rPr>
          <w:i/>
          <w:iCs/>
          <w:sz w:val="24"/>
          <w:szCs w:val="24"/>
        </w:rPr>
        <w:t xml:space="preserve"> </w:t>
      </w:r>
      <w:r>
        <w:rPr>
          <w:sz w:val="24"/>
          <w:szCs w:val="24"/>
        </w:rPr>
        <w:t>(</w:t>
      </w:r>
      <w:r>
        <w:rPr>
          <w:i/>
          <w:iCs/>
          <w:sz w:val="24"/>
          <w:szCs w:val="24"/>
        </w:rPr>
        <w:t xml:space="preserve">Q </w:t>
      </w:r>
      <w:r>
        <w:rPr>
          <w:i/>
          <w:iCs/>
          <w:sz w:val="24"/>
          <w:szCs w:val="24"/>
          <w:vertAlign w:val="subscript"/>
        </w:rPr>
        <w:t xml:space="preserve">i </w:t>
      </w:r>
      <w:r>
        <w:rPr>
          <w:i/>
          <w:iCs/>
          <w:sz w:val="24"/>
          <w:szCs w:val="24"/>
        </w:rPr>
        <w:t xml:space="preserve"> </w:t>
      </w:r>
      <w:r>
        <w:rPr>
          <w:iCs/>
          <w:sz w:val="24"/>
          <w:szCs w:val="24"/>
        </w:rPr>
        <w:t>x</w:t>
      </w:r>
      <w:r>
        <w:rPr>
          <w:i/>
          <w:iCs/>
          <w:sz w:val="24"/>
          <w:szCs w:val="24"/>
        </w:rPr>
        <w:t xml:space="preserve">  EF </w:t>
      </w:r>
      <w:r>
        <w:rPr>
          <w:i/>
          <w:iCs/>
          <w:sz w:val="24"/>
          <w:szCs w:val="24"/>
          <w:vertAlign w:val="subscript"/>
        </w:rPr>
        <w:t>i</w:t>
      </w:r>
      <w:r>
        <w:rPr>
          <w:i/>
          <w:iCs/>
          <w:sz w:val="24"/>
          <w:szCs w:val="24"/>
        </w:rPr>
        <w:t xml:space="preserve"> </w:t>
      </w:r>
      <w:r>
        <w:rPr>
          <w:sz w:val="24"/>
          <w:szCs w:val="24"/>
        </w:rPr>
        <w:t xml:space="preserve">) − </w:t>
      </w:r>
      <w:r>
        <w:rPr>
          <w:i/>
          <w:iCs/>
          <w:sz w:val="24"/>
          <w:szCs w:val="24"/>
        </w:rPr>
        <w:t>R</w:t>
      </w:r>
    </w:p>
    <w:p w14:paraId="6A1BB301" w14:textId="77777777" w:rsidR="00010E2E" w:rsidRDefault="00010E2E">
      <w:pPr>
        <w:autoSpaceDE w:val="0"/>
        <w:autoSpaceDN w:val="0"/>
        <w:adjustRightInd w:val="0"/>
        <w:rPr>
          <w:sz w:val="22"/>
          <w:szCs w:val="22"/>
        </w:rPr>
      </w:pPr>
    </w:p>
    <w:p w14:paraId="43AF0E8C" w14:textId="77777777" w:rsidR="00010E2E" w:rsidRPr="008870C0" w:rsidRDefault="00010E2E">
      <w:pPr>
        <w:autoSpaceDE w:val="0"/>
        <w:autoSpaceDN w:val="0"/>
        <w:adjustRightInd w:val="0"/>
        <w:rPr>
          <w:sz w:val="22"/>
          <w:szCs w:val="22"/>
        </w:rPr>
      </w:pPr>
      <w:r w:rsidRPr="008870C0">
        <w:rPr>
          <w:sz w:val="22"/>
          <w:szCs w:val="22"/>
        </w:rPr>
        <w:t>where:</w:t>
      </w:r>
    </w:p>
    <w:p w14:paraId="2DCDDAE4" w14:textId="77777777" w:rsidR="00010E2E" w:rsidRPr="008870C0" w:rsidRDefault="00010E2E">
      <w:pPr>
        <w:autoSpaceDE w:val="0"/>
        <w:autoSpaceDN w:val="0"/>
        <w:adjustRightInd w:val="0"/>
        <w:rPr>
          <w:sz w:val="22"/>
          <w:szCs w:val="22"/>
        </w:rPr>
      </w:pPr>
    </w:p>
    <w:p w14:paraId="4D5321FD" w14:textId="77777777" w:rsidR="00010E2E" w:rsidRPr="008870C0" w:rsidRDefault="00010E2E">
      <w:pPr>
        <w:autoSpaceDE w:val="0"/>
        <w:autoSpaceDN w:val="0"/>
        <w:adjustRightInd w:val="0"/>
        <w:spacing w:after="120"/>
        <w:ind w:left="1077"/>
        <w:rPr>
          <w:sz w:val="22"/>
          <w:szCs w:val="22"/>
        </w:rPr>
      </w:pPr>
      <w:r w:rsidRPr="008870C0">
        <w:rPr>
          <w:b/>
          <w:i/>
          <w:sz w:val="22"/>
          <w:szCs w:val="22"/>
        </w:rPr>
        <w:t>CH</w:t>
      </w:r>
      <w:r w:rsidRPr="008870C0">
        <w:rPr>
          <w:b/>
          <w:i/>
          <w:sz w:val="22"/>
          <w:szCs w:val="22"/>
          <w:vertAlign w:val="subscript"/>
        </w:rPr>
        <w:t>4</w:t>
      </w:r>
      <w:r w:rsidRPr="008870C0">
        <w:rPr>
          <w:sz w:val="22"/>
          <w:szCs w:val="22"/>
        </w:rPr>
        <w:t xml:space="preserve"> Emissions = total CH</w:t>
      </w:r>
      <w:r w:rsidRPr="008870C0">
        <w:rPr>
          <w:sz w:val="22"/>
          <w:szCs w:val="22"/>
          <w:vertAlign w:val="subscript"/>
        </w:rPr>
        <w:t>4</w:t>
      </w:r>
      <w:r w:rsidRPr="008870C0">
        <w:rPr>
          <w:sz w:val="22"/>
          <w:szCs w:val="22"/>
        </w:rPr>
        <w:t xml:space="preserve"> emissions in inventory year, tonnes</w:t>
      </w:r>
    </w:p>
    <w:p w14:paraId="094BB37E" w14:textId="77777777" w:rsidR="00010E2E" w:rsidRPr="008870C0" w:rsidRDefault="00010E2E">
      <w:pPr>
        <w:autoSpaceDE w:val="0"/>
        <w:autoSpaceDN w:val="0"/>
        <w:adjustRightInd w:val="0"/>
        <w:spacing w:after="120"/>
        <w:ind w:left="1077"/>
        <w:rPr>
          <w:sz w:val="22"/>
          <w:szCs w:val="22"/>
        </w:rPr>
      </w:pPr>
      <w:r w:rsidRPr="008870C0">
        <w:rPr>
          <w:b/>
          <w:i/>
          <w:sz w:val="22"/>
          <w:szCs w:val="22"/>
        </w:rPr>
        <w:t>Q</w:t>
      </w:r>
      <w:r w:rsidRPr="008870C0">
        <w:rPr>
          <w:b/>
          <w:i/>
          <w:sz w:val="22"/>
          <w:szCs w:val="22"/>
          <w:vertAlign w:val="subscript"/>
        </w:rPr>
        <w:t>i</w:t>
      </w:r>
      <w:r w:rsidRPr="008870C0">
        <w:rPr>
          <w:sz w:val="22"/>
          <w:szCs w:val="22"/>
        </w:rPr>
        <w:t xml:space="preserve"> = mass of wet organic waste treated by biological treatment type i, tonnes</w:t>
      </w:r>
    </w:p>
    <w:p w14:paraId="38318E50" w14:textId="77777777" w:rsidR="00010E2E" w:rsidRPr="008870C0" w:rsidRDefault="00010E2E">
      <w:pPr>
        <w:autoSpaceDE w:val="0"/>
        <w:autoSpaceDN w:val="0"/>
        <w:adjustRightInd w:val="0"/>
        <w:spacing w:after="120"/>
        <w:ind w:left="1077"/>
        <w:rPr>
          <w:sz w:val="22"/>
          <w:szCs w:val="22"/>
        </w:rPr>
      </w:pPr>
      <w:r w:rsidRPr="008870C0">
        <w:rPr>
          <w:b/>
          <w:i/>
          <w:sz w:val="22"/>
          <w:szCs w:val="22"/>
        </w:rPr>
        <w:t>EF</w:t>
      </w:r>
      <w:r w:rsidRPr="008870C0">
        <w:rPr>
          <w:sz w:val="22"/>
          <w:szCs w:val="22"/>
        </w:rPr>
        <w:t xml:space="preserve"> = emission factor for treatment i, tonnes CO</w:t>
      </w:r>
      <w:r w:rsidRPr="008870C0">
        <w:rPr>
          <w:sz w:val="22"/>
          <w:szCs w:val="22"/>
          <w:vertAlign w:val="subscript"/>
        </w:rPr>
        <w:t>2</w:t>
      </w:r>
      <w:r w:rsidRPr="008870C0">
        <w:rPr>
          <w:sz w:val="22"/>
          <w:szCs w:val="22"/>
        </w:rPr>
        <w:t>-e/tonne of wet waste treated and equal to:</w:t>
      </w:r>
    </w:p>
    <w:p w14:paraId="602D6CFA" w14:textId="77777777" w:rsidR="00010E2E" w:rsidRPr="008870C0" w:rsidRDefault="004219A3" w:rsidP="008F6129">
      <w:pPr>
        <w:numPr>
          <w:ilvl w:val="0"/>
          <w:numId w:val="11"/>
        </w:numPr>
        <w:tabs>
          <w:tab w:val="clear" w:pos="2166"/>
          <w:tab w:val="num" w:pos="840"/>
        </w:tabs>
        <w:autoSpaceDE w:val="0"/>
        <w:autoSpaceDN w:val="0"/>
        <w:adjustRightInd w:val="0"/>
        <w:spacing w:after="120"/>
        <w:ind w:left="1560" w:firstLine="0"/>
        <w:rPr>
          <w:sz w:val="22"/>
          <w:szCs w:val="22"/>
        </w:rPr>
      </w:pPr>
      <w:r>
        <w:rPr>
          <w:sz w:val="22"/>
          <w:szCs w:val="22"/>
        </w:rPr>
        <w:t>for composting: 0.</w:t>
      </w:r>
      <w:r w:rsidR="00895257">
        <w:rPr>
          <w:sz w:val="22"/>
          <w:szCs w:val="22"/>
        </w:rPr>
        <w:t>019</w:t>
      </w:r>
    </w:p>
    <w:p w14:paraId="49BA8B76" w14:textId="77777777" w:rsidR="00010E2E" w:rsidRPr="008870C0" w:rsidRDefault="00010E2E" w:rsidP="008F6129">
      <w:pPr>
        <w:numPr>
          <w:ilvl w:val="0"/>
          <w:numId w:val="11"/>
        </w:numPr>
        <w:tabs>
          <w:tab w:val="clear" w:pos="2166"/>
          <w:tab w:val="num" w:pos="840"/>
        </w:tabs>
        <w:autoSpaceDE w:val="0"/>
        <w:autoSpaceDN w:val="0"/>
        <w:adjustRightInd w:val="0"/>
        <w:spacing w:after="120"/>
        <w:ind w:left="1560" w:firstLine="0"/>
        <w:rPr>
          <w:sz w:val="22"/>
          <w:szCs w:val="22"/>
        </w:rPr>
      </w:pPr>
      <w:r w:rsidRPr="008870C0">
        <w:rPr>
          <w:sz w:val="22"/>
          <w:szCs w:val="22"/>
        </w:rPr>
        <w:t>for anaerobic digestion: 0.02</w:t>
      </w:r>
      <w:r w:rsidR="00895257">
        <w:rPr>
          <w:sz w:val="22"/>
          <w:szCs w:val="22"/>
        </w:rPr>
        <w:t>5</w:t>
      </w:r>
    </w:p>
    <w:p w14:paraId="14850323" w14:textId="77777777" w:rsidR="00010E2E" w:rsidRPr="008870C0" w:rsidRDefault="00010E2E">
      <w:pPr>
        <w:autoSpaceDE w:val="0"/>
        <w:autoSpaceDN w:val="0"/>
        <w:adjustRightInd w:val="0"/>
        <w:spacing w:after="120"/>
        <w:ind w:left="1077"/>
        <w:rPr>
          <w:sz w:val="22"/>
          <w:szCs w:val="22"/>
        </w:rPr>
      </w:pPr>
      <w:r w:rsidRPr="008870C0">
        <w:rPr>
          <w:b/>
          <w:i/>
          <w:sz w:val="22"/>
          <w:szCs w:val="22"/>
        </w:rPr>
        <w:t>R</w:t>
      </w:r>
      <w:r w:rsidRPr="008870C0">
        <w:rPr>
          <w:sz w:val="22"/>
          <w:szCs w:val="22"/>
        </w:rPr>
        <w:t xml:space="preserve"> = total amount of CH</w:t>
      </w:r>
      <w:r w:rsidRPr="008870C0">
        <w:rPr>
          <w:sz w:val="22"/>
          <w:szCs w:val="22"/>
          <w:vertAlign w:val="subscript"/>
        </w:rPr>
        <w:t>4</w:t>
      </w:r>
      <w:r w:rsidRPr="008870C0">
        <w:rPr>
          <w:sz w:val="22"/>
          <w:szCs w:val="22"/>
        </w:rPr>
        <w:t xml:space="preserve"> recovered in inventory year, tonnes CO</w:t>
      </w:r>
      <w:r w:rsidRPr="008870C0">
        <w:rPr>
          <w:sz w:val="22"/>
          <w:szCs w:val="22"/>
          <w:vertAlign w:val="subscript"/>
        </w:rPr>
        <w:t>2</w:t>
      </w:r>
      <w:r w:rsidRPr="008870C0">
        <w:rPr>
          <w:sz w:val="22"/>
          <w:szCs w:val="22"/>
        </w:rPr>
        <w:t>-e</w:t>
      </w:r>
    </w:p>
    <w:p w14:paraId="4DD62450" w14:textId="77777777" w:rsidR="00010E2E" w:rsidRPr="008870C0" w:rsidRDefault="00010E2E">
      <w:pPr>
        <w:autoSpaceDE w:val="0"/>
        <w:autoSpaceDN w:val="0"/>
        <w:adjustRightInd w:val="0"/>
        <w:rPr>
          <w:sz w:val="22"/>
          <w:szCs w:val="22"/>
        </w:rPr>
      </w:pPr>
    </w:p>
    <w:p w14:paraId="2B3BFFA9" w14:textId="77777777" w:rsidR="00010E2E" w:rsidRPr="008870C0" w:rsidRDefault="00010E2E">
      <w:pPr>
        <w:autoSpaceDE w:val="0"/>
        <w:autoSpaceDN w:val="0"/>
        <w:adjustRightInd w:val="0"/>
        <w:rPr>
          <w:b/>
          <w:bCs/>
          <w:sz w:val="22"/>
          <w:szCs w:val="22"/>
        </w:rPr>
      </w:pPr>
    </w:p>
    <w:p w14:paraId="37CBADC4" w14:textId="77777777" w:rsidR="00010E2E" w:rsidRPr="008870C0" w:rsidRDefault="00EF1C12">
      <w:pPr>
        <w:autoSpaceDE w:val="0"/>
        <w:autoSpaceDN w:val="0"/>
        <w:adjustRightInd w:val="0"/>
        <w:ind w:left="0" w:firstLine="360"/>
        <w:rPr>
          <w:sz w:val="22"/>
          <w:szCs w:val="22"/>
        </w:rPr>
      </w:pPr>
      <w:r w:rsidRPr="008870C0">
        <w:rPr>
          <w:sz w:val="22"/>
          <w:szCs w:val="22"/>
        </w:rPr>
        <w:br w:type="page"/>
      </w:r>
      <w:r w:rsidR="00010E2E" w:rsidRPr="008870C0">
        <w:rPr>
          <w:sz w:val="22"/>
          <w:szCs w:val="22"/>
        </w:rPr>
        <w:t>Nitrous oxide emissions from biological treatment</w:t>
      </w:r>
    </w:p>
    <w:p w14:paraId="1BD61AF6" w14:textId="77777777" w:rsidR="00010E2E" w:rsidRPr="008870C0" w:rsidRDefault="00010E2E">
      <w:pPr>
        <w:rPr>
          <w:i/>
          <w:iCs/>
          <w:sz w:val="22"/>
          <w:szCs w:val="22"/>
        </w:rPr>
      </w:pPr>
    </w:p>
    <w:p w14:paraId="7FD51246" w14:textId="77777777" w:rsidR="00010E2E" w:rsidRPr="008870C0" w:rsidRDefault="00010E2E">
      <w:pPr>
        <w:jc w:val="center"/>
        <w:rPr>
          <w:i/>
          <w:iCs/>
          <w:sz w:val="22"/>
          <w:szCs w:val="22"/>
        </w:rPr>
      </w:pPr>
      <w:r w:rsidRPr="008870C0">
        <w:rPr>
          <w:i/>
          <w:iCs/>
          <w:sz w:val="22"/>
          <w:szCs w:val="22"/>
        </w:rPr>
        <w:t>N</w:t>
      </w:r>
      <w:r w:rsidRPr="008870C0">
        <w:rPr>
          <w:i/>
          <w:iCs/>
          <w:sz w:val="22"/>
          <w:szCs w:val="22"/>
          <w:vertAlign w:val="subscript"/>
        </w:rPr>
        <w:t>2</w:t>
      </w:r>
      <w:r w:rsidRPr="008870C0">
        <w:rPr>
          <w:i/>
          <w:iCs/>
          <w:sz w:val="22"/>
          <w:szCs w:val="22"/>
        </w:rPr>
        <w:t>O Emissions</w:t>
      </w:r>
      <w:r w:rsidRPr="008870C0">
        <w:rPr>
          <w:sz w:val="22"/>
          <w:szCs w:val="22"/>
        </w:rPr>
        <w:t>= Σ</w:t>
      </w:r>
      <w:r w:rsidRPr="008870C0">
        <w:rPr>
          <w:i/>
          <w:iCs/>
          <w:sz w:val="22"/>
          <w:szCs w:val="22"/>
          <w:vertAlign w:val="subscript"/>
        </w:rPr>
        <w:t>i</w:t>
      </w:r>
      <w:r w:rsidRPr="008870C0">
        <w:rPr>
          <w:i/>
          <w:iCs/>
          <w:sz w:val="22"/>
          <w:szCs w:val="22"/>
        </w:rPr>
        <w:t xml:space="preserve"> (Q</w:t>
      </w:r>
      <w:r w:rsidRPr="008870C0">
        <w:rPr>
          <w:i/>
          <w:iCs/>
          <w:sz w:val="22"/>
          <w:szCs w:val="22"/>
          <w:vertAlign w:val="subscript"/>
        </w:rPr>
        <w:t>i</w:t>
      </w:r>
      <w:r w:rsidRPr="008870C0">
        <w:rPr>
          <w:iCs/>
          <w:sz w:val="22"/>
          <w:szCs w:val="22"/>
        </w:rPr>
        <w:t xml:space="preserve"> x</w:t>
      </w:r>
      <w:r w:rsidRPr="008870C0">
        <w:rPr>
          <w:i/>
          <w:iCs/>
          <w:sz w:val="22"/>
          <w:szCs w:val="22"/>
        </w:rPr>
        <w:t xml:space="preserve"> EF</w:t>
      </w:r>
      <w:r w:rsidRPr="008870C0">
        <w:rPr>
          <w:i/>
          <w:iCs/>
          <w:sz w:val="22"/>
          <w:szCs w:val="22"/>
          <w:vertAlign w:val="subscript"/>
        </w:rPr>
        <w:t>i</w:t>
      </w:r>
      <w:r w:rsidRPr="008870C0">
        <w:rPr>
          <w:i/>
          <w:iCs/>
          <w:sz w:val="22"/>
          <w:szCs w:val="22"/>
        </w:rPr>
        <w:t>)</w:t>
      </w:r>
    </w:p>
    <w:p w14:paraId="2C2B0F80" w14:textId="77777777" w:rsidR="00010E2E" w:rsidRPr="008870C0" w:rsidRDefault="00010E2E">
      <w:pPr>
        <w:rPr>
          <w:i/>
          <w:iCs/>
          <w:sz w:val="22"/>
          <w:szCs w:val="22"/>
        </w:rPr>
      </w:pPr>
    </w:p>
    <w:p w14:paraId="0AFE75F3" w14:textId="77777777" w:rsidR="00010E2E" w:rsidRPr="008870C0" w:rsidRDefault="00010E2E">
      <w:pPr>
        <w:autoSpaceDE w:val="0"/>
        <w:autoSpaceDN w:val="0"/>
        <w:adjustRightInd w:val="0"/>
        <w:ind w:left="1077"/>
        <w:rPr>
          <w:sz w:val="22"/>
          <w:szCs w:val="22"/>
        </w:rPr>
      </w:pPr>
      <w:r w:rsidRPr="008870C0">
        <w:rPr>
          <w:sz w:val="22"/>
          <w:szCs w:val="22"/>
        </w:rPr>
        <w:t>where:</w:t>
      </w:r>
    </w:p>
    <w:p w14:paraId="5EFF9396" w14:textId="77777777" w:rsidR="00010E2E" w:rsidRPr="008870C0" w:rsidRDefault="00010E2E">
      <w:pPr>
        <w:autoSpaceDE w:val="0"/>
        <w:autoSpaceDN w:val="0"/>
        <w:adjustRightInd w:val="0"/>
        <w:ind w:left="1077"/>
        <w:rPr>
          <w:sz w:val="22"/>
          <w:szCs w:val="22"/>
        </w:rPr>
      </w:pPr>
    </w:p>
    <w:p w14:paraId="0DCDD70F" w14:textId="77777777" w:rsidR="00010E2E" w:rsidRPr="008870C0" w:rsidRDefault="00010E2E">
      <w:pPr>
        <w:autoSpaceDE w:val="0"/>
        <w:autoSpaceDN w:val="0"/>
        <w:adjustRightInd w:val="0"/>
        <w:spacing w:after="120"/>
        <w:ind w:left="1077"/>
        <w:rPr>
          <w:sz w:val="22"/>
          <w:szCs w:val="22"/>
        </w:rPr>
      </w:pPr>
      <w:r w:rsidRPr="008870C0">
        <w:rPr>
          <w:b/>
          <w:i/>
          <w:sz w:val="22"/>
          <w:szCs w:val="22"/>
        </w:rPr>
        <w:t>N</w:t>
      </w:r>
      <w:r w:rsidRPr="008870C0">
        <w:rPr>
          <w:b/>
          <w:i/>
          <w:sz w:val="22"/>
          <w:szCs w:val="22"/>
          <w:vertAlign w:val="subscript"/>
        </w:rPr>
        <w:t>2</w:t>
      </w:r>
      <w:r w:rsidRPr="008870C0">
        <w:rPr>
          <w:b/>
          <w:i/>
          <w:sz w:val="22"/>
          <w:szCs w:val="22"/>
        </w:rPr>
        <w:t>O</w:t>
      </w:r>
      <w:r w:rsidRPr="008870C0">
        <w:rPr>
          <w:sz w:val="22"/>
          <w:szCs w:val="22"/>
        </w:rPr>
        <w:t xml:space="preserve">  Emissions = total N</w:t>
      </w:r>
      <w:r w:rsidRPr="008870C0">
        <w:rPr>
          <w:sz w:val="22"/>
          <w:szCs w:val="22"/>
          <w:vertAlign w:val="subscript"/>
        </w:rPr>
        <w:t>2</w:t>
      </w:r>
      <w:r w:rsidRPr="008870C0">
        <w:rPr>
          <w:sz w:val="22"/>
          <w:szCs w:val="22"/>
        </w:rPr>
        <w:t>O emissions in inventory year, tonnes of CO</w:t>
      </w:r>
      <w:r w:rsidRPr="008870C0">
        <w:rPr>
          <w:sz w:val="22"/>
          <w:szCs w:val="22"/>
          <w:vertAlign w:val="subscript"/>
        </w:rPr>
        <w:t>2</w:t>
      </w:r>
      <w:r w:rsidRPr="008870C0">
        <w:rPr>
          <w:sz w:val="22"/>
          <w:szCs w:val="22"/>
        </w:rPr>
        <w:t xml:space="preserve">-e </w:t>
      </w:r>
    </w:p>
    <w:p w14:paraId="2CC00DB4" w14:textId="77777777" w:rsidR="00010E2E" w:rsidRPr="008870C0" w:rsidRDefault="00010E2E">
      <w:pPr>
        <w:autoSpaceDE w:val="0"/>
        <w:autoSpaceDN w:val="0"/>
        <w:adjustRightInd w:val="0"/>
        <w:spacing w:after="120"/>
        <w:ind w:left="1077"/>
        <w:rPr>
          <w:sz w:val="22"/>
          <w:szCs w:val="22"/>
        </w:rPr>
      </w:pPr>
      <w:r w:rsidRPr="008870C0">
        <w:rPr>
          <w:b/>
          <w:i/>
          <w:sz w:val="22"/>
          <w:szCs w:val="22"/>
        </w:rPr>
        <w:t>Q</w:t>
      </w:r>
      <w:r w:rsidRPr="008870C0">
        <w:rPr>
          <w:b/>
          <w:i/>
          <w:sz w:val="22"/>
          <w:szCs w:val="22"/>
          <w:vertAlign w:val="subscript"/>
        </w:rPr>
        <w:t>i</w:t>
      </w:r>
      <w:r w:rsidRPr="008870C0">
        <w:rPr>
          <w:b/>
          <w:i/>
          <w:sz w:val="22"/>
          <w:szCs w:val="22"/>
        </w:rPr>
        <w:t xml:space="preserve"> </w:t>
      </w:r>
      <w:r w:rsidRPr="008870C0">
        <w:rPr>
          <w:sz w:val="22"/>
          <w:szCs w:val="22"/>
        </w:rPr>
        <w:t>= mass of wet organic waste treated by biological treatment type i, tonnes</w:t>
      </w:r>
    </w:p>
    <w:p w14:paraId="5EDA6F28" w14:textId="77777777" w:rsidR="00010E2E" w:rsidRPr="008870C0" w:rsidRDefault="00010E2E">
      <w:pPr>
        <w:autoSpaceDE w:val="0"/>
        <w:autoSpaceDN w:val="0"/>
        <w:adjustRightInd w:val="0"/>
        <w:spacing w:after="120"/>
        <w:ind w:left="1077"/>
        <w:rPr>
          <w:sz w:val="22"/>
          <w:szCs w:val="22"/>
        </w:rPr>
      </w:pPr>
      <w:r w:rsidRPr="008870C0">
        <w:rPr>
          <w:b/>
          <w:i/>
          <w:sz w:val="22"/>
          <w:szCs w:val="22"/>
        </w:rPr>
        <w:t>EF</w:t>
      </w:r>
      <w:r w:rsidRPr="008870C0">
        <w:rPr>
          <w:sz w:val="22"/>
          <w:szCs w:val="22"/>
        </w:rPr>
        <w:t xml:space="preserve"> = emission factor for treatment i, tonnes of  CO</w:t>
      </w:r>
      <w:r w:rsidRPr="008870C0">
        <w:rPr>
          <w:sz w:val="22"/>
          <w:szCs w:val="22"/>
          <w:vertAlign w:val="subscript"/>
        </w:rPr>
        <w:t>2</w:t>
      </w:r>
      <w:r w:rsidRPr="008870C0">
        <w:rPr>
          <w:sz w:val="22"/>
          <w:szCs w:val="22"/>
        </w:rPr>
        <w:t>-e/tonnes of wet waste treated and equal to:</w:t>
      </w:r>
    </w:p>
    <w:p w14:paraId="7CE73748" w14:textId="55522627" w:rsidR="00010E2E" w:rsidRPr="008870C0" w:rsidRDefault="004219A3" w:rsidP="008F6129">
      <w:pPr>
        <w:numPr>
          <w:ilvl w:val="0"/>
          <w:numId w:val="11"/>
        </w:numPr>
        <w:tabs>
          <w:tab w:val="clear" w:pos="2166"/>
          <w:tab w:val="num" w:pos="600"/>
        </w:tabs>
        <w:autoSpaceDE w:val="0"/>
        <w:autoSpaceDN w:val="0"/>
        <w:adjustRightInd w:val="0"/>
        <w:spacing w:after="120"/>
        <w:ind w:left="1560" w:firstLine="0"/>
        <w:rPr>
          <w:sz w:val="22"/>
          <w:szCs w:val="22"/>
        </w:rPr>
      </w:pPr>
      <w:r>
        <w:rPr>
          <w:sz w:val="22"/>
          <w:szCs w:val="22"/>
        </w:rPr>
        <w:t>for composting: 0.</w:t>
      </w:r>
      <w:r w:rsidR="00E51BE6">
        <w:rPr>
          <w:sz w:val="22"/>
          <w:szCs w:val="22"/>
        </w:rPr>
        <w:t>002</w:t>
      </w:r>
    </w:p>
    <w:p w14:paraId="4D40B89F" w14:textId="77777777" w:rsidR="00010E2E" w:rsidRPr="008870C0" w:rsidRDefault="00010E2E" w:rsidP="008F6129">
      <w:pPr>
        <w:numPr>
          <w:ilvl w:val="0"/>
          <w:numId w:val="11"/>
        </w:numPr>
        <w:tabs>
          <w:tab w:val="clear" w:pos="2166"/>
          <w:tab w:val="num" w:pos="600"/>
        </w:tabs>
        <w:autoSpaceDE w:val="0"/>
        <w:autoSpaceDN w:val="0"/>
        <w:adjustRightInd w:val="0"/>
        <w:spacing w:after="120"/>
        <w:ind w:left="1560" w:firstLine="0"/>
        <w:rPr>
          <w:sz w:val="22"/>
          <w:szCs w:val="22"/>
        </w:rPr>
      </w:pPr>
      <w:r w:rsidRPr="008870C0">
        <w:rPr>
          <w:sz w:val="22"/>
          <w:szCs w:val="22"/>
        </w:rPr>
        <w:t>for anaerobic digestion: 0.0</w:t>
      </w:r>
    </w:p>
    <w:p w14:paraId="46F78227" w14:textId="77777777" w:rsidR="00010E2E" w:rsidRDefault="00010E2E">
      <w:pPr>
        <w:pStyle w:val="BodyText"/>
        <w:tabs>
          <w:tab w:val="left" w:pos="0"/>
          <w:tab w:val="left" w:pos="2250"/>
        </w:tabs>
        <w:spacing w:before="120" w:after="0" w:line="312" w:lineRule="auto"/>
        <w:rPr>
          <w:rFonts w:ascii="Arial" w:hAnsi="Arial" w:cs="Arial"/>
        </w:rPr>
      </w:pPr>
    </w:p>
    <w:p w14:paraId="2048FC92" w14:textId="77777777" w:rsidR="00010E2E" w:rsidRDefault="00010E2E">
      <w:pPr>
        <w:pStyle w:val="Heading2"/>
        <w:tabs>
          <w:tab w:val="left" w:pos="0"/>
          <w:tab w:val="left" w:pos="2250"/>
        </w:tabs>
        <w:spacing w:before="120" w:after="0" w:line="312" w:lineRule="auto"/>
        <w:rPr>
          <w:rFonts w:ascii="Arial" w:hAnsi="Arial" w:cs="Arial"/>
        </w:rPr>
      </w:pPr>
      <w:bookmarkStart w:id="112" w:name="_Toc69785189"/>
      <w:bookmarkStart w:id="113" w:name="_Toc75660557"/>
      <w:bookmarkStart w:id="114" w:name="_Toc76473874"/>
      <w:bookmarkStart w:id="115" w:name="_Toc120525221"/>
      <w:bookmarkStart w:id="116" w:name="_Toc121648157"/>
      <w:bookmarkStart w:id="117" w:name="_Toc142888301"/>
      <w:r>
        <w:rPr>
          <w:rFonts w:ascii="Arial" w:hAnsi="Arial" w:cs="Arial"/>
        </w:rPr>
        <w:t>Wastewater handling (domestic and commercial)</w:t>
      </w:r>
      <w:bookmarkEnd w:id="112"/>
      <w:bookmarkEnd w:id="113"/>
      <w:bookmarkEnd w:id="114"/>
      <w:bookmarkEnd w:id="115"/>
      <w:bookmarkEnd w:id="116"/>
      <w:bookmarkEnd w:id="117"/>
    </w:p>
    <w:p w14:paraId="2B0E1DD2" w14:textId="3562DED5" w:rsidR="00010E2E" w:rsidRDefault="00010E2E">
      <w:pPr>
        <w:pStyle w:val="BodyText"/>
        <w:tabs>
          <w:tab w:val="left" w:pos="-90"/>
          <w:tab w:val="left" w:pos="0"/>
        </w:tabs>
        <w:spacing w:before="120" w:line="312" w:lineRule="auto"/>
        <w:ind w:left="0"/>
        <w:rPr>
          <w:rFonts w:ascii="Arial" w:hAnsi="Arial" w:cs="Arial"/>
        </w:rPr>
      </w:pPr>
      <w:r>
        <w:rPr>
          <w:rFonts w:ascii="Arial" w:hAnsi="Arial" w:cs="Arial"/>
        </w:rPr>
        <w:t xml:space="preserve">Companies that own and operate wastewater treatment facilities and wish to calculate a scope 1 emissions estimate for this source, please refer to Chapter 5 – Part 5.3 of the </w:t>
      </w:r>
      <w:r w:rsidR="00710E95" w:rsidRPr="00710E95">
        <w:rPr>
          <w:rFonts w:ascii="Arial" w:hAnsi="Arial" w:cs="Arial"/>
          <w:i/>
        </w:rPr>
        <w:t xml:space="preserve">National Greenhouse and Energy Reporting (Measurement) Technical Guidelines </w:t>
      </w:r>
      <w:r>
        <w:rPr>
          <w:rFonts w:ascii="Arial" w:hAnsi="Arial" w:cs="Arial"/>
        </w:rPr>
        <w:t xml:space="preserve">for guidance.  </w:t>
      </w:r>
      <w:r>
        <w:rPr>
          <w:rFonts w:ascii="Arial" w:hAnsi="Arial"/>
        </w:rPr>
        <w:t xml:space="preserve">For companies wishing to calculate scope 3 emissions from the </w:t>
      </w:r>
      <w:r w:rsidR="00C92D98">
        <w:rPr>
          <w:rFonts w:ascii="Arial" w:hAnsi="Arial"/>
        </w:rPr>
        <w:t xml:space="preserve">treatment </w:t>
      </w:r>
      <w:r>
        <w:rPr>
          <w:rFonts w:ascii="Arial" w:hAnsi="Arial"/>
        </w:rPr>
        <w:t>of their waste outside the organisation boundaries (eg, waste disposed to municipal treatment works)</w:t>
      </w:r>
      <w:r>
        <w:rPr>
          <w:rFonts w:ascii="Arial" w:hAnsi="Arial" w:cs="Arial"/>
        </w:rPr>
        <w:t>, please refer to Appendix 4 of this workbook.</w:t>
      </w:r>
    </w:p>
    <w:p w14:paraId="579ABE48" w14:textId="77777777" w:rsidR="00903C27" w:rsidRDefault="00010E2E" w:rsidP="00903C27">
      <w:pPr>
        <w:pStyle w:val="Heading2"/>
        <w:tabs>
          <w:tab w:val="left" w:pos="0"/>
          <w:tab w:val="left" w:pos="2250"/>
        </w:tabs>
        <w:spacing w:before="120" w:after="0" w:line="312" w:lineRule="auto"/>
        <w:rPr>
          <w:rFonts w:ascii="Arial" w:hAnsi="Arial" w:cs="Arial"/>
        </w:rPr>
      </w:pPr>
      <w:bookmarkStart w:id="118" w:name="_Toc69785190"/>
      <w:bookmarkStart w:id="119" w:name="_Toc75660558"/>
      <w:bookmarkStart w:id="120" w:name="_Toc76473875"/>
      <w:bookmarkStart w:id="121" w:name="_Toc120525222"/>
      <w:bookmarkStart w:id="122" w:name="_Toc121648158"/>
      <w:bookmarkStart w:id="123" w:name="_Toc142888302"/>
      <w:r>
        <w:rPr>
          <w:rFonts w:ascii="Arial" w:hAnsi="Arial" w:cs="Arial"/>
        </w:rPr>
        <w:t>Wastewater handling (Industrial) - wastewater treatment</w:t>
      </w:r>
      <w:bookmarkEnd w:id="118"/>
      <w:bookmarkEnd w:id="119"/>
      <w:bookmarkEnd w:id="120"/>
      <w:bookmarkEnd w:id="121"/>
      <w:bookmarkEnd w:id="122"/>
      <w:bookmarkEnd w:id="123"/>
    </w:p>
    <w:p w14:paraId="6682A473" w14:textId="77777777" w:rsidR="00010E2E" w:rsidRDefault="00010E2E">
      <w:pPr>
        <w:pStyle w:val="BodyText"/>
        <w:tabs>
          <w:tab w:val="left" w:pos="-90"/>
          <w:tab w:val="left" w:pos="0"/>
        </w:tabs>
        <w:spacing w:before="120" w:line="312" w:lineRule="auto"/>
        <w:ind w:left="0"/>
        <w:rPr>
          <w:rFonts w:ascii="Arial" w:hAnsi="Arial" w:cs="Arial"/>
        </w:rPr>
      </w:pPr>
      <w:r>
        <w:rPr>
          <w:rFonts w:ascii="Arial" w:hAnsi="Arial" w:cs="Arial"/>
        </w:rPr>
        <w:t xml:space="preserve">For companies that treat industrial wastewater onsite and capture less than 75% of the estimated methane generated, the following equations can be used to calculate an emissions estimate from this source: </w:t>
      </w:r>
    </w:p>
    <w:p w14:paraId="3CEBB6E1" w14:textId="77777777" w:rsidR="00010E2E" w:rsidRPr="008870C0" w:rsidRDefault="00395A8B" w:rsidP="00DA0A7A">
      <w:pPr>
        <w:pStyle w:val="R2"/>
        <w:spacing w:before="240" w:after="240"/>
        <w:jc w:val="center"/>
        <w:rPr>
          <w:color w:val="000000"/>
          <w:sz w:val="22"/>
          <w:szCs w:val="22"/>
        </w:rPr>
      </w:pPr>
      <w:r w:rsidRPr="008870C0">
        <w:rPr>
          <w:color w:val="000000"/>
          <w:sz w:val="22"/>
          <w:szCs w:val="22"/>
        </w:rPr>
        <w:t>CH</w:t>
      </w:r>
      <w:r w:rsidRPr="008870C0">
        <w:rPr>
          <w:color w:val="000000"/>
          <w:sz w:val="22"/>
          <w:szCs w:val="22"/>
          <w:vertAlign w:val="subscript"/>
        </w:rPr>
        <w:t>4gen</w:t>
      </w:r>
      <w:r w:rsidRPr="008870C0">
        <w:rPr>
          <w:color w:val="000000"/>
          <w:sz w:val="22"/>
          <w:szCs w:val="22"/>
        </w:rPr>
        <w:t xml:space="preserve"> = {[(</w:t>
      </w:r>
      <w:r w:rsidRPr="008870C0">
        <w:rPr>
          <w:color w:val="000000"/>
          <w:sz w:val="22"/>
          <w:szCs w:val="22"/>
        </w:rPr>
        <w:sym w:font="Symbol" w:char="F0E5"/>
      </w:r>
      <w:r w:rsidRPr="008870C0">
        <w:rPr>
          <w:color w:val="000000"/>
          <w:sz w:val="22"/>
          <w:szCs w:val="22"/>
        </w:rPr>
        <w:t>COD</w:t>
      </w:r>
      <w:r w:rsidRPr="008870C0">
        <w:rPr>
          <w:color w:val="000000"/>
          <w:sz w:val="22"/>
          <w:szCs w:val="22"/>
          <w:vertAlign w:val="subscript"/>
        </w:rPr>
        <w:t>wi</w:t>
      </w:r>
      <w:r w:rsidRPr="008870C0">
        <w:rPr>
          <w:color w:val="000000"/>
          <w:sz w:val="22"/>
          <w:szCs w:val="22"/>
        </w:rPr>
        <w:t xml:space="preserve"> – COD</w:t>
      </w:r>
      <w:r w:rsidRPr="008870C0">
        <w:rPr>
          <w:color w:val="000000"/>
          <w:sz w:val="22"/>
          <w:szCs w:val="22"/>
          <w:vertAlign w:val="subscript"/>
        </w:rPr>
        <w:t>sl</w:t>
      </w:r>
      <w:r w:rsidRPr="008870C0">
        <w:rPr>
          <w:color w:val="000000"/>
          <w:sz w:val="22"/>
          <w:szCs w:val="22"/>
        </w:rPr>
        <w:t xml:space="preserve"> - COD</w:t>
      </w:r>
      <w:r w:rsidRPr="008870C0">
        <w:rPr>
          <w:color w:val="000000"/>
          <w:sz w:val="22"/>
          <w:szCs w:val="22"/>
          <w:vertAlign w:val="subscript"/>
        </w:rPr>
        <w:t>eff</w:t>
      </w:r>
      <w:r w:rsidRPr="008870C0">
        <w:rPr>
          <w:color w:val="000000"/>
          <w:sz w:val="22"/>
          <w:szCs w:val="22"/>
        </w:rPr>
        <w:t>) x (MCF</w:t>
      </w:r>
      <w:r w:rsidRPr="008870C0">
        <w:rPr>
          <w:color w:val="000000"/>
          <w:sz w:val="22"/>
          <w:szCs w:val="22"/>
          <w:vertAlign w:val="subscript"/>
        </w:rPr>
        <w:t>ww</w:t>
      </w:r>
      <w:r w:rsidRPr="008870C0">
        <w:rPr>
          <w:color w:val="000000"/>
          <w:sz w:val="22"/>
          <w:szCs w:val="22"/>
        </w:rPr>
        <w:t xml:space="preserve"> x EF </w:t>
      </w:r>
      <w:r w:rsidRPr="008870C0">
        <w:rPr>
          <w:color w:val="000000"/>
          <w:sz w:val="22"/>
          <w:szCs w:val="22"/>
          <w:vertAlign w:val="subscript"/>
        </w:rPr>
        <w:t>wij</w:t>
      </w:r>
      <w:r w:rsidRPr="008870C0">
        <w:rPr>
          <w:color w:val="000000"/>
          <w:sz w:val="22"/>
          <w:szCs w:val="22"/>
        </w:rPr>
        <w:t>)] + [(COD</w:t>
      </w:r>
      <w:r w:rsidRPr="008870C0">
        <w:rPr>
          <w:color w:val="000000"/>
          <w:sz w:val="22"/>
          <w:szCs w:val="22"/>
          <w:vertAlign w:val="subscript"/>
        </w:rPr>
        <w:t>sl</w:t>
      </w:r>
      <w:r w:rsidRPr="008870C0">
        <w:rPr>
          <w:color w:val="000000"/>
          <w:sz w:val="22"/>
          <w:szCs w:val="22"/>
        </w:rPr>
        <w:t xml:space="preserve"> – COD</w:t>
      </w:r>
      <w:r w:rsidRPr="008870C0">
        <w:rPr>
          <w:color w:val="000000"/>
          <w:sz w:val="22"/>
          <w:szCs w:val="22"/>
          <w:vertAlign w:val="subscript"/>
        </w:rPr>
        <w:t>trl</w:t>
      </w:r>
      <w:r w:rsidRPr="008870C0">
        <w:rPr>
          <w:color w:val="000000"/>
          <w:sz w:val="22"/>
          <w:szCs w:val="22"/>
        </w:rPr>
        <w:t xml:space="preserve"> – COD</w:t>
      </w:r>
      <w:r w:rsidRPr="008870C0">
        <w:rPr>
          <w:color w:val="000000"/>
          <w:sz w:val="22"/>
          <w:szCs w:val="22"/>
          <w:vertAlign w:val="subscript"/>
        </w:rPr>
        <w:t>tro</w:t>
      </w:r>
      <w:r w:rsidRPr="008870C0">
        <w:rPr>
          <w:color w:val="000000"/>
          <w:sz w:val="22"/>
          <w:szCs w:val="22"/>
        </w:rPr>
        <w:t>) x MCF</w:t>
      </w:r>
      <w:r w:rsidRPr="008870C0">
        <w:rPr>
          <w:color w:val="000000"/>
          <w:sz w:val="22"/>
          <w:szCs w:val="22"/>
          <w:vertAlign w:val="subscript"/>
        </w:rPr>
        <w:t>sl</w:t>
      </w:r>
      <w:r w:rsidRPr="008870C0">
        <w:rPr>
          <w:color w:val="000000"/>
          <w:sz w:val="22"/>
          <w:szCs w:val="22"/>
        </w:rPr>
        <w:t xml:space="preserve"> x EF</w:t>
      </w:r>
      <w:r w:rsidRPr="008870C0">
        <w:rPr>
          <w:color w:val="000000"/>
          <w:sz w:val="22"/>
          <w:szCs w:val="22"/>
          <w:vertAlign w:val="subscript"/>
        </w:rPr>
        <w:t>slij</w:t>
      </w:r>
      <w:r w:rsidRPr="008870C0">
        <w:rPr>
          <w:color w:val="000000"/>
          <w:sz w:val="22"/>
          <w:szCs w:val="22"/>
        </w:rPr>
        <w:t>]}- γ(Q</w:t>
      </w:r>
      <w:r w:rsidRPr="008870C0">
        <w:rPr>
          <w:color w:val="000000"/>
          <w:sz w:val="22"/>
          <w:szCs w:val="22"/>
          <w:vertAlign w:val="subscript"/>
        </w:rPr>
        <w:t>total</w:t>
      </w:r>
      <w:r w:rsidRPr="008870C0">
        <w:rPr>
          <w:color w:val="000000"/>
          <w:sz w:val="22"/>
          <w:szCs w:val="22"/>
        </w:rPr>
        <w:t>)</w:t>
      </w:r>
    </w:p>
    <w:p w14:paraId="39D3AD2E" w14:textId="77777777" w:rsidR="00010E2E" w:rsidRPr="008870C0" w:rsidRDefault="00010E2E">
      <w:pPr>
        <w:pStyle w:val="Rc"/>
        <w:rPr>
          <w:color w:val="000000"/>
          <w:sz w:val="22"/>
          <w:szCs w:val="22"/>
        </w:rPr>
      </w:pPr>
      <w:r w:rsidRPr="008870C0">
        <w:rPr>
          <w:color w:val="000000"/>
          <w:sz w:val="22"/>
          <w:szCs w:val="22"/>
        </w:rPr>
        <w:t>where:</w:t>
      </w:r>
    </w:p>
    <w:p w14:paraId="08A79694" w14:textId="77777777" w:rsidR="00010E2E" w:rsidRPr="008870C0" w:rsidRDefault="00010E2E">
      <w:pPr>
        <w:pStyle w:val="definition"/>
        <w:rPr>
          <w:color w:val="000000"/>
          <w:sz w:val="22"/>
          <w:szCs w:val="22"/>
        </w:rPr>
      </w:pPr>
      <w:r w:rsidRPr="008870C0">
        <w:rPr>
          <w:b/>
          <w:i/>
          <w:color w:val="000000"/>
          <w:sz w:val="22"/>
          <w:szCs w:val="22"/>
        </w:rPr>
        <w:t>CH</w:t>
      </w:r>
      <w:r w:rsidRPr="008870C0">
        <w:rPr>
          <w:b/>
          <w:i/>
          <w:color w:val="000000"/>
          <w:sz w:val="22"/>
          <w:szCs w:val="22"/>
          <w:vertAlign w:val="subscript"/>
        </w:rPr>
        <w:t>4gen</w:t>
      </w:r>
      <w:r w:rsidRPr="008870C0">
        <w:rPr>
          <w:b/>
          <w:i/>
          <w:color w:val="000000"/>
          <w:sz w:val="22"/>
          <w:szCs w:val="22"/>
        </w:rPr>
        <w:t xml:space="preserve"> </w:t>
      </w:r>
      <w:r w:rsidRPr="008870C0">
        <w:rPr>
          <w:color w:val="000000"/>
          <w:sz w:val="22"/>
          <w:szCs w:val="22"/>
        </w:rPr>
        <w:t>is the annual methane emissions from the on-site treatment of industrial wastewater in tonnes</w:t>
      </w:r>
    </w:p>
    <w:p w14:paraId="20486F94" w14:textId="77777777" w:rsidR="00010E2E" w:rsidRPr="008870C0" w:rsidRDefault="00010E2E">
      <w:pPr>
        <w:pStyle w:val="definition"/>
        <w:rPr>
          <w:rStyle w:val="Subscript"/>
          <w:color w:val="000000"/>
          <w:sz w:val="22"/>
          <w:szCs w:val="22"/>
        </w:rPr>
      </w:pPr>
      <w:r w:rsidRPr="008870C0">
        <w:rPr>
          <w:b/>
          <w:i/>
          <w:color w:val="000000"/>
          <w:sz w:val="22"/>
          <w:szCs w:val="22"/>
        </w:rPr>
        <w:t>Σ</w:t>
      </w:r>
      <w:r w:rsidRPr="008870C0">
        <w:rPr>
          <w:rStyle w:val="Subscript"/>
          <w:b/>
          <w:i/>
          <w:color w:val="000000"/>
          <w:sz w:val="22"/>
          <w:szCs w:val="22"/>
        </w:rPr>
        <w:t>w,i</w:t>
      </w:r>
      <w:r w:rsidRPr="008870C0">
        <w:rPr>
          <w:color w:val="000000"/>
          <w:sz w:val="22"/>
          <w:szCs w:val="22"/>
        </w:rPr>
        <w:t xml:space="preserve"> is the total </w:t>
      </w:r>
      <w:r w:rsidRPr="008870C0">
        <w:rPr>
          <w:b/>
          <w:i/>
          <w:color w:val="000000"/>
          <w:sz w:val="22"/>
          <w:szCs w:val="22"/>
        </w:rPr>
        <w:t>COD</w:t>
      </w:r>
      <w:r w:rsidRPr="008870C0">
        <w:rPr>
          <w:rStyle w:val="Subscript"/>
          <w:b/>
          <w:i/>
          <w:color w:val="000000"/>
          <w:sz w:val="22"/>
          <w:szCs w:val="22"/>
        </w:rPr>
        <w:t>w,i</w:t>
      </w:r>
      <w:r w:rsidRPr="008870C0">
        <w:rPr>
          <w:rStyle w:val="Subscript"/>
          <w:color w:val="000000"/>
          <w:sz w:val="22"/>
          <w:szCs w:val="22"/>
        </w:rPr>
        <w:t xml:space="preserve"> </w:t>
      </w:r>
      <w:r w:rsidRPr="008870C0">
        <w:rPr>
          <w:rStyle w:val="Subscript"/>
          <w:color w:val="000000"/>
          <w:sz w:val="22"/>
          <w:szCs w:val="22"/>
          <w:vertAlign w:val="baseline"/>
        </w:rPr>
        <w:t>of wastewater entering the plant.</w:t>
      </w:r>
    </w:p>
    <w:p w14:paraId="15ED4301" w14:textId="77777777" w:rsidR="00010E2E" w:rsidRPr="008870C0" w:rsidRDefault="00010E2E">
      <w:pPr>
        <w:pStyle w:val="definition"/>
        <w:rPr>
          <w:color w:val="000000"/>
          <w:sz w:val="22"/>
          <w:szCs w:val="22"/>
        </w:rPr>
      </w:pPr>
      <w:r w:rsidRPr="008870C0">
        <w:rPr>
          <w:b/>
          <w:i/>
          <w:color w:val="000000"/>
          <w:sz w:val="22"/>
          <w:szCs w:val="22"/>
        </w:rPr>
        <w:t>COD</w:t>
      </w:r>
      <w:r w:rsidRPr="008870C0">
        <w:rPr>
          <w:rStyle w:val="Subscript"/>
          <w:b/>
          <w:i/>
          <w:color w:val="000000"/>
          <w:sz w:val="22"/>
          <w:szCs w:val="22"/>
        </w:rPr>
        <w:t>w,i</w:t>
      </w:r>
      <w:r w:rsidRPr="008870C0">
        <w:rPr>
          <w:color w:val="000000"/>
          <w:sz w:val="22"/>
          <w:szCs w:val="22"/>
        </w:rPr>
        <w:t xml:space="preserve"> is the COD in wastewater entering the plant related to the production by the plant of the commodities listed in Table 2</w:t>
      </w:r>
      <w:r w:rsidR="00D56BFE">
        <w:rPr>
          <w:color w:val="000000"/>
          <w:sz w:val="22"/>
          <w:szCs w:val="22"/>
        </w:rPr>
        <w:t>6</w:t>
      </w:r>
      <w:r w:rsidRPr="008870C0">
        <w:rPr>
          <w:color w:val="000000"/>
          <w:sz w:val="22"/>
          <w:szCs w:val="22"/>
        </w:rPr>
        <w:t xml:space="preserve"> during the year measured in tonnes of COD. Where facility-specific data are available on COD quantities, these should be used.  Where these data are not available the following equation together with the default values in </w:t>
      </w:r>
      <w:r w:rsidR="005443A8" w:rsidRPr="008870C0">
        <w:rPr>
          <w:color w:val="000000"/>
          <w:sz w:val="22"/>
          <w:szCs w:val="22"/>
        </w:rPr>
        <w:t>T</w:t>
      </w:r>
      <w:r w:rsidRPr="008870C0">
        <w:rPr>
          <w:color w:val="000000"/>
          <w:sz w:val="22"/>
          <w:szCs w:val="22"/>
        </w:rPr>
        <w:t xml:space="preserve">able </w:t>
      </w:r>
      <w:r w:rsidR="004D364E" w:rsidRPr="008870C0">
        <w:rPr>
          <w:color w:val="000000"/>
          <w:sz w:val="22"/>
          <w:szCs w:val="22"/>
        </w:rPr>
        <w:t>2</w:t>
      </w:r>
      <w:r w:rsidR="00D56BFE">
        <w:rPr>
          <w:color w:val="000000"/>
          <w:sz w:val="22"/>
          <w:szCs w:val="22"/>
        </w:rPr>
        <w:t>6</w:t>
      </w:r>
      <w:r w:rsidR="004D364E" w:rsidRPr="008870C0">
        <w:rPr>
          <w:color w:val="000000"/>
          <w:sz w:val="22"/>
          <w:szCs w:val="22"/>
        </w:rPr>
        <w:t xml:space="preserve"> </w:t>
      </w:r>
      <w:r w:rsidRPr="008870C0">
        <w:rPr>
          <w:color w:val="000000"/>
          <w:sz w:val="22"/>
          <w:szCs w:val="22"/>
        </w:rPr>
        <w:t>can be used:</w:t>
      </w:r>
    </w:p>
    <w:p w14:paraId="4A3046B8" w14:textId="77777777" w:rsidR="00010E2E" w:rsidRPr="008870C0" w:rsidRDefault="00010E2E">
      <w:pPr>
        <w:pStyle w:val="definition"/>
        <w:rPr>
          <w:color w:val="000000"/>
          <w:sz w:val="22"/>
          <w:szCs w:val="22"/>
        </w:rPr>
      </w:pPr>
    </w:p>
    <w:p w14:paraId="3915D404" w14:textId="77777777" w:rsidR="00010E2E" w:rsidRPr="008870C0" w:rsidRDefault="00CA4FB8">
      <w:pPr>
        <w:pStyle w:val="Formula"/>
        <w:rPr>
          <w:color w:val="000000"/>
          <w:sz w:val="22"/>
          <w:szCs w:val="22"/>
        </w:rPr>
      </w:pPr>
      <w:r>
        <w:rPr>
          <w:color w:val="000000"/>
          <w:position w:val="-24"/>
          <w:sz w:val="22"/>
          <w:szCs w:val="22"/>
        </w:rPr>
        <w:pict w14:anchorId="1957B085">
          <v:shape id="_x0000_i1069" type="#_x0000_t75" style="width:186pt;height:33.75pt">
            <v:imagedata r:id="rId68" o:title=""/>
          </v:shape>
        </w:pict>
      </w:r>
    </w:p>
    <w:p w14:paraId="157368C2" w14:textId="77777777" w:rsidR="00010E2E" w:rsidRPr="008870C0" w:rsidRDefault="00010E2E" w:rsidP="00DA0A7A">
      <w:pPr>
        <w:pStyle w:val="definition"/>
        <w:rPr>
          <w:color w:val="000000"/>
          <w:sz w:val="22"/>
          <w:szCs w:val="22"/>
        </w:rPr>
      </w:pPr>
      <w:r w:rsidRPr="008870C0">
        <w:rPr>
          <w:color w:val="000000"/>
          <w:sz w:val="22"/>
          <w:szCs w:val="22"/>
        </w:rPr>
        <w:t>where:</w:t>
      </w:r>
    </w:p>
    <w:p w14:paraId="0786A303" w14:textId="77777777" w:rsidR="00010E2E" w:rsidRPr="008870C0" w:rsidRDefault="00010E2E" w:rsidP="00DA0A7A">
      <w:pPr>
        <w:pStyle w:val="definition"/>
        <w:rPr>
          <w:color w:val="000000"/>
          <w:sz w:val="22"/>
          <w:szCs w:val="22"/>
        </w:rPr>
      </w:pPr>
      <w:r w:rsidRPr="008870C0">
        <w:rPr>
          <w:b/>
          <w:i/>
          <w:color w:val="000000"/>
          <w:sz w:val="22"/>
          <w:szCs w:val="22"/>
        </w:rPr>
        <w:t>Prod</w:t>
      </w:r>
      <w:r w:rsidRPr="008870C0">
        <w:rPr>
          <w:b/>
          <w:i/>
          <w:color w:val="000000"/>
          <w:sz w:val="22"/>
          <w:szCs w:val="22"/>
          <w:vertAlign w:val="subscript"/>
        </w:rPr>
        <w:t>i</w:t>
      </w:r>
      <w:r w:rsidRPr="008870C0">
        <w:rPr>
          <w:color w:val="000000"/>
          <w:sz w:val="22"/>
          <w:szCs w:val="22"/>
        </w:rPr>
        <w:t xml:space="preserve"> is the total production by the plant of each commodity during the year measured in tonnes.</w:t>
      </w:r>
    </w:p>
    <w:p w14:paraId="532856F9" w14:textId="77777777" w:rsidR="00010E2E" w:rsidRPr="008870C0" w:rsidRDefault="00010E2E" w:rsidP="00DA0A7A">
      <w:pPr>
        <w:pStyle w:val="definition"/>
        <w:rPr>
          <w:color w:val="000000"/>
          <w:sz w:val="22"/>
          <w:szCs w:val="22"/>
        </w:rPr>
      </w:pPr>
      <w:r w:rsidRPr="008870C0">
        <w:rPr>
          <w:b/>
          <w:i/>
          <w:color w:val="000000"/>
          <w:sz w:val="22"/>
          <w:szCs w:val="22"/>
        </w:rPr>
        <w:t>W</w:t>
      </w:r>
      <w:r w:rsidRPr="008870C0">
        <w:rPr>
          <w:b/>
          <w:i/>
          <w:color w:val="000000"/>
          <w:sz w:val="22"/>
          <w:szCs w:val="22"/>
          <w:vertAlign w:val="subscript"/>
        </w:rPr>
        <w:t>gen,i</w:t>
      </w:r>
      <w:r w:rsidRPr="008870C0">
        <w:rPr>
          <w:color w:val="000000"/>
          <w:sz w:val="22"/>
          <w:szCs w:val="22"/>
        </w:rPr>
        <w:t xml:space="preserve"> is the wastewater generation rate from the production of each commodity produced during the year and measured in cubic metres or kilolitres per tonne of commodity.</w:t>
      </w:r>
    </w:p>
    <w:p w14:paraId="4D9D60BA" w14:textId="77777777" w:rsidR="00010E2E" w:rsidRPr="008870C0" w:rsidRDefault="00010E2E" w:rsidP="00DA0A7A">
      <w:pPr>
        <w:pStyle w:val="definition"/>
        <w:spacing w:after="120"/>
        <w:rPr>
          <w:color w:val="000000"/>
          <w:sz w:val="22"/>
          <w:szCs w:val="22"/>
        </w:rPr>
      </w:pPr>
      <w:r w:rsidRPr="008870C0">
        <w:rPr>
          <w:b/>
          <w:i/>
          <w:color w:val="000000"/>
          <w:sz w:val="22"/>
          <w:szCs w:val="22"/>
        </w:rPr>
        <w:t>COD</w:t>
      </w:r>
      <w:r w:rsidRPr="008870C0">
        <w:rPr>
          <w:rStyle w:val="Subscript"/>
          <w:b/>
          <w:i/>
          <w:color w:val="000000"/>
          <w:sz w:val="22"/>
          <w:szCs w:val="22"/>
        </w:rPr>
        <w:t>con,i</w:t>
      </w:r>
      <w:r w:rsidRPr="008870C0">
        <w:rPr>
          <w:i/>
          <w:color w:val="000000"/>
          <w:sz w:val="22"/>
          <w:szCs w:val="22"/>
        </w:rPr>
        <w:t xml:space="preserve"> </w:t>
      </w:r>
      <w:r w:rsidRPr="008870C0">
        <w:rPr>
          <w:color w:val="000000"/>
          <w:sz w:val="22"/>
          <w:szCs w:val="22"/>
        </w:rPr>
        <w:t xml:space="preserve">is the COD concentration in kilograms of COD per cubic metre of wastewater entering the plant during the year from the production of each commodity (defaults by commodity type are listed in </w:t>
      </w:r>
      <w:r w:rsidR="005443A8" w:rsidRPr="008870C0">
        <w:rPr>
          <w:color w:val="000000"/>
          <w:sz w:val="22"/>
          <w:szCs w:val="22"/>
        </w:rPr>
        <w:t>T</w:t>
      </w:r>
      <w:r w:rsidRPr="008870C0">
        <w:rPr>
          <w:color w:val="000000"/>
          <w:sz w:val="22"/>
          <w:szCs w:val="22"/>
        </w:rPr>
        <w:t xml:space="preserve">able </w:t>
      </w:r>
      <w:r w:rsidR="004D364E" w:rsidRPr="008870C0">
        <w:rPr>
          <w:color w:val="000000"/>
          <w:sz w:val="22"/>
          <w:szCs w:val="22"/>
        </w:rPr>
        <w:t>2</w:t>
      </w:r>
      <w:r w:rsidR="00D56BFE">
        <w:rPr>
          <w:color w:val="000000"/>
          <w:sz w:val="22"/>
          <w:szCs w:val="22"/>
        </w:rPr>
        <w:t>6</w:t>
      </w:r>
      <w:r w:rsidR="004D364E" w:rsidRPr="008870C0">
        <w:rPr>
          <w:color w:val="000000"/>
          <w:sz w:val="22"/>
          <w:szCs w:val="22"/>
        </w:rPr>
        <w:t xml:space="preserve"> </w:t>
      </w:r>
      <w:r w:rsidRPr="008870C0">
        <w:rPr>
          <w:color w:val="000000"/>
          <w:sz w:val="22"/>
          <w:szCs w:val="22"/>
        </w:rPr>
        <w:t>below).</w:t>
      </w:r>
    </w:p>
    <w:p w14:paraId="2994AA58" w14:textId="77777777" w:rsidR="00010E2E" w:rsidRPr="008870C0" w:rsidRDefault="00010E2E">
      <w:pPr>
        <w:pStyle w:val="definition"/>
        <w:ind w:left="900"/>
        <w:rPr>
          <w:color w:val="000000"/>
          <w:sz w:val="22"/>
          <w:szCs w:val="22"/>
        </w:rPr>
      </w:pPr>
      <w:r w:rsidRPr="008870C0">
        <w:rPr>
          <w:b/>
          <w:i/>
          <w:color w:val="000000"/>
          <w:sz w:val="22"/>
          <w:szCs w:val="22"/>
        </w:rPr>
        <w:t>COD</w:t>
      </w:r>
      <w:r w:rsidRPr="008870C0">
        <w:rPr>
          <w:rStyle w:val="Subscript"/>
          <w:b/>
          <w:i/>
          <w:color w:val="000000"/>
          <w:sz w:val="22"/>
          <w:szCs w:val="22"/>
        </w:rPr>
        <w:t>sl</w:t>
      </w:r>
      <w:r w:rsidRPr="008870C0">
        <w:rPr>
          <w:rStyle w:val="Subscript"/>
          <w:b/>
          <w:color w:val="000000"/>
          <w:sz w:val="22"/>
          <w:szCs w:val="22"/>
        </w:rPr>
        <w:t xml:space="preserve"> </w:t>
      </w:r>
      <w:r w:rsidRPr="008870C0">
        <w:rPr>
          <w:color w:val="000000"/>
          <w:sz w:val="22"/>
          <w:szCs w:val="22"/>
        </w:rPr>
        <w:t>is the quantity of COD removed as sludge from wastewater during the year measured in tonnes of COD</w:t>
      </w:r>
      <w:r w:rsidRPr="008870C0">
        <w:rPr>
          <w:b/>
          <w:i/>
          <w:color w:val="000000"/>
          <w:sz w:val="22"/>
          <w:szCs w:val="22"/>
        </w:rPr>
        <w:t xml:space="preserve">, </w:t>
      </w:r>
      <w:r w:rsidRPr="008870C0">
        <w:rPr>
          <w:color w:val="000000"/>
          <w:sz w:val="22"/>
          <w:szCs w:val="22"/>
        </w:rPr>
        <w:t>worked out as follows:</w:t>
      </w:r>
    </w:p>
    <w:p w14:paraId="4757C597" w14:textId="77777777" w:rsidR="00010E2E" w:rsidRPr="008870C0" w:rsidRDefault="00CA4FB8">
      <w:pPr>
        <w:pStyle w:val="Formula"/>
        <w:rPr>
          <w:color w:val="000000"/>
          <w:sz w:val="22"/>
          <w:szCs w:val="22"/>
        </w:rPr>
      </w:pPr>
      <w:r>
        <w:rPr>
          <w:color w:val="000000"/>
          <w:position w:val="-14"/>
          <w:sz w:val="22"/>
          <w:szCs w:val="22"/>
        </w:rPr>
        <w:pict w14:anchorId="541B9D55">
          <v:shape id="_x0000_i1070" type="#_x0000_t75" style="width:109.5pt;height:19.5pt">
            <v:imagedata r:id="rId69" o:title=""/>
          </v:shape>
        </w:pict>
      </w:r>
    </w:p>
    <w:p w14:paraId="0D44009C" w14:textId="77777777" w:rsidR="00010E2E" w:rsidRPr="008870C0" w:rsidRDefault="00010E2E" w:rsidP="00DA0A7A">
      <w:pPr>
        <w:pStyle w:val="ZRcN"/>
        <w:rPr>
          <w:sz w:val="22"/>
          <w:szCs w:val="22"/>
        </w:rPr>
      </w:pPr>
      <w:r w:rsidRPr="008870C0">
        <w:rPr>
          <w:sz w:val="22"/>
          <w:szCs w:val="22"/>
        </w:rPr>
        <w:t>where:</w:t>
      </w:r>
    </w:p>
    <w:p w14:paraId="04D8107B" w14:textId="77777777" w:rsidR="00010E2E" w:rsidRPr="008870C0" w:rsidRDefault="00010E2E" w:rsidP="00DA0A7A">
      <w:pPr>
        <w:pStyle w:val="definition"/>
        <w:rPr>
          <w:color w:val="000000"/>
          <w:sz w:val="22"/>
          <w:szCs w:val="22"/>
        </w:rPr>
      </w:pPr>
      <w:r w:rsidRPr="008870C0">
        <w:rPr>
          <w:b/>
          <w:i/>
          <w:color w:val="000000"/>
          <w:sz w:val="22"/>
          <w:szCs w:val="22"/>
        </w:rPr>
        <w:t>COD</w:t>
      </w:r>
      <w:r w:rsidRPr="008870C0">
        <w:rPr>
          <w:rStyle w:val="Subscript"/>
          <w:b/>
          <w:i/>
          <w:color w:val="000000"/>
          <w:sz w:val="22"/>
          <w:szCs w:val="22"/>
        </w:rPr>
        <w:t>w,i</w:t>
      </w:r>
      <w:r w:rsidRPr="008870C0">
        <w:rPr>
          <w:color w:val="000000"/>
          <w:sz w:val="22"/>
          <w:szCs w:val="22"/>
        </w:rPr>
        <w:t xml:space="preserve"> is the COD in wastewater entering the plant used in the production of each commodity during the year measured in tonnes of COD.</w:t>
      </w:r>
    </w:p>
    <w:p w14:paraId="6FFCEDD0" w14:textId="77777777" w:rsidR="00010E2E" w:rsidRPr="008870C0" w:rsidRDefault="00010E2E" w:rsidP="00DA0A7A">
      <w:pPr>
        <w:pStyle w:val="definition"/>
        <w:spacing w:after="120"/>
        <w:rPr>
          <w:color w:val="000000"/>
          <w:sz w:val="22"/>
          <w:szCs w:val="22"/>
        </w:rPr>
      </w:pPr>
      <w:r w:rsidRPr="008870C0">
        <w:rPr>
          <w:b/>
          <w:i/>
          <w:color w:val="000000"/>
          <w:sz w:val="22"/>
          <w:szCs w:val="22"/>
        </w:rPr>
        <w:t>F</w:t>
      </w:r>
      <w:r w:rsidRPr="008870C0">
        <w:rPr>
          <w:rStyle w:val="Subscript"/>
          <w:b/>
          <w:i/>
          <w:color w:val="000000"/>
          <w:sz w:val="22"/>
          <w:szCs w:val="22"/>
        </w:rPr>
        <w:t>sl</w:t>
      </w:r>
      <w:r w:rsidRPr="008870C0">
        <w:rPr>
          <w:i/>
          <w:color w:val="000000"/>
          <w:sz w:val="22"/>
          <w:szCs w:val="22"/>
        </w:rPr>
        <w:t xml:space="preserve"> </w:t>
      </w:r>
      <w:r w:rsidRPr="008870C0">
        <w:rPr>
          <w:color w:val="000000"/>
          <w:sz w:val="22"/>
          <w:szCs w:val="22"/>
        </w:rPr>
        <w:t>is the fraction of COD removed from wastewater as sludge by the plant during the year (in the absence of a plant-specific factor, the default value is 0.15).</w:t>
      </w:r>
    </w:p>
    <w:p w14:paraId="553C2811" w14:textId="77777777" w:rsidR="00395A8B" w:rsidRPr="008870C0" w:rsidRDefault="00395A8B" w:rsidP="00395A8B">
      <w:pPr>
        <w:pStyle w:val="definition"/>
        <w:rPr>
          <w:color w:val="000000"/>
          <w:sz w:val="22"/>
          <w:szCs w:val="22"/>
        </w:rPr>
      </w:pPr>
      <w:r w:rsidRPr="008870C0">
        <w:rPr>
          <w:b/>
          <w:i/>
          <w:color w:val="000000"/>
          <w:sz w:val="22"/>
          <w:szCs w:val="22"/>
        </w:rPr>
        <w:t>COD</w:t>
      </w:r>
      <w:r w:rsidRPr="008870C0">
        <w:rPr>
          <w:b/>
          <w:i/>
          <w:color w:val="000000"/>
          <w:sz w:val="22"/>
          <w:szCs w:val="22"/>
          <w:vertAlign w:val="subscript"/>
        </w:rPr>
        <w:t xml:space="preserve">eff </w:t>
      </w:r>
      <w:r w:rsidRPr="008870C0">
        <w:rPr>
          <w:b/>
          <w:color w:val="000000"/>
          <w:sz w:val="22"/>
          <w:szCs w:val="22"/>
        </w:rPr>
        <w:t xml:space="preserve"> </w:t>
      </w:r>
      <w:r w:rsidRPr="008870C0">
        <w:rPr>
          <w:color w:val="000000"/>
          <w:sz w:val="22"/>
          <w:szCs w:val="22"/>
        </w:rPr>
        <w:t>is the quantity of COD in effluent leaving the plant during the year</w:t>
      </w:r>
    </w:p>
    <w:p w14:paraId="7FD9F667" w14:textId="77777777" w:rsidR="00395A8B" w:rsidRPr="008870C0" w:rsidRDefault="00395A8B" w:rsidP="00395A8B">
      <w:pPr>
        <w:pStyle w:val="definition"/>
        <w:rPr>
          <w:b/>
          <w:color w:val="000000"/>
          <w:sz w:val="22"/>
          <w:szCs w:val="22"/>
        </w:rPr>
      </w:pPr>
      <w:r w:rsidRPr="008870C0">
        <w:rPr>
          <w:color w:val="000000"/>
          <w:sz w:val="22"/>
          <w:szCs w:val="22"/>
        </w:rPr>
        <w:t>measured in tonnes.</w:t>
      </w:r>
    </w:p>
    <w:p w14:paraId="67CED2A3" w14:textId="77777777" w:rsidR="00395A8B" w:rsidRPr="008870C0" w:rsidRDefault="00395A8B" w:rsidP="00395A8B">
      <w:pPr>
        <w:pStyle w:val="definition"/>
        <w:rPr>
          <w:color w:val="000000"/>
          <w:sz w:val="22"/>
          <w:szCs w:val="22"/>
        </w:rPr>
      </w:pPr>
      <w:r w:rsidRPr="008870C0">
        <w:rPr>
          <w:b/>
          <w:i/>
          <w:color w:val="000000"/>
          <w:sz w:val="22"/>
          <w:szCs w:val="22"/>
        </w:rPr>
        <w:t>MCF</w:t>
      </w:r>
      <w:r w:rsidRPr="008870C0">
        <w:rPr>
          <w:rStyle w:val="Subscript"/>
          <w:b/>
          <w:i/>
          <w:color w:val="000000"/>
          <w:sz w:val="22"/>
          <w:szCs w:val="22"/>
        </w:rPr>
        <w:t>ww</w:t>
      </w:r>
      <w:r w:rsidRPr="008870C0">
        <w:rPr>
          <w:color w:val="000000"/>
          <w:sz w:val="22"/>
          <w:szCs w:val="22"/>
        </w:rPr>
        <w:t xml:space="preserve"> is the fraction of COD in wastewater anaerobically treated by the plant during the year (defaults by commodity type are listed in </w:t>
      </w:r>
      <w:r w:rsidR="005443A8" w:rsidRPr="008870C0">
        <w:rPr>
          <w:color w:val="000000"/>
          <w:sz w:val="22"/>
          <w:szCs w:val="22"/>
        </w:rPr>
        <w:t>T</w:t>
      </w:r>
      <w:r w:rsidRPr="008870C0">
        <w:rPr>
          <w:color w:val="000000"/>
          <w:sz w:val="22"/>
          <w:szCs w:val="22"/>
        </w:rPr>
        <w:t>able 2</w:t>
      </w:r>
      <w:r w:rsidR="00D56BFE">
        <w:rPr>
          <w:color w:val="000000"/>
          <w:sz w:val="22"/>
          <w:szCs w:val="22"/>
        </w:rPr>
        <w:t>6</w:t>
      </w:r>
      <w:r w:rsidRPr="008870C0">
        <w:rPr>
          <w:color w:val="000000"/>
          <w:sz w:val="22"/>
          <w:szCs w:val="22"/>
        </w:rPr>
        <w:t xml:space="preserve"> below).</w:t>
      </w:r>
    </w:p>
    <w:p w14:paraId="0473B5EC" w14:textId="77777777" w:rsidR="00395A8B" w:rsidRPr="008870C0" w:rsidRDefault="00395A8B" w:rsidP="00395A8B">
      <w:pPr>
        <w:pStyle w:val="definition"/>
        <w:rPr>
          <w:color w:val="000000"/>
          <w:sz w:val="22"/>
          <w:szCs w:val="22"/>
        </w:rPr>
      </w:pPr>
      <w:r w:rsidRPr="008870C0">
        <w:rPr>
          <w:b/>
          <w:i/>
          <w:color w:val="000000"/>
          <w:sz w:val="22"/>
          <w:szCs w:val="22"/>
        </w:rPr>
        <w:t>EF</w:t>
      </w:r>
      <w:r w:rsidRPr="008870C0">
        <w:rPr>
          <w:rStyle w:val="Subscript"/>
          <w:b/>
          <w:i/>
          <w:color w:val="000000"/>
          <w:sz w:val="22"/>
          <w:szCs w:val="22"/>
        </w:rPr>
        <w:t>w ij</w:t>
      </w:r>
      <w:r w:rsidRPr="008870C0">
        <w:rPr>
          <w:color w:val="000000"/>
          <w:sz w:val="22"/>
          <w:szCs w:val="22"/>
        </w:rPr>
        <w:t xml:space="preserve"> is the methane emission factor for industrial wastewater (default is </w:t>
      </w:r>
      <w:r w:rsidR="00895257">
        <w:rPr>
          <w:color w:val="000000"/>
          <w:sz w:val="22"/>
          <w:szCs w:val="22"/>
        </w:rPr>
        <w:t>6</w:t>
      </w:r>
      <w:r w:rsidRPr="008870C0">
        <w:rPr>
          <w:color w:val="000000"/>
          <w:sz w:val="22"/>
          <w:szCs w:val="22"/>
        </w:rPr>
        <w:t>.3).</w:t>
      </w:r>
    </w:p>
    <w:p w14:paraId="6616D821" w14:textId="77777777" w:rsidR="00395A8B" w:rsidRPr="008870C0" w:rsidRDefault="00395A8B" w:rsidP="00395A8B">
      <w:pPr>
        <w:pStyle w:val="definition"/>
        <w:rPr>
          <w:color w:val="000000"/>
          <w:sz w:val="22"/>
          <w:szCs w:val="22"/>
        </w:rPr>
      </w:pPr>
      <w:r w:rsidRPr="008870C0">
        <w:rPr>
          <w:b/>
          <w:i/>
          <w:color w:val="000000"/>
          <w:sz w:val="22"/>
          <w:szCs w:val="22"/>
        </w:rPr>
        <w:t>COD</w:t>
      </w:r>
      <w:r w:rsidRPr="008870C0">
        <w:rPr>
          <w:b/>
          <w:i/>
          <w:color w:val="000000"/>
          <w:sz w:val="22"/>
          <w:szCs w:val="22"/>
          <w:vertAlign w:val="subscript"/>
        </w:rPr>
        <w:t>trl</w:t>
      </w:r>
      <w:r w:rsidRPr="008870C0">
        <w:rPr>
          <w:color w:val="000000"/>
          <w:sz w:val="22"/>
          <w:szCs w:val="22"/>
        </w:rPr>
        <w:t xml:space="preserve"> is the quantity of COD in sludge transferred out of the plant and removed to landfill during the year measured in tonnes of COD.</w:t>
      </w:r>
    </w:p>
    <w:p w14:paraId="156E4913" w14:textId="77777777" w:rsidR="00395A8B" w:rsidRPr="008870C0" w:rsidRDefault="00395A8B" w:rsidP="00395A8B">
      <w:pPr>
        <w:pStyle w:val="definition"/>
        <w:rPr>
          <w:color w:val="000000"/>
          <w:sz w:val="22"/>
          <w:szCs w:val="22"/>
        </w:rPr>
      </w:pPr>
      <w:r w:rsidRPr="008870C0">
        <w:rPr>
          <w:b/>
          <w:i/>
          <w:color w:val="000000"/>
          <w:sz w:val="22"/>
          <w:szCs w:val="22"/>
        </w:rPr>
        <w:t>COD</w:t>
      </w:r>
      <w:r w:rsidRPr="008870C0">
        <w:rPr>
          <w:b/>
          <w:i/>
          <w:color w:val="000000"/>
          <w:sz w:val="22"/>
          <w:szCs w:val="22"/>
          <w:vertAlign w:val="subscript"/>
        </w:rPr>
        <w:t>tro</w:t>
      </w:r>
      <w:r w:rsidRPr="008870C0">
        <w:rPr>
          <w:b/>
          <w:color w:val="000000"/>
          <w:sz w:val="22"/>
          <w:szCs w:val="22"/>
        </w:rPr>
        <w:t xml:space="preserve"> </w:t>
      </w:r>
      <w:r w:rsidRPr="008870C0">
        <w:rPr>
          <w:color w:val="000000"/>
          <w:sz w:val="22"/>
          <w:szCs w:val="22"/>
        </w:rPr>
        <w:t>is the quantity of COD in sludge transferred out of the plant and removed to a site other than landfill during the year measured in tonnes of COD.</w:t>
      </w:r>
    </w:p>
    <w:p w14:paraId="42F624A3" w14:textId="77777777" w:rsidR="00395A8B" w:rsidRPr="008870C0" w:rsidRDefault="00395A8B" w:rsidP="00395A8B">
      <w:pPr>
        <w:pStyle w:val="definition"/>
        <w:spacing w:line="240" w:lineRule="auto"/>
        <w:rPr>
          <w:color w:val="000000"/>
          <w:sz w:val="22"/>
          <w:szCs w:val="22"/>
        </w:rPr>
      </w:pPr>
      <w:r w:rsidRPr="008870C0">
        <w:rPr>
          <w:b/>
          <w:i/>
          <w:color w:val="000000"/>
          <w:sz w:val="22"/>
          <w:szCs w:val="22"/>
        </w:rPr>
        <w:t>MCF</w:t>
      </w:r>
      <w:r w:rsidRPr="008870C0">
        <w:rPr>
          <w:rStyle w:val="Subscript"/>
          <w:b/>
          <w:i/>
          <w:color w:val="000000"/>
          <w:sz w:val="22"/>
          <w:szCs w:val="22"/>
        </w:rPr>
        <w:t>sl</w:t>
      </w:r>
      <w:r w:rsidRPr="008870C0">
        <w:rPr>
          <w:i/>
          <w:color w:val="000000"/>
          <w:sz w:val="22"/>
          <w:szCs w:val="22"/>
        </w:rPr>
        <w:t xml:space="preserve"> </w:t>
      </w:r>
      <w:r w:rsidRPr="008870C0">
        <w:rPr>
          <w:color w:val="000000"/>
          <w:sz w:val="22"/>
          <w:szCs w:val="22"/>
        </w:rPr>
        <w:t>is the fraction of COD in sludge anaerobically treated by the plant during the year.</w:t>
      </w:r>
    </w:p>
    <w:p w14:paraId="77E846AC" w14:textId="77777777" w:rsidR="00010E2E" w:rsidRPr="008870C0" w:rsidRDefault="00010E2E">
      <w:pPr>
        <w:pStyle w:val="R2"/>
        <w:spacing w:before="240" w:after="240" w:line="240" w:lineRule="auto"/>
        <w:ind w:left="1928"/>
        <w:rPr>
          <w:color w:val="000000"/>
          <w:sz w:val="22"/>
          <w:szCs w:val="22"/>
        </w:rPr>
      </w:pPr>
      <w:r w:rsidRPr="008870C0">
        <w:rPr>
          <w:b/>
          <w:i/>
          <w:color w:val="000000"/>
          <w:sz w:val="22"/>
          <w:szCs w:val="22"/>
        </w:rPr>
        <w:t>EF</w:t>
      </w:r>
      <w:r w:rsidRPr="008870C0">
        <w:rPr>
          <w:rStyle w:val="Subscript"/>
          <w:b/>
          <w:i/>
          <w:color w:val="000000"/>
          <w:sz w:val="22"/>
          <w:szCs w:val="22"/>
        </w:rPr>
        <w:t>sl ij</w:t>
      </w:r>
      <w:r w:rsidRPr="008870C0">
        <w:rPr>
          <w:i/>
          <w:color w:val="000000"/>
          <w:sz w:val="22"/>
          <w:szCs w:val="22"/>
        </w:rPr>
        <w:t xml:space="preserve"> </w:t>
      </w:r>
      <w:r w:rsidRPr="008870C0">
        <w:rPr>
          <w:color w:val="000000"/>
          <w:sz w:val="22"/>
          <w:szCs w:val="22"/>
        </w:rPr>
        <w:t xml:space="preserve">is the methane emission factor for the treatment of sludge by the plant (default is </w:t>
      </w:r>
      <w:r w:rsidR="00895257">
        <w:rPr>
          <w:color w:val="000000"/>
          <w:sz w:val="22"/>
          <w:szCs w:val="22"/>
        </w:rPr>
        <w:t>6</w:t>
      </w:r>
      <w:r w:rsidRPr="008870C0">
        <w:rPr>
          <w:color w:val="000000"/>
          <w:sz w:val="22"/>
          <w:szCs w:val="22"/>
        </w:rPr>
        <w:t>.3).</w:t>
      </w:r>
    </w:p>
    <w:p w14:paraId="24EC1CF0" w14:textId="77777777" w:rsidR="00010E2E" w:rsidRPr="008870C0" w:rsidRDefault="00010E2E">
      <w:pPr>
        <w:pStyle w:val="R2"/>
        <w:spacing w:before="240" w:after="240" w:line="240" w:lineRule="auto"/>
        <w:ind w:left="900" w:firstLine="64"/>
        <w:rPr>
          <w:color w:val="000000"/>
          <w:sz w:val="22"/>
          <w:szCs w:val="22"/>
        </w:rPr>
      </w:pPr>
      <w:r w:rsidRPr="008870C0">
        <w:rPr>
          <w:b/>
          <w:i/>
          <w:color w:val="000000"/>
          <w:sz w:val="22"/>
          <w:szCs w:val="22"/>
        </w:rPr>
        <w:t>Q</w:t>
      </w:r>
      <w:r w:rsidRPr="008870C0">
        <w:rPr>
          <w:b/>
          <w:i/>
          <w:color w:val="000000"/>
          <w:sz w:val="22"/>
          <w:szCs w:val="22"/>
          <w:vertAlign w:val="subscript"/>
        </w:rPr>
        <w:t>total</w:t>
      </w:r>
      <w:r w:rsidRPr="008870C0">
        <w:rPr>
          <w:b/>
          <w:i/>
          <w:color w:val="000000"/>
          <w:sz w:val="22"/>
          <w:szCs w:val="22"/>
        </w:rPr>
        <w:t xml:space="preserve"> </w:t>
      </w:r>
      <w:r w:rsidRPr="008870C0">
        <w:rPr>
          <w:color w:val="000000"/>
          <w:sz w:val="22"/>
          <w:szCs w:val="22"/>
        </w:rPr>
        <w:t>is the quantity of methane captured for combustion, flaring or transfer off-site measured in cubic metres.</w:t>
      </w:r>
    </w:p>
    <w:p w14:paraId="111EDEC2" w14:textId="77777777" w:rsidR="00010E2E" w:rsidRPr="008870C0" w:rsidRDefault="00010E2E">
      <w:pPr>
        <w:pStyle w:val="R2"/>
        <w:spacing w:before="240" w:after="240" w:line="240" w:lineRule="auto"/>
        <w:ind w:left="900" w:firstLine="64"/>
        <w:rPr>
          <w:color w:val="000000"/>
          <w:sz w:val="22"/>
          <w:szCs w:val="22"/>
        </w:rPr>
      </w:pPr>
      <w:r w:rsidRPr="008870C0">
        <w:rPr>
          <w:b/>
          <w:i/>
          <w:color w:val="000000"/>
          <w:sz w:val="22"/>
          <w:szCs w:val="22"/>
        </w:rPr>
        <w:t xml:space="preserve">γ </w:t>
      </w:r>
      <w:r w:rsidRPr="008870C0">
        <w:rPr>
          <w:color w:val="000000"/>
          <w:sz w:val="22"/>
          <w:szCs w:val="22"/>
        </w:rPr>
        <w:t>is the factor 6.784 x 10</w:t>
      </w:r>
      <w:r w:rsidRPr="008870C0">
        <w:rPr>
          <w:color w:val="000000"/>
          <w:sz w:val="22"/>
          <w:szCs w:val="22"/>
          <w:vertAlign w:val="superscript"/>
        </w:rPr>
        <w:t xml:space="preserve">-4 </w:t>
      </w:r>
      <w:r w:rsidR="004D364E" w:rsidRPr="008870C0">
        <w:rPr>
          <w:color w:val="000000"/>
          <w:sz w:val="22"/>
          <w:szCs w:val="22"/>
        </w:rPr>
        <w:t xml:space="preserve">x </w:t>
      </w:r>
      <w:r w:rsidR="00895257" w:rsidRPr="008870C0">
        <w:rPr>
          <w:color w:val="000000"/>
          <w:sz w:val="22"/>
          <w:szCs w:val="22"/>
        </w:rPr>
        <w:t>2</w:t>
      </w:r>
      <w:r w:rsidR="00895257">
        <w:rPr>
          <w:color w:val="000000"/>
          <w:sz w:val="22"/>
          <w:szCs w:val="22"/>
        </w:rPr>
        <w:t>5</w:t>
      </w:r>
      <w:r w:rsidR="00895257" w:rsidRPr="008870C0">
        <w:rPr>
          <w:color w:val="000000"/>
          <w:sz w:val="22"/>
          <w:szCs w:val="22"/>
          <w:vertAlign w:val="superscript"/>
        </w:rPr>
        <w:t xml:space="preserve"> </w:t>
      </w:r>
      <w:r w:rsidRPr="008870C0">
        <w:rPr>
          <w:color w:val="000000"/>
          <w:sz w:val="22"/>
          <w:szCs w:val="22"/>
        </w:rPr>
        <w:t>converting cubic metres of methane at standard conditions to tonnes</w:t>
      </w:r>
    </w:p>
    <w:p w14:paraId="68547B76" w14:textId="77777777" w:rsidR="00010E2E" w:rsidRPr="002004FF" w:rsidRDefault="00010E2E" w:rsidP="002004FF">
      <w:pPr>
        <w:pStyle w:val="definition"/>
        <w:rPr>
          <w:color w:val="000000"/>
          <w:vertAlign w:val="subscript"/>
        </w:rPr>
      </w:pPr>
      <w:r>
        <w:rPr>
          <w:color w:val="000000"/>
        </w:rPr>
        <w:tab/>
      </w:r>
    </w:p>
    <w:p w14:paraId="17A4C01E" w14:textId="77777777" w:rsidR="0020202E" w:rsidRDefault="0020202E" w:rsidP="0020202E">
      <w:pPr>
        <w:pStyle w:val="definition"/>
        <w:ind w:left="0"/>
        <w:rPr>
          <w:color w:val="000000"/>
        </w:rPr>
      </w:pPr>
    </w:p>
    <w:p w14:paraId="73ACB2D5" w14:textId="77777777" w:rsidR="0020202E" w:rsidRDefault="0020202E">
      <w:pPr>
        <w:ind w:left="0"/>
        <w:rPr>
          <w:color w:val="000000"/>
          <w:sz w:val="24"/>
          <w:szCs w:val="24"/>
          <w:lang w:eastAsia="en-AU"/>
        </w:rPr>
      </w:pPr>
      <w:r>
        <w:rPr>
          <w:color w:val="000000"/>
        </w:rPr>
        <w:br w:type="page"/>
      </w:r>
    </w:p>
    <w:p w14:paraId="68FAD156" w14:textId="77777777" w:rsidR="00010E2E" w:rsidRDefault="00010E2E" w:rsidP="00914552">
      <w:pPr>
        <w:pStyle w:val="definition"/>
        <w:ind w:left="0"/>
        <w:rPr>
          <w:color w:val="000000"/>
          <w:vertAlign w:val="subscript"/>
        </w:rPr>
      </w:pPr>
    </w:p>
    <w:p w14:paraId="793DC248" w14:textId="77777777" w:rsidR="00D76245" w:rsidRDefault="00491D41" w:rsidP="00C23E3B">
      <w:pPr>
        <w:pStyle w:val="Caption"/>
      </w:pPr>
      <w:bookmarkStart w:id="124" w:name="_Toc391646711"/>
      <w:bookmarkStart w:id="125" w:name="_Toc485728134"/>
      <w:r>
        <w:t xml:space="preserve">Table </w:t>
      </w:r>
      <w:r w:rsidR="00DC52E0">
        <w:fldChar w:fldCharType="begin"/>
      </w:r>
      <w:r>
        <w:instrText xml:space="preserve"> SEQ Table \* ARABIC </w:instrText>
      </w:r>
      <w:r w:rsidR="00DC52E0">
        <w:fldChar w:fldCharType="separate"/>
      </w:r>
      <w:r w:rsidR="004A1330">
        <w:rPr>
          <w:noProof/>
        </w:rPr>
        <w:t>26</w:t>
      </w:r>
      <w:r w:rsidR="00DC52E0">
        <w:fldChar w:fldCharType="end"/>
      </w:r>
      <w:r w:rsidR="00010E2E">
        <w:t>: Default industrial wastewater treatment parameters by commodity type</w:t>
      </w:r>
      <w:bookmarkEnd w:id="124"/>
      <w:bookmarkEnd w:id="12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1560"/>
        <w:gridCol w:w="1680"/>
        <w:gridCol w:w="1701"/>
      </w:tblGrid>
      <w:tr w:rsidR="00010E2E" w14:paraId="7678F843" w14:textId="77777777" w:rsidTr="00DD4FF2">
        <w:trPr>
          <w:cantSplit/>
          <w:tblHeader/>
        </w:trPr>
        <w:tc>
          <w:tcPr>
            <w:tcW w:w="2618" w:type="dxa"/>
            <w:shd w:val="clear" w:color="auto" w:fill="CCCCCC"/>
            <w:vAlign w:val="center"/>
          </w:tcPr>
          <w:p w14:paraId="51532F87" w14:textId="77777777" w:rsidR="00010E2E" w:rsidRDefault="00010E2E" w:rsidP="00DD4FF2">
            <w:pPr>
              <w:pStyle w:val="TableColHead"/>
              <w:jc w:val="center"/>
              <w:rPr>
                <w:color w:val="000000"/>
              </w:rPr>
            </w:pPr>
            <w:r>
              <w:rPr>
                <w:color w:val="000000"/>
              </w:rPr>
              <w:t>Commodity</w:t>
            </w:r>
          </w:p>
        </w:tc>
        <w:tc>
          <w:tcPr>
            <w:tcW w:w="1560" w:type="dxa"/>
            <w:shd w:val="clear" w:color="auto" w:fill="CCCCCC"/>
            <w:vAlign w:val="center"/>
          </w:tcPr>
          <w:p w14:paraId="7F53331E" w14:textId="77777777" w:rsidR="00010E2E" w:rsidRDefault="00010E2E" w:rsidP="00DD4FF2">
            <w:pPr>
              <w:pStyle w:val="TableColHead"/>
              <w:jc w:val="center"/>
              <w:rPr>
                <w:color w:val="000000"/>
              </w:rPr>
            </w:pPr>
            <w:r>
              <w:rPr>
                <w:color w:val="000000"/>
              </w:rPr>
              <w:t>W</w:t>
            </w:r>
            <w:r>
              <w:rPr>
                <w:color w:val="000000"/>
                <w:vertAlign w:val="subscript"/>
              </w:rPr>
              <w:t>gen,i</w:t>
            </w:r>
            <w:r>
              <w:rPr>
                <w:color w:val="000000"/>
              </w:rPr>
              <w:t>,</w:t>
            </w:r>
          </w:p>
          <w:p w14:paraId="35DD0760" w14:textId="77777777" w:rsidR="00010E2E" w:rsidRDefault="00010E2E" w:rsidP="00DD4FF2">
            <w:pPr>
              <w:pStyle w:val="TableColHead"/>
              <w:jc w:val="center"/>
              <w:rPr>
                <w:color w:val="000000"/>
              </w:rPr>
            </w:pPr>
            <w:r>
              <w:rPr>
                <w:color w:val="000000"/>
              </w:rPr>
              <w:t>default value</w:t>
            </w:r>
          </w:p>
        </w:tc>
        <w:tc>
          <w:tcPr>
            <w:tcW w:w="1680" w:type="dxa"/>
            <w:shd w:val="clear" w:color="auto" w:fill="CCCCCC"/>
            <w:vAlign w:val="center"/>
          </w:tcPr>
          <w:p w14:paraId="7B70C2EA" w14:textId="77777777" w:rsidR="00010E2E" w:rsidRDefault="00010E2E" w:rsidP="00DD4FF2">
            <w:pPr>
              <w:pStyle w:val="TableColHead"/>
              <w:jc w:val="center"/>
              <w:rPr>
                <w:color w:val="000000"/>
              </w:rPr>
            </w:pPr>
            <w:r>
              <w:rPr>
                <w:color w:val="000000"/>
              </w:rPr>
              <w:t>COD</w:t>
            </w:r>
            <w:r>
              <w:rPr>
                <w:color w:val="000000"/>
                <w:vertAlign w:val="subscript"/>
              </w:rPr>
              <w:t>con,i</w:t>
            </w:r>
          </w:p>
          <w:p w14:paraId="2FF2916E" w14:textId="77777777" w:rsidR="00010E2E" w:rsidRDefault="00010E2E" w:rsidP="00DD4FF2">
            <w:pPr>
              <w:pStyle w:val="TableColHead"/>
              <w:jc w:val="center"/>
              <w:rPr>
                <w:color w:val="000000"/>
              </w:rPr>
            </w:pPr>
            <w:r>
              <w:rPr>
                <w:color w:val="000000"/>
              </w:rPr>
              <w:t>default value</w:t>
            </w:r>
          </w:p>
        </w:tc>
        <w:tc>
          <w:tcPr>
            <w:tcW w:w="1701" w:type="dxa"/>
            <w:shd w:val="clear" w:color="auto" w:fill="CCCCCC"/>
          </w:tcPr>
          <w:p w14:paraId="07C1FDB5" w14:textId="77777777" w:rsidR="00010E2E" w:rsidRDefault="00395A8B" w:rsidP="00395A8B">
            <w:pPr>
              <w:pStyle w:val="TableColHead"/>
              <w:jc w:val="center"/>
              <w:rPr>
                <w:color w:val="000000"/>
              </w:rPr>
            </w:pPr>
            <w:r>
              <w:rPr>
                <w:color w:val="000000"/>
              </w:rPr>
              <w:t>MCF</w:t>
            </w:r>
            <w:r>
              <w:rPr>
                <w:color w:val="000000"/>
                <w:vertAlign w:val="subscript"/>
              </w:rPr>
              <w:t>ww</w:t>
            </w:r>
          </w:p>
          <w:p w14:paraId="382ECCF1" w14:textId="77777777" w:rsidR="00010E2E" w:rsidRDefault="00010E2E" w:rsidP="005748E1">
            <w:pPr>
              <w:pStyle w:val="TableColHead"/>
              <w:jc w:val="center"/>
              <w:rPr>
                <w:color w:val="000000"/>
              </w:rPr>
            </w:pPr>
            <w:r>
              <w:rPr>
                <w:color w:val="000000"/>
              </w:rPr>
              <w:t>default value</w:t>
            </w:r>
          </w:p>
        </w:tc>
      </w:tr>
      <w:tr w:rsidR="00010E2E" w14:paraId="270DBC74" w14:textId="77777777" w:rsidTr="003E2C15">
        <w:trPr>
          <w:cantSplit/>
        </w:trPr>
        <w:tc>
          <w:tcPr>
            <w:tcW w:w="2618" w:type="dxa"/>
          </w:tcPr>
          <w:p w14:paraId="19D923D2" w14:textId="77777777" w:rsidR="00010E2E" w:rsidRDefault="00010E2E">
            <w:pPr>
              <w:pStyle w:val="TableText1"/>
              <w:rPr>
                <w:rFonts w:ascii="Arial" w:hAnsi="Arial" w:cs="Arial"/>
                <w:color w:val="000000"/>
                <w:sz w:val="18"/>
                <w:szCs w:val="18"/>
              </w:rPr>
            </w:pPr>
            <w:r>
              <w:rPr>
                <w:rFonts w:ascii="Arial" w:hAnsi="Arial" w:cs="Arial"/>
                <w:color w:val="000000"/>
                <w:sz w:val="18"/>
                <w:szCs w:val="18"/>
              </w:rPr>
              <w:t xml:space="preserve">Dairy </w:t>
            </w:r>
            <w:r w:rsidR="004D364E">
              <w:rPr>
                <w:rFonts w:ascii="Arial" w:hAnsi="Arial" w:cs="Arial"/>
                <w:color w:val="000000"/>
                <w:sz w:val="18"/>
                <w:szCs w:val="18"/>
              </w:rPr>
              <w:t>Product (ANZSIC code 113)</w:t>
            </w:r>
          </w:p>
        </w:tc>
        <w:tc>
          <w:tcPr>
            <w:tcW w:w="1560" w:type="dxa"/>
            <w:vAlign w:val="center"/>
          </w:tcPr>
          <w:p w14:paraId="3A3FDDF8"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5.7</w:t>
            </w:r>
          </w:p>
        </w:tc>
        <w:tc>
          <w:tcPr>
            <w:tcW w:w="1680" w:type="dxa"/>
            <w:vAlign w:val="center"/>
          </w:tcPr>
          <w:p w14:paraId="3F335327"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0.9</w:t>
            </w:r>
          </w:p>
        </w:tc>
        <w:tc>
          <w:tcPr>
            <w:tcW w:w="1701" w:type="dxa"/>
            <w:vAlign w:val="center"/>
          </w:tcPr>
          <w:p w14:paraId="2F09D3C3"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0.4</w:t>
            </w:r>
          </w:p>
        </w:tc>
      </w:tr>
      <w:tr w:rsidR="00010E2E" w14:paraId="72785A2A" w14:textId="77777777" w:rsidTr="003E2C15">
        <w:trPr>
          <w:cantSplit/>
        </w:trPr>
        <w:tc>
          <w:tcPr>
            <w:tcW w:w="2618" w:type="dxa"/>
          </w:tcPr>
          <w:p w14:paraId="55037519" w14:textId="77777777" w:rsidR="00010E2E" w:rsidRDefault="00010E2E">
            <w:pPr>
              <w:pStyle w:val="TableText1"/>
              <w:rPr>
                <w:rFonts w:ascii="Arial" w:hAnsi="Arial" w:cs="Arial"/>
                <w:color w:val="000000"/>
                <w:sz w:val="18"/>
                <w:szCs w:val="18"/>
              </w:rPr>
            </w:pPr>
            <w:r>
              <w:rPr>
                <w:rFonts w:ascii="Arial" w:hAnsi="Arial" w:cs="Arial"/>
                <w:color w:val="000000"/>
                <w:sz w:val="18"/>
                <w:szCs w:val="18"/>
              </w:rPr>
              <w:t>Pulp</w:t>
            </w:r>
            <w:r w:rsidR="004D364E">
              <w:rPr>
                <w:rFonts w:ascii="Arial" w:hAnsi="Arial" w:cs="Arial"/>
                <w:color w:val="000000"/>
                <w:sz w:val="18"/>
                <w:szCs w:val="18"/>
              </w:rPr>
              <w:t>,</w:t>
            </w:r>
            <w:r>
              <w:rPr>
                <w:rFonts w:ascii="Arial" w:hAnsi="Arial" w:cs="Arial"/>
                <w:color w:val="000000"/>
                <w:sz w:val="18"/>
                <w:szCs w:val="18"/>
              </w:rPr>
              <w:t>Paper</w:t>
            </w:r>
            <w:r w:rsidR="004D364E">
              <w:rPr>
                <w:rFonts w:ascii="Arial" w:hAnsi="Arial" w:cs="Arial"/>
                <w:color w:val="000000"/>
                <w:sz w:val="18"/>
                <w:szCs w:val="18"/>
              </w:rPr>
              <w:t xml:space="preserve"> and Paperboard (ANZSIC code 1510)</w:t>
            </w:r>
          </w:p>
        </w:tc>
        <w:tc>
          <w:tcPr>
            <w:tcW w:w="1560" w:type="dxa"/>
            <w:vAlign w:val="center"/>
          </w:tcPr>
          <w:p w14:paraId="00B01A73"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26.7</w:t>
            </w:r>
          </w:p>
        </w:tc>
        <w:tc>
          <w:tcPr>
            <w:tcW w:w="1680" w:type="dxa"/>
            <w:vAlign w:val="center"/>
          </w:tcPr>
          <w:p w14:paraId="7EF3637F"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0.4</w:t>
            </w:r>
          </w:p>
        </w:tc>
        <w:tc>
          <w:tcPr>
            <w:tcW w:w="1701" w:type="dxa"/>
            <w:vAlign w:val="center"/>
          </w:tcPr>
          <w:p w14:paraId="5A3D0868"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0.0</w:t>
            </w:r>
          </w:p>
        </w:tc>
      </w:tr>
      <w:tr w:rsidR="00010E2E" w14:paraId="41C4BA06" w14:textId="77777777" w:rsidTr="003E2C15">
        <w:trPr>
          <w:cantSplit/>
        </w:trPr>
        <w:tc>
          <w:tcPr>
            <w:tcW w:w="2618" w:type="dxa"/>
          </w:tcPr>
          <w:p w14:paraId="0E27FC0A" w14:textId="77777777" w:rsidR="00010E2E" w:rsidRDefault="00010E2E">
            <w:pPr>
              <w:pStyle w:val="TableText1"/>
              <w:rPr>
                <w:rFonts w:ascii="Arial" w:hAnsi="Arial" w:cs="Arial"/>
                <w:color w:val="000000"/>
                <w:sz w:val="18"/>
                <w:szCs w:val="18"/>
              </w:rPr>
            </w:pPr>
            <w:r>
              <w:rPr>
                <w:rFonts w:ascii="Arial" w:hAnsi="Arial" w:cs="Arial"/>
                <w:color w:val="000000"/>
                <w:sz w:val="18"/>
                <w:szCs w:val="18"/>
              </w:rPr>
              <w:t>Meat and Poultry</w:t>
            </w:r>
            <w:r w:rsidR="004D364E">
              <w:rPr>
                <w:rFonts w:ascii="Arial" w:hAnsi="Arial" w:cs="Arial"/>
                <w:color w:val="000000"/>
                <w:sz w:val="18"/>
                <w:szCs w:val="18"/>
              </w:rPr>
              <w:t xml:space="preserve"> (ANZSIC codes 1111 and 1112)</w:t>
            </w:r>
          </w:p>
        </w:tc>
        <w:tc>
          <w:tcPr>
            <w:tcW w:w="1560" w:type="dxa"/>
            <w:vAlign w:val="center"/>
          </w:tcPr>
          <w:p w14:paraId="2EFCCBFF"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13.7</w:t>
            </w:r>
          </w:p>
        </w:tc>
        <w:tc>
          <w:tcPr>
            <w:tcW w:w="1680" w:type="dxa"/>
            <w:vAlign w:val="center"/>
          </w:tcPr>
          <w:p w14:paraId="332AD09A"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6.1</w:t>
            </w:r>
          </w:p>
        </w:tc>
        <w:tc>
          <w:tcPr>
            <w:tcW w:w="1701" w:type="dxa"/>
            <w:vAlign w:val="center"/>
          </w:tcPr>
          <w:p w14:paraId="0C916B0E"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0.4</w:t>
            </w:r>
          </w:p>
        </w:tc>
      </w:tr>
      <w:tr w:rsidR="00010E2E" w14:paraId="6F64FA42" w14:textId="77777777" w:rsidTr="003E2C15">
        <w:trPr>
          <w:cantSplit/>
        </w:trPr>
        <w:tc>
          <w:tcPr>
            <w:tcW w:w="2618" w:type="dxa"/>
          </w:tcPr>
          <w:p w14:paraId="33214C07" w14:textId="77777777" w:rsidR="00010E2E" w:rsidRDefault="00010E2E">
            <w:pPr>
              <w:pStyle w:val="TableText1"/>
              <w:rPr>
                <w:rFonts w:ascii="Arial" w:hAnsi="Arial" w:cs="Arial"/>
                <w:color w:val="000000"/>
                <w:sz w:val="18"/>
                <w:szCs w:val="18"/>
              </w:rPr>
            </w:pPr>
            <w:r>
              <w:rPr>
                <w:rFonts w:ascii="Arial" w:hAnsi="Arial" w:cs="Arial"/>
                <w:color w:val="000000"/>
                <w:sz w:val="18"/>
                <w:szCs w:val="18"/>
              </w:rPr>
              <w:t xml:space="preserve">Organic chemicals </w:t>
            </w:r>
            <w:r w:rsidR="004D364E">
              <w:rPr>
                <w:rFonts w:ascii="Arial" w:hAnsi="Arial" w:cs="Arial"/>
                <w:color w:val="000000"/>
                <w:sz w:val="18"/>
                <w:szCs w:val="18"/>
              </w:rPr>
              <w:t xml:space="preserve"> (ANZSIC codes 18 and 19)</w:t>
            </w:r>
          </w:p>
        </w:tc>
        <w:tc>
          <w:tcPr>
            <w:tcW w:w="1560" w:type="dxa"/>
            <w:vAlign w:val="center"/>
          </w:tcPr>
          <w:p w14:paraId="1F6E65D6"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67.0</w:t>
            </w:r>
          </w:p>
        </w:tc>
        <w:tc>
          <w:tcPr>
            <w:tcW w:w="1680" w:type="dxa"/>
            <w:vAlign w:val="center"/>
          </w:tcPr>
          <w:p w14:paraId="69458C8B"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3.0</w:t>
            </w:r>
          </w:p>
        </w:tc>
        <w:tc>
          <w:tcPr>
            <w:tcW w:w="1701" w:type="dxa"/>
            <w:vAlign w:val="center"/>
          </w:tcPr>
          <w:p w14:paraId="2C2DAD7A"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0.1</w:t>
            </w:r>
          </w:p>
        </w:tc>
      </w:tr>
      <w:tr w:rsidR="00010E2E" w14:paraId="66F6137D" w14:textId="77777777" w:rsidTr="003E2C15">
        <w:trPr>
          <w:cantSplit/>
        </w:trPr>
        <w:tc>
          <w:tcPr>
            <w:tcW w:w="2618" w:type="dxa"/>
          </w:tcPr>
          <w:p w14:paraId="0FE1A71F" w14:textId="77777777" w:rsidR="00010E2E" w:rsidRDefault="004D364E">
            <w:pPr>
              <w:pStyle w:val="TableText1"/>
              <w:rPr>
                <w:rFonts w:ascii="Arial" w:hAnsi="Arial" w:cs="Arial"/>
                <w:color w:val="000000"/>
                <w:sz w:val="18"/>
                <w:szCs w:val="18"/>
              </w:rPr>
            </w:pPr>
            <w:r>
              <w:rPr>
                <w:rFonts w:ascii="Arial" w:hAnsi="Arial" w:cs="Arial"/>
                <w:color w:val="000000"/>
                <w:sz w:val="18"/>
                <w:szCs w:val="18"/>
              </w:rPr>
              <w:t xml:space="preserve">Raw </w:t>
            </w:r>
            <w:r w:rsidR="00010E2E">
              <w:rPr>
                <w:rFonts w:ascii="Arial" w:hAnsi="Arial" w:cs="Arial"/>
                <w:color w:val="000000"/>
                <w:sz w:val="18"/>
                <w:szCs w:val="18"/>
              </w:rPr>
              <w:t xml:space="preserve">Sugar </w:t>
            </w:r>
            <w:r>
              <w:rPr>
                <w:rFonts w:ascii="Arial" w:hAnsi="Arial" w:cs="Arial"/>
                <w:color w:val="000000"/>
                <w:sz w:val="18"/>
                <w:szCs w:val="18"/>
              </w:rPr>
              <w:t>(ANZSIC code 1181)</w:t>
            </w:r>
          </w:p>
        </w:tc>
        <w:tc>
          <w:tcPr>
            <w:tcW w:w="1560" w:type="dxa"/>
            <w:vAlign w:val="center"/>
          </w:tcPr>
          <w:p w14:paraId="5ED50E87"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0.4</w:t>
            </w:r>
          </w:p>
        </w:tc>
        <w:tc>
          <w:tcPr>
            <w:tcW w:w="1680" w:type="dxa"/>
            <w:vAlign w:val="center"/>
          </w:tcPr>
          <w:p w14:paraId="2E9B28B6"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3.8</w:t>
            </w:r>
          </w:p>
        </w:tc>
        <w:tc>
          <w:tcPr>
            <w:tcW w:w="1701" w:type="dxa"/>
            <w:vAlign w:val="center"/>
          </w:tcPr>
          <w:p w14:paraId="11759587"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0.3</w:t>
            </w:r>
          </w:p>
        </w:tc>
      </w:tr>
      <w:tr w:rsidR="00010E2E" w14:paraId="311FD92D" w14:textId="77777777" w:rsidTr="003E2C15">
        <w:trPr>
          <w:cantSplit/>
        </w:trPr>
        <w:tc>
          <w:tcPr>
            <w:tcW w:w="2618" w:type="dxa"/>
          </w:tcPr>
          <w:p w14:paraId="09568C23" w14:textId="77777777" w:rsidR="00010E2E" w:rsidRDefault="00010E2E">
            <w:pPr>
              <w:pStyle w:val="TableText1"/>
              <w:rPr>
                <w:rFonts w:ascii="Arial" w:hAnsi="Arial" w:cs="Arial"/>
                <w:color w:val="000000"/>
                <w:sz w:val="18"/>
                <w:szCs w:val="18"/>
              </w:rPr>
            </w:pPr>
            <w:r>
              <w:rPr>
                <w:rFonts w:ascii="Arial" w:hAnsi="Arial" w:cs="Arial"/>
                <w:color w:val="000000"/>
                <w:sz w:val="18"/>
                <w:szCs w:val="18"/>
              </w:rPr>
              <w:t>Beer</w:t>
            </w:r>
            <w:r w:rsidR="004D364E">
              <w:rPr>
                <w:rFonts w:ascii="Arial" w:hAnsi="Arial" w:cs="Arial"/>
                <w:color w:val="000000"/>
                <w:sz w:val="18"/>
                <w:szCs w:val="18"/>
              </w:rPr>
              <w:t xml:space="preserve"> (ANZSIC code 1212)</w:t>
            </w:r>
          </w:p>
        </w:tc>
        <w:tc>
          <w:tcPr>
            <w:tcW w:w="1560" w:type="dxa"/>
            <w:vAlign w:val="center"/>
          </w:tcPr>
          <w:p w14:paraId="584AD981"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5.3</w:t>
            </w:r>
          </w:p>
        </w:tc>
        <w:tc>
          <w:tcPr>
            <w:tcW w:w="1680" w:type="dxa"/>
            <w:vAlign w:val="center"/>
          </w:tcPr>
          <w:p w14:paraId="4A870BF2"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6.0</w:t>
            </w:r>
          </w:p>
        </w:tc>
        <w:tc>
          <w:tcPr>
            <w:tcW w:w="1701" w:type="dxa"/>
            <w:vAlign w:val="center"/>
          </w:tcPr>
          <w:p w14:paraId="39E213D6"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0.5</w:t>
            </w:r>
          </w:p>
        </w:tc>
      </w:tr>
      <w:tr w:rsidR="00010E2E" w14:paraId="0FE454B7" w14:textId="77777777" w:rsidTr="003E2C15">
        <w:trPr>
          <w:cantSplit/>
        </w:trPr>
        <w:tc>
          <w:tcPr>
            <w:tcW w:w="2618" w:type="dxa"/>
          </w:tcPr>
          <w:p w14:paraId="2DDB646C" w14:textId="77777777" w:rsidR="00010E2E" w:rsidRDefault="00010E2E" w:rsidP="004D364E">
            <w:pPr>
              <w:pStyle w:val="TableText1"/>
              <w:rPr>
                <w:rFonts w:ascii="Arial" w:hAnsi="Arial" w:cs="Arial"/>
                <w:color w:val="000000"/>
                <w:sz w:val="18"/>
                <w:szCs w:val="18"/>
              </w:rPr>
            </w:pPr>
            <w:r>
              <w:rPr>
                <w:rFonts w:ascii="Arial" w:hAnsi="Arial" w:cs="Arial"/>
                <w:color w:val="000000"/>
                <w:sz w:val="18"/>
                <w:szCs w:val="18"/>
              </w:rPr>
              <w:t>Wine</w:t>
            </w:r>
            <w:r w:rsidR="004D364E">
              <w:rPr>
                <w:rFonts w:ascii="Arial" w:hAnsi="Arial" w:cs="Arial"/>
                <w:color w:val="000000"/>
                <w:sz w:val="18"/>
                <w:szCs w:val="18"/>
              </w:rPr>
              <w:t xml:space="preserve"> and Other Alcoholic Beverage (ANZSIC code 1214)</w:t>
            </w:r>
          </w:p>
        </w:tc>
        <w:tc>
          <w:tcPr>
            <w:tcW w:w="1560" w:type="dxa"/>
            <w:vAlign w:val="center"/>
          </w:tcPr>
          <w:p w14:paraId="54A84B3D"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23.0</w:t>
            </w:r>
          </w:p>
        </w:tc>
        <w:tc>
          <w:tcPr>
            <w:tcW w:w="1680" w:type="dxa"/>
            <w:vAlign w:val="center"/>
          </w:tcPr>
          <w:p w14:paraId="575B525A"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1.5</w:t>
            </w:r>
          </w:p>
        </w:tc>
        <w:tc>
          <w:tcPr>
            <w:tcW w:w="1701" w:type="dxa"/>
            <w:vAlign w:val="center"/>
          </w:tcPr>
          <w:p w14:paraId="657335D0"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0.0</w:t>
            </w:r>
          </w:p>
        </w:tc>
      </w:tr>
      <w:tr w:rsidR="00010E2E" w14:paraId="3CB2B17E" w14:textId="77777777" w:rsidTr="003E2C15">
        <w:trPr>
          <w:cantSplit/>
        </w:trPr>
        <w:tc>
          <w:tcPr>
            <w:tcW w:w="2618" w:type="dxa"/>
          </w:tcPr>
          <w:p w14:paraId="4592B663" w14:textId="77777777" w:rsidR="00010E2E" w:rsidRDefault="00010E2E">
            <w:pPr>
              <w:pStyle w:val="TableText1"/>
              <w:rPr>
                <w:rFonts w:ascii="Arial" w:hAnsi="Arial" w:cs="Arial"/>
                <w:color w:val="000000"/>
                <w:sz w:val="18"/>
                <w:szCs w:val="18"/>
              </w:rPr>
            </w:pPr>
            <w:r>
              <w:rPr>
                <w:rFonts w:ascii="Arial" w:hAnsi="Arial" w:cs="Arial"/>
                <w:color w:val="000000"/>
                <w:sz w:val="18"/>
                <w:szCs w:val="18"/>
              </w:rPr>
              <w:t>Fruit</w:t>
            </w:r>
            <w:r w:rsidR="004D364E">
              <w:rPr>
                <w:rFonts w:ascii="Arial" w:hAnsi="Arial" w:cs="Arial"/>
                <w:color w:val="000000"/>
                <w:sz w:val="18"/>
                <w:szCs w:val="18"/>
              </w:rPr>
              <w:t xml:space="preserve"> and Vegetables (ANZSIC code 1140)</w:t>
            </w:r>
          </w:p>
        </w:tc>
        <w:tc>
          <w:tcPr>
            <w:tcW w:w="1560" w:type="dxa"/>
            <w:vAlign w:val="center"/>
          </w:tcPr>
          <w:p w14:paraId="286BDFDD"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20.0</w:t>
            </w:r>
          </w:p>
        </w:tc>
        <w:tc>
          <w:tcPr>
            <w:tcW w:w="1680" w:type="dxa"/>
            <w:vAlign w:val="center"/>
          </w:tcPr>
          <w:p w14:paraId="4D77EA57"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0.2</w:t>
            </w:r>
          </w:p>
        </w:tc>
        <w:tc>
          <w:tcPr>
            <w:tcW w:w="1701" w:type="dxa"/>
            <w:vAlign w:val="center"/>
          </w:tcPr>
          <w:p w14:paraId="0C65E945" w14:textId="77777777" w:rsidR="00010E2E" w:rsidRDefault="00010E2E" w:rsidP="003E2C15">
            <w:pPr>
              <w:pStyle w:val="TableText1"/>
              <w:tabs>
                <w:tab w:val="decimal" w:pos="372"/>
              </w:tabs>
              <w:jc w:val="center"/>
              <w:rPr>
                <w:rFonts w:ascii="Arial" w:hAnsi="Arial" w:cs="Arial"/>
                <w:color w:val="000000"/>
                <w:sz w:val="18"/>
                <w:szCs w:val="18"/>
              </w:rPr>
            </w:pPr>
            <w:r>
              <w:rPr>
                <w:rFonts w:ascii="Arial" w:hAnsi="Arial" w:cs="Arial"/>
                <w:color w:val="000000"/>
                <w:sz w:val="18"/>
                <w:szCs w:val="18"/>
              </w:rPr>
              <w:t>1.0</w:t>
            </w:r>
          </w:p>
        </w:tc>
      </w:tr>
    </w:tbl>
    <w:p w14:paraId="2E4FF5CF" w14:textId="77777777" w:rsidR="00010E2E" w:rsidRDefault="00010E2E">
      <w:pPr>
        <w:pStyle w:val="definition"/>
        <w:spacing w:line="240" w:lineRule="auto"/>
        <w:rPr>
          <w:rFonts w:ascii="Arial" w:hAnsi="Arial" w:cs="Arial"/>
          <w:color w:val="000000"/>
          <w:sz w:val="20"/>
          <w:szCs w:val="20"/>
        </w:rPr>
      </w:pPr>
    </w:p>
    <w:p w14:paraId="4C95C12B" w14:textId="7D22A676" w:rsidR="00010E2E" w:rsidRDefault="00010E2E">
      <w:pPr>
        <w:pStyle w:val="definition"/>
        <w:spacing w:line="240" w:lineRule="auto"/>
        <w:rPr>
          <w:rFonts w:ascii="Arial" w:hAnsi="Arial" w:cs="Arial"/>
          <w:color w:val="000000"/>
          <w:sz w:val="20"/>
          <w:szCs w:val="20"/>
        </w:rPr>
      </w:pPr>
      <w:r>
        <w:rPr>
          <w:rFonts w:ascii="Arial" w:hAnsi="Arial" w:cs="Arial"/>
          <w:color w:val="000000"/>
          <w:sz w:val="20"/>
          <w:szCs w:val="20"/>
        </w:rPr>
        <w:t xml:space="preserve">For full details of all methodologies available to companies treating their industrial wastewater on-site, please refer to </w:t>
      </w:r>
      <w:r w:rsidR="000B79B3" w:rsidRPr="000B79B3">
        <w:rPr>
          <w:rFonts w:ascii="Arial" w:hAnsi="Arial" w:cs="Arial"/>
          <w:color w:val="000000"/>
          <w:sz w:val="20"/>
          <w:szCs w:val="20"/>
        </w:rPr>
        <w:t xml:space="preserve">Part 5.4 of the </w:t>
      </w:r>
      <w:r w:rsidR="00710E95" w:rsidRPr="00710E95">
        <w:rPr>
          <w:rFonts w:ascii="Arial" w:hAnsi="Arial" w:cs="Arial"/>
          <w:i/>
          <w:color w:val="000000"/>
          <w:sz w:val="20"/>
          <w:szCs w:val="20"/>
        </w:rPr>
        <w:t>National Greenhouse and Energy Reporting System Measurement Technical Guidelines</w:t>
      </w:r>
      <w:r w:rsidR="000B79B3" w:rsidRPr="000B79B3">
        <w:rPr>
          <w:rFonts w:ascii="Arial" w:hAnsi="Arial" w:cs="Arial"/>
          <w:color w:val="000000"/>
          <w:sz w:val="20"/>
          <w:szCs w:val="20"/>
        </w:rPr>
        <w:t>.</w:t>
      </w:r>
    </w:p>
    <w:p w14:paraId="28206697" w14:textId="77777777" w:rsidR="00010E2E" w:rsidRDefault="00010E2E">
      <w:pPr>
        <w:pStyle w:val="BodyText"/>
        <w:tabs>
          <w:tab w:val="left" w:pos="0"/>
        </w:tabs>
        <w:spacing w:before="120" w:after="0" w:line="312" w:lineRule="auto"/>
        <w:ind w:left="0"/>
        <w:rPr>
          <w:rFonts w:ascii="Arial" w:hAnsi="Arial" w:cs="Arial"/>
        </w:rPr>
      </w:pPr>
    </w:p>
    <w:p w14:paraId="7E0C6BC5" w14:textId="77777777" w:rsidR="00010E2E" w:rsidRDefault="00010E2E">
      <w:pPr>
        <w:pStyle w:val="Heading2"/>
        <w:tabs>
          <w:tab w:val="left" w:pos="0"/>
          <w:tab w:val="left" w:pos="2250"/>
        </w:tabs>
        <w:spacing w:before="120" w:after="0" w:line="312" w:lineRule="auto"/>
        <w:rPr>
          <w:rFonts w:ascii="Arial" w:hAnsi="Arial" w:cs="Arial"/>
        </w:rPr>
      </w:pPr>
      <w:r>
        <w:rPr>
          <w:rFonts w:ascii="Arial" w:hAnsi="Arial" w:cs="Arial"/>
        </w:rPr>
        <w:t>Wastewater handling (industrial) — Flaring of methane in sludge biogas</w:t>
      </w:r>
    </w:p>
    <w:p w14:paraId="3D8F5842" w14:textId="77777777" w:rsidR="00010E2E" w:rsidRDefault="00010E2E">
      <w:pPr>
        <w:pStyle w:val="R1"/>
        <w:keepNext/>
        <w:ind w:left="0" w:firstLine="0"/>
        <w:rPr>
          <w:rFonts w:ascii="Arial" w:hAnsi="Arial"/>
          <w:sz w:val="20"/>
          <w:szCs w:val="20"/>
          <w:lang w:eastAsia="en-US"/>
        </w:rPr>
      </w:pPr>
      <w:r>
        <w:tab/>
      </w:r>
      <w:r>
        <w:rPr>
          <w:rFonts w:ascii="Arial" w:hAnsi="Arial"/>
          <w:sz w:val="20"/>
          <w:szCs w:val="20"/>
          <w:lang w:eastAsia="en-US"/>
        </w:rPr>
        <w:t>Greenhouse emissions from the flaring of methane in sludge biogas may be estimated according to:</w:t>
      </w:r>
    </w:p>
    <w:p w14:paraId="3F39A0D6" w14:textId="77777777" w:rsidR="00010E2E" w:rsidRDefault="00CA4FB8">
      <w:pPr>
        <w:pStyle w:val="Formula"/>
        <w:keepNext/>
        <w:keepLines/>
        <w:rPr>
          <w:color w:val="000000"/>
        </w:rPr>
      </w:pPr>
      <w:r>
        <w:rPr>
          <w:color w:val="000000"/>
          <w:position w:val="-24"/>
        </w:rPr>
        <w:pict w14:anchorId="426F9680">
          <v:shape id="_x0000_i1071" type="#_x0000_t75" style="width:166.5pt;height:36.75pt">
            <v:imagedata r:id="rId70" o:title=""/>
          </v:shape>
        </w:pict>
      </w:r>
    </w:p>
    <w:p w14:paraId="20DC08D0" w14:textId="77777777" w:rsidR="00010E2E" w:rsidRPr="008870C0" w:rsidRDefault="00010E2E">
      <w:pPr>
        <w:pStyle w:val="R1"/>
        <w:keepNext/>
        <w:ind w:left="993" w:firstLine="0"/>
        <w:rPr>
          <w:sz w:val="22"/>
          <w:szCs w:val="22"/>
          <w:lang w:eastAsia="en-US"/>
        </w:rPr>
      </w:pPr>
      <w:r w:rsidRPr="008870C0">
        <w:rPr>
          <w:sz w:val="22"/>
          <w:szCs w:val="22"/>
          <w:lang w:eastAsia="en-US"/>
        </w:rPr>
        <w:t>where:</w:t>
      </w:r>
    </w:p>
    <w:p w14:paraId="344AC996" w14:textId="77777777" w:rsidR="00010E2E" w:rsidRPr="008870C0" w:rsidRDefault="00010E2E">
      <w:pPr>
        <w:pStyle w:val="definition"/>
        <w:rPr>
          <w:color w:val="000000"/>
          <w:sz w:val="22"/>
          <w:szCs w:val="22"/>
          <w:vertAlign w:val="subscript"/>
        </w:rPr>
      </w:pPr>
      <w:r w:rsidRPr="008870C0">
        <w:rPr>
          <w:b/>
          <w:i/>
          <w:color w:val="000000"/>
          <w:sz w:val="22"/>
          <w:szCs w:val="22"/>
        </w:rPr>
        <w:t>E</w:t>
      </w:r>
      <w:r w:rsidRPr="008870C0">
        <w:rPr>
          <w:b/>
          <w:i/>
          <w:color w:val="000000"/>
          <w:sz w:val="22"/>
          <w:szCs w:val="22"/>
          <w:vertAlign w:val="subscript"/>
        </w:rPr>
        <w:t>j</w:t>
      </w:r>
      <w:r w:rsidRPr="008870C0">
        <w:rPr>
          <w:b/>
          <w:i/>
          <w:color w:val="000000"/>
          <w:sz w:val="22"/>
          <w:szCs w:val="22"/>
        </w:rPr>
        <w:t xml:space="preserve"> </w:t>
      </w:r>
      <w:r w:rsidRPr="008870C0">
        <w:rPr>
          <w:b/>
          <w:color w:val="000000"/>
          <w:sz w:val="22"/>
          <w:szCs w:val="22"/>
          <w:vertAlign w:val="subscript"/>
        </w:rPr>
        <w:t>flared</w:t>
      </w:r>
      <w:r w:rsidRPr="008870C0">
        <w:rPr>
          <w:color w:val="000000"/>
          <w:sz w:val="22"/>
          <w:szCs w:val="22"/>
          <w:vertAlign w:val="subscript"/>
        </w:rPr>
        <w:t xml:space="preserve"> </w:t>
      </w:r>
      <w:r w:rsidRPr="008870C0">
        <w:rPr>
          <w:sz w:val="22"/>
          <w:szCs w:val="22"/>
          <w:lang w:eastAsia="en-US"/>
        </w:rPr>
        <w:t xml:space="preserve">is the emissions of gas type </w:t>
      </w:r>
      <w:r w:rsidRPr="008870C0">
        <w:rPr>
          <w:b/>
          <w:i/>
          <w:sz w:val="22"/>
          <w:szCs w:val="22"/>
          <w:lang w:eastAsia="en-US"/>
        </w:rPr>
        <w:t>(j)</w:t>
      </w:r>
      <w:r w:rsidRPr="008870C0">
        <w:rPr>
          <w:sz w:val="22"/>
          <w:szCs w:val="22"/>
          <w:lang w:eastAsia="en-US"/>
        </w:rPr>
        <w:t xml:space="preserve"> released from flaring of the methane in sludge biogas by the plant during the year measured in CO</w:t>
      </w:r>
      <w:r w:rsidRPr="008870C0">
        <w:rPr>
          <w:sz w:val="22"/>
          <w:szCs w:val="22"/>
          <w:vertAlign w:val="subscript"/>
          <w:lang w:eastAsia="en-US"/>
        </w:rPr>
        <w:t>2</w:t>
      </w:r>
      <w:r w:rsidRPr="008870C0">
        <w:rPr>
          <w:sz w:val="22"/>
          <w:szCs w:val="22"/>
          <w:lang w:eastAsia="en-US"/>
        </w:rPr>
        <w:noBreakHyphen/>
        <w:t>e tonnes.</w:t>
      </w:r>
    </w:p>
    <w:p w14:paraId="342457E9" w14:textId="77777777" w:rsidR="00010E2E" w:rsidRPr="008870C0" w:rsidRDefault="00010E2E">
      <w:pPr>
        <w:pStyle w:val="definition"/>
        <w:rPr>
          <w:color w:val="000000"/>
          <w:sz w:val="22"/>
          <w:szCs w:val="22"/>
        </w:rPr>
      </w:pPr>
      <w:r w:rsidRPr="008870C0">
        <w:rPr>
          <w:b/>
          <w:i/>
          <w:color w:val="000000"/>
          <w:sz w:val="22"/>
          <w:szCs w:val="22"/>
        </w:rPr>
        <w:t>Q</w:t>
      </w:r>
      <w:r w:rsidRPr="008870C0">
        <w:rPr>
          <w:b/>
          <w:i/>
          <w:color w:val="000000"/>
          <w:sz w:val="22"/>
          <w:szCs w:val="22"/>
          <w:vertAlign w:val="subscript"/>
        </w:rPr>
        <w:t>flared</w:t>
      </w:r>
      <w:r w:rsidRPr="008870C0">
        <w:rPr>
          <w:i/>
          <w:color w:val="000000"/>
          <w:sz w:val="22"/>
          <w:szCs w:val="22"/>
          <w:vertAlign w:val="subscript"/>
        </w:rPr>
        <w:t xml:space="preserve"> </w:t>
      </w:r>
      <w:r w:rsidRPr="008870C0">
        <w:rPr>
          <w:sz w:val="22"/>
          <w:szCs w:val="22"/>
          <w:lang w:eastAsia="en-US"/>
        </w:rPr>
        <w:t>is the quantity of methane in sludge biogas flared by the plant during the year measured in cubic metres.</w:t>
      </w:r>
    </w:p>
    <w:p w14:paraId="714D4601" w14:textId="77777777" w:rsidR="00010E2E" w:rsidRPr="008870C0" w:rsidRDefault="00010E2E">
      <w:pPr>
        <w:pStyle w:val="definition"/>
        <w:rPr>
          <w:color w:val="000000"/>
          <w:sz w:val="22"/>
          <w:szCs w:val="22"/>
        </w:rPr>
      </w:pPr>
      <w:r w:rsidRPr="008870C0">
        <w:rPr>
          <w:b/>
          <w:i/>
          <w:color w:val="000000"/>
          <w:sz w:val="22"/>
          <w:szCs w:val="22"/>
        </w:rPr>
        <w:t>EC</w:t>
      </w:r>
      <w:r w:rsidRPr="008870C0">
        <w:rPr>
          <w:b/>
          <w:i/>
          <w:color w:val="000000"/>
          <w:sz w:val="22"/>
          <w:szCs w:val="22"/>
          <w:vertAlign w:val="subscript"/>
        </w:rPr>
        <w:t>i</w:t>
      </w:r>
      <w:r w:rsidRPr="008870C0">
        <w:rPr>
          <w:i/>
          <w:color w:val="000000"/>
          <w:sz w:val="22"/>
          <w:szCs w:val="22"/>
          <w:vertAlign w:val="subscript"/>
        </w:rPr>
        <w:t xml:space="preserve"> </w:t>
      </w:r>
      <w:r w:rsidRPr="008870C0">
        <w:rPr>
          <w:sz w:val="22"/>
          <w:szCs w:val="22"/>
          <w:lang w:eastAsia="en-US"/>
        </w:rPr>
        <w:t>is the energy content of methane in sludge biogas measured in gigajoules per cubic metre.</w:t>
      </w:r>
    </w:p>
    <w:p w14:paraId="3C8395B1" w14:textId="77777777" w:rsidR="00010E2E" w:rsidRPr="008870C0" w:rsidRDefault="00010E2E">
      <w:pPr>
        <w:pStyle w:val="definition"/>
        <w:rPr>
          <w:color w:val="000000"/>
          <w:sz w:val="22"/>
          <w:szCs w:val="22"/>
        </w:rPr>
      </w:pPr>
      <w:r w:rsidRPr="008870C0">
        <w:rPr>
          <w:b/>
          <w:i/>
          <w:color w:val="000000"/>
          <w:sz w:val="22"/>
          <w:szCs w:val="22"/>
        </w:rPr>
        <w:t>EF</w:t>
      </w:r>
      <w:r w:rsidRPr="008870C0">
        <w:rPr>
          <w:b/>
          <w:i/>
          <w:color w:val="000000"/>
          <w:sz w:val="22"/>
          <w:szCs w:val="22"/>
          <w:vertAlign w:val="subscript"/>
        </w:rPr>
        <w:t>ij</w:t>
      </w:r>
      <w:r w:rsidRPr="008870C0">
        <w:rPr>
          <w:i/>
          <w:color w:val="000000"/>
          <w:sz w:val="22"/>
          <w:szCs w:val="22"/>
        </w:rPr>
        <w:t xml:space="preserve"> </w:t>
      </w:r>
      <w:r w:rsidRPr="008870C0">
        <w:rPr>
          <w:sz w:val="22"/>
          <w:szCs w:val="22"/>
          <w:lang w:eastAsia="en-US"/>
        </w:rPr>
        <w:t xml:space="preserve">is the relevant emission factor for gas type </w:t>
      </w:r>
      <w:r w:rsidRPr="008870C0">
        <w:rPr>
          <w:b/>
          <w:i/>
          <w:sz w:val="22"/>
          <w:szCs w:val="22"/>
          <w:lang w:eastAsia="en-US"/>
        </w:rPr>
        <w:t>(j)</w:t>
      </w:r>
      <w:r w:rsidRPr="008870C0">
        <w:rPr>
          <w:sz w:val="22"/>
          <w:szCs w:val="22"/>
          <w:lang w:eastAsia="en-US"/>
        </w:rPr>
        <w:t xml:space="preserve"> for methane in sludge biogas in CO</w:t>
      </w:r>
      <w:r w:rsidRPr="008870C0">
        <w:rPr>
          <w:sz w:val="22"/>
          <w:szCs w:val="22"/>
          <w:vertAlign w:val="subscript"/>
          <w:lang w:eastAsia="en-US"/>
        </w:rPr>
        <w:t>2</w:t>
      </w:r>
      <w:r w:rsidRPr="008870C0">
        <w:rPr>
          <w:sz w:val="22"/>
          <w:szCs w:val="22"/>
          <w:lang w:eastAsia="en-US"/>
        </w:rPr>
        <w:noBreakHyphen/>
        <w:t>e tonnes per gigajoule.</w:t>
      </w:r>
    </w:p>
    <w:p w14:paraId="1F126E8F" w14:textId="77777777" w:rsidR="00010E2E" w:rsidRPr="008870C0" w:rsidRDefault="00010E2E">
      <w:pPr>
        <w:pStyle w:val="R2"/>
        <w:rPr>
          <w:color w:val="000000"/>
          <w:sz w:val="22"/>
          <w:szCs w:val="22"/>
        </w:rPr>
      </w:pPr>
      <w:r w:rsidRPr="008870C0">
        <w:rPr>
          <w:color w:val="000000"/>
          <w:sz w:val="22"/>
          <w:szCs w:val="22"/>
        </w:rPr>
        <w:tab/>
      </w:r>
      <w:r w:rsidRPr="008870C0">
        <w:rPr>
          <w:color w:val="000000"/>
          <w:sz w:val="22"/>
          <w:szCs w:val="22"/>
        </w:rPr>
        <w:tab/>
      </w:r>
      <w:r w:rsidRPr="008870C0">
        <w:rPr>
          <w:sz w:val="22"/>
          <w:szCs w:val="22"/>
          <w:lang w:eastAsia="en-US"/>
        </w:rPr>
        <w:t>For</w:t>
      </w:r>
      <w:r w:rsidRPr="008870C0">
        <w:rPr>
          <w:color w:val="000000"/>
          <w:sz w:val="22"/>
          <w:szCs w:val="22"/>
        </w:rPr>
        <w:t xml:space="preserve"> </w:t>
      </w:r>
      <w:r w:rsidRPr="008870C0">
        <w:rPr>
          <w:b/>
          <w:i/>
          <w:color w:val="000000"/>
          <w:sz w:val="22"/>
          <w:szCs w:val="22"/>
        </w:rPr>
        <w:t>Q</w:t>
      </w:r>
      <w:r w:rsidRPr="008870C0">
        <w:rPr>
          <w:b/>
          <w:i/>
          <w:color w:val="000000"/>
          <w:sz w:val="22"/>
          <w:szCs w:val="22"/>
          <w:vertAlign w:val="subscript"/>
        </w:rPr>
        <w:t>flared</w:t>
      </w:r>
      <w:r w:rsidRPr="008870C0">
        <w:rPr>
          <w:color w:val="000000"/>
          <w:sz w:val="22"/>
          <w:szCs w:val="22"/>
        </w:rPr>
        <w:t xml:space="preserve">, </w:t>
      </w:r>
      <w:r w:rsidRPr="008870C0">
        <w:rPr>
          <w:sz w:val="22"/>
          <w:szCs w:val="22"/>
          <w:lang w:eastAsia="en-US"/>
        </w:rPr>
        <w:t>the methane in sludge biogas is taken to constitute 70% of the sludge biogas.</w:t>
      </w:r>
    </w:p>
    <w:p w14:paraId="212833D3" w14:textId="77777777" w:rsidR="00010E2E" w:rsidRPr="00DA0A7A" w:rsidRDefault="00010E2E">
      <w:pPr>
        <w:pStyle w:val="BodyText"/>
        <w:tabs>
          <w:tab w:val="left" w:pos="0"/>
        </w:tabs>
        <w:spacing w:before="120" w:after="0" w:line="312" w:lineRule="auto"/>
        <w:ind w:left="0"/>
        <w:rPr>
          <w:sz w:val="18"/>
          <w:szCs w:val="18"/>
        </w:rPr>
      </w:pPr>
    </w:p>
    <w:p w14:paraId="1E58F142" w14:textId="77777777" w:rsidR="00010E2E" w:rsidRDefault="002004FF">
      <w:pPr>
        <w:pStyle w:val="BodyText"/>
        <w:tabs>
          <w:tab w:val="left" w:pos="0"/>
          <w:tab w:val="left" w:pos="2250"/>
        </w:tabs>
        <w:spacing w:before="120" w:after="0" w:line="312" w:lineRule="auto"/>
        <w:ind w:left="0"/>
        <w:rPr>
          <w:rFonts w:ascii="Arial" w:hAnsi="Arial" w:cs="Arial"/>
        </w:rPr>
      </w:pPr>
      <w:r>
        <w:rPr>
          <w:rFonts w:ascii="Arial" w:hAnsi="Arial" w:cs="Arial"/>
        </w:rPr>
        <w:br w:type="page"/>
      </w:r>
    </w:p>
    <w:p w14:paraId="552C2F04" w14:textId="77777777" w:rsidR="00010E2E" w:rsidRDefault="00010E2E">
      <w:pPr>
        <w:pStyle w:val="Heading2"/>
        <w:tabs>
          <w:tab w:val="left" w:pos="0"/>
          <w:tab w:val="left" w:pos="2250"/>
        </w:tabs>
        <w:spacing w:before="120" w:after="0" w:line="312" w:lineRule="auto"/>
        <w:rPr>
          <w:rFonts w:ascii="Arial" w:hAnsi="Arial" w:cs="Arial"/>
        </w:rPr>
      </w:pPr>
      <w:r>
        <w:rPr>
          <w:rFonts w:ascii="Arial" w:hAnsi="Arial" w:cs="Arial"/>
        </w:rPr>
        <w:t xml:space="preserve">Waste incineration - carbon dioxide emissions  </w:t>
      </w:r>
    </w:p>
    <w:p w14:paraId="1B149595" w14:textId="77777777" w:rsidR="00010E2E" w:rsidRDefault="00010E2E">
      <w:pPr>
        <w:pStyle w:val="R1"/>
        <w:rPr>
          <w:color w:val="000000"/>
        </w:rPr>
      </w:pPr>
      <w:r>
        <w:rPr>
          <w:color w:val="000000"/>
        </w:rPr>
        <w:tab/>
      </w:r>
      <w:r>
        <w:rPr>
          <w:color w:val="000000"/>
        </w:rPr>
        <w:tab/>
      </w:r>
      <w:r>
        <w:rPr>
          <w:rFonts w:ascii="Arial" w:hAnsi="Arial"/>
          <w:sz w:val="20"/>
          <w:szCs w:val="20"/>
          <w:lang w:eastAsia="en-US"/>
        </w:rPr>
        <w:t>Emissions from the incineration of waste may be estimated according to:</w:t>
      </w:r>
    </w:p>
    <w:p w14:paraId="7FBB2288" w14:textId="77777777" w:rsidR="00010E2E" w:rsidRDefault="00CA4FB8">
      <w:pPr>
        <w:pStyle w:val="Formula"/>
        <w:rPr>
          <w:color w:val="000000"/>
        </w:rPr>
      </w:pPr>
      <w:r>
        <w:rPr>
          <w:color w:val="000000"/>
          <w:position w:val="-14"/>
        </w:rPr>
        <w:pict w14:anchorId="4DED976C">
          <v:shape id="_x0000_i1072" type="#_x0000_t75" style="width:224.25pt;height:19.5pt">
            <v:imagedata r:id="rId71" o:title=""/>
          </v:shape>
        </w:pict>
      </w:r>
    </w:p>
    <w:p w14:paraId="4928BE75" w14:textId="77777777" w:rsidR="00010E2E" w:rsidRPr="008870C0" w:rsidRDefault="00010E2E">
      <w:pPr>
        <w:pStyle w:val="Rc"/>
        <w:keepNext/>
        <w:rPr>
          <w:sz w:val="22"/>
          <w:szCs w:val="22"/>
          <w:lang w:eastAsia="en-US"/>
        </w:rPr>
      </w:pPr>
      <w:r w:rsidRPr="008870C0">
        <w:rPr>
          <w:sz w:val="22"/>
          <w:szCs w:val="22"/>
          <w:lang w:eastAsia="en-US"/>
        </w:rPr>
        <w:t>where:</w:t>
      </w:r>
    </w:p>
    <w:p w14:paraId="3B1F5C81" w14:textId="77777777" w:rsidR="00010E2E" w:rsidRPr="008870C0" w:rsidRDefault="00010E2E">
      <w:pPr>
        <w:pStyle w:val="definition"/>
        <w:rPr>
          <w:color w:val="000000"/>
          <w:sz w:val="22"/>
          <w:szCs w:val="22"/>
        </w:rPr>
      </w:pPr>
      <w:r w:rsidRPr="008870C0">
        <w:rPr>
          <w:b/>
          <w:i/>
          <w:color w:val="000000"/>
          <w:sz w:val="22"/>
          <w:szCs w:val="22"/>
        </w:rPr>
        <w:t>E</w:t>
      </w:r>
      <w:r w:rsidRPr="008870C0">
        <w:rPr>
          <w:b/>
          <w:i/>
          <w:color w:val="000000"/>
          <w:sz w:val="22"/>
          <w:szCs w:val="22"/>
          <w:vertAlign w:val="subscript"/>
        </w:rPr>
        <w:t>i</w:t>
      </w:r>
      <w:r w:rsidRPr="008870C0">
        <w:rPr>
          <w:b/>
          <w:i/>
          <w:color w:val="000000"/>
          <w:sz w:val="22"/>
          <w:szCs w:val="22"/>
        </w:rPr>
        <w:t xml:space="preserve"> </w:t>
      </w:r>
      <w:r w:rsidRPr="008870C0">
        <w:rPr>
          <w:sz w:val="22"/>
          <w:szCs w:val="22"/>
          <w:lang w:eastAsia="en-US"/>
        </w:rPr>
        <w:t xml:space="preserve">is the emissions of carbon dioxide released from the incineration of waste type </w:t>
      </w:r>
      <w:r w:rsidRPr="008870C0">
        <w:rPr>
          <w:b/>
          <w:i/>
          <w:sz w:val="22"/>
          <w:szCs w:val="22"/>
          <w:lang w:eastAsia="en-US"/>
        </w:rPr>
        <w:t>(i)</w:t>
      </w:r>
      <w:r w:rsidRPr="008870C0">
        <w:rPr>
          <w:sz w:val="22"/>
          <w:szCs w:val="22"/>
          <w:lang w:eastAsia="en-US"/>
        </w:rPr>
        <w:t xml:space="preserve"> by the plant during the year measured in CO</w:t>
      </w:r>
      <w:r w:rsidRPr="008870C0">
        <w:rPr>
          <w:sz w:val="22"/>
          <w:szCs w:val="22"/>
          <w:vertAlign w:val="subscript"/>
          <w:lang w:eastAsia="en-US"/>
        </w:rPr>
        <w:t>2</w:t>
      </w:r>
      <w:r w:rsidRPr="008870C0">
        <w:rPr>
          <w:sz w:val="22"/>
          <w:szCs w:val="22"/>
          <w:lang w:eastAsia="en-US"/>
        </w:rPr>
        <w:noBreakHyphen/>
        <w:t>e tonnes.</w:t>
      </w:r>
    </w:p>
    <w:p w14:paraId="3D2C9E13" w14:textId="77777777" w:rsidR="00010E2E" w:rsidRPr="008870C0" w:rsidRDefault="00010E2E">
      <w:pPr>
        <w:pStyle w:val="definition"/>
        <w:rPr>
          <w:color w:val="000000"/>
          <w:sz w:val="22"/>
          <w:szCs w:val="22"/>
        </w:rPr>
      </w:pPr>
      <w:r w:rsidRPr="008870C0">
        <w:rPr>
          <w:b/>
          <w:i/>
          <w:color w:val="000000"/>
          <w:sz w:val="22"/>
          <w:szCs w:val="22"/>
        </w:rPr>
        <w:t>Q</w:t>
      </w:r>
      <w:r w:rsidRPr="008870C0">
        <w:rPr>
          <w:b/>
          <w:i/>
          <w:color w:val="000000"/>
          <w:sz w:val="22"/>
          <w:szCs w:val="22"/>
          <w:vertAlign w:val="subscript"/>
        </w:rPr>
        <w:t>i</w:t>
      </w:r>
      <w:r w:rsidRPr="008870C0">
        <w:rPr>
          <w:i/>
          <w:color w:val="000000"/>
          <w:sz w:val="22"/>
          <w:szCs w:val="22"/>
        </w:rPr>
        <w:t xml:space="preserve"> </w:t>
      </w:r>
      <w:r w:rsidRPr="008870C0">
        <w:rPr>
          <w:sz w:val="22"/>
          <w:szCs w:val="22"/>
          <w:lang w:eastAsia="en-US"/>
        </w:rPr>
        <w:t xml:space="preserve">is the quantity of waste type </w:t>
      </w:r>
      <w:r w:rsidRPr="008870C0">
        <w:rPr>
          <w:b/>
          <w:i/>
          <w:sz w:val="22"/>
          <w:szCs w:val="22"/>
          <w:lang w:eastAsia="en-US"/>
        </w:rPr>
        <w:t>(i)</w:t>
      </w:r>
      <w:r w:rsidRPr="008870C0">
        <w:rPr>
          <w:sz w:val="22"/>
          <w:szCs w:val="22"/>
          <w:lang w:eastAsia="en-US"/>
        </w:rPr>
        <w:t xml:space="preserve"> incinerated by the plant during the year measured in tonnes of wet weight value in accordance with Division 2.3.6.</w:t>
      </w:r>
    </w:p>
    <w:p w14:paraId="73B9173D" w14:textId="77777777" w:rsidR="00010E2E" w:rsidRPr="008870C0" w:rsidRDefault="00010E2E">
      <w:pPr>
        <w:pStyle w:val="definition"/>
        <w:rPr>
          <w:color w:val="000000"/>
          <w:sz w:val="22"/>
          <w:szCs w:val="22"/>
        </w:rPr>
      </w:pPr>
      <w:r w:rsidRPr="008870C0">
        <w:rPr>
          <w:b/>
          <w:i/>
          <w:color w:val="000000"/>
          <w:sz w:val="22"/>
          <w:szCs w:val="22"/>
        </w:rPr>
        <w:t>CC</w:t>
      </w:r>
      <w:r w:rsidRPr="008870C0">
        <w:rPr>
          <w:b/>
          <w:i/>
          <w:color w:val="000000"/>
          <w:sz w:val="22"/>
          <w:szCs w:val="22"/>
          <w:vertAlign w:val="subscript"/>
        </w:rPr>
        <w:t>i</w:t>
      </w:r>
      <w:r w:rsidRPr="008870C0">
        <w:rPr>
          <w:i/>
          <w:color w:val="000000"/>
          <w:sz w:val="22"/>
          <w:szCs w:val="22"/>
        </w:rPr>
        <w:t xml:space="preserve"> </w:t>
      </w:r>
      <w:r w:rsidRPr="008870C0">
        <w:rPr>
          <w:sz w:val="22"/>
          <w:szCs w:val="22"/>
          <w:lang w:eastAsia="en-US"/>
        </w:rPr>
        <w:t xml:space="preserve">is the carbon content of waste type </w:t>
      </w:r>
      <w:r w:rsidRPr="008870C0">
        <w:rPr>
          <w:b/>
          <w:i/>
          <w:sz w:val="22"/>
          <w:szCs w:val="22"/>
          <w:lang w:eastAsia="en-US"/>
        </w:rPr>
        <w:t>(i)</w:t>
      </w:r>
      <w:r w:rsidRPr="008870C0">
        <w:rPr>
          <w:sz w:val="22"/>
          <w:szCs w:val="22"/>
          <w:lang w:eastAsia="en-US"/>
        </w:rPr>
        <w:t xml:space="preserve"> (default </w:t>
      </w:r>
      <w:r w:rsidR="004D364E" w:rsidRPr="008870C0">
        <w:rPr>
          <w:sz w:val="22"/>
          <w:szCs w:val="22"/>
          <w:lang w:eastAsia="en-US"/>
        </w:rPr>
        <w:t xml:space="preserve">is </w:t>
      </w:r>
      <w:r w:rsidRPr="008870C0">
        <w:rPr>
          <w:sz w:val="22"/>
          <w:szCs w:val="22"/>
          <w:lang w:eastAsia="en-US"/>
        </w:rPr>
        <w:t>0.</w:t>
      </w:r>
      <w:r w:rsidR="004D364E" w:rsidRPr="008870C0">
        <w:rPr>
          <w:sz w:val="22"/>
          <w:szCs w:val="22"/>
          <w:lang w:eastAsia="en-US"/>
        </w:rPr>
        <w:t>60 for clinical waste</w:t>
      </w:r>
      <w:r w:rsidRPr="008870C0">
        <w:rPr>
          <w:sz w:val="22"/>
          <w:szCs w:val="22"/>
          <w:lang w:eastAsia="en-US"/>
        </w:rPr>
        <w:t>).</w:t>
      </w:r>
    </w:p>
    <w:p w14:paraId="1EBD8549" w14:textId="77777777" w:rsidR="00010E2E" w:rsidRPr="008870C0" w:rsidRDefault="00010E2E">
      <w:pPr>
        <w:pStyle w:val="definition"/>
        <w:rPr>
          <w:color w:val="000000"/>
          <w:sz w:val="22"/>
          <w:szCs w:val="22"/>
        </w:rPr>
      </w:pPr>
      <w:r w:rsidRPr="008870C0">
        <w:rPr>
          <w:b/>
          <w:i/>
          <w:color w:val="000000"/>
          <w:sz w:val="22"/>
          <w:szCs w:val="22"/>
        </w:rPr>
        <w:t>FCC</w:t>
      </w:r>
      <w:r w:rsidRPr="008870C0">
        <w:rPr>
          <w:b/>
          <w:i/>
          <w:color w:val="000000"/>
          <w:sz w:val="22"/>
          <w:szCs w:val="22"/>
          <w:vertAlign w:val="subscript"/>
        </w:rPr>
        <w:t>i</w:t>
      </w:r>
      <w:r w:rsidRPr="008870C0">
        <w:rPr>
          <w:i/>
          <w:color w:val="000000"/>
          <w:sz w:val="22"/>
          <w:szCs w:val="22"/>
        </w:rPr>
        <w:t xml:space="preserve"> </w:t>
      </w:r>
      <w:r w:rsidRPr="008870C0">
        <w:rPr>
          <w:sz w:val="22"/>
          <w:szCs w:val="22"/>
          <w:lang w:eastAsia="en-US"/>
        </w:rPr>
        <w:t xml:space="preserve">is the proportion of carbon in waste type </w:t>
      </w:r>
      <w:r w:rsidRPr="008870C0">
        <w:rPr>
          <w:b/>
          <w:i/>
          <w:sz w:val="22"/>
          <w:szCs w:val="22"/>
          <w:lang w:eastAsia="en-US"/>
        </w:rPr>
        <w:t>(i)</w:t>
      </w:r>
      <w:r w:rsidRPr="008870C0">
        <w:rPr>
          <w:sz w:val="22"/>
          <w:szCs w:val="22"/>
          <w:lang w:eastAsia="en-US"/>
        </w:rPr>
        <w:t xml:space="preserve"> that is of fossil origin (default 0.4).</w:t>
      </w:r>
    </w:p>
    <w:p w14:paraId="67AEFA63" w14:textId="77777777" w:rsidR="00010E2E" w:rsidRDefault="00010E2E">
      <w:pPr>
        <w:pStyle w:val="definition"/>
        <w:rPr>
          <w:sz w:val="22"/>
        </w:rPr>
      </w:pPr>
      <w:r w:rsidRPr="008870C0">
        <w:rPr>
          <w:b/>
          <w:i/>
          <w:color w:val="000000"/>
          <w:sz w:val="22"/>
          <w:szCs w:val="22"/>
        </w:rPr>
        <w:t>OF</w:t>
      </w:r>
      <w:r w:rsidRPr="008870C0">
        <w:rPr>
          <w:b/>
          <w:i/>
          <w:color w:val="000000"/>
          <w:sz w:val="22"/>
          <w:szCs w:val="22"/>
          <w:vertAlign w:val="subscript"/>
        </w:rPr>
        <w:t>i</w:t>
      </w:r>
      <w:r w:rsidRPr="008870C0">
        <w:rPr>
          <w:i/>
          <w:color w:val="000000"/>
          <w:sz w:val="22"/>
          <w:szCs w:val="22"/>
        </w:rPr>
        <w:t xml:space="preserve"> </w:t>
      </w:r>
      <w:r w:rsidRPr="008870C0">
        <w:rPr>
          <w:sz w:val="22"/>
          <w:szCs w:val="22"/>
          <w:lang w:eastAsia="en-US"/>
        </w:rPr>
        <w:t xml:space="preserve">is the oxidation factor for waste type </w:t>
      </w:r>
      <w:r w:rsidRPr="008870C0">
        <w:rPr>
          <w:b/>
          <w:i/>
          <w:sz w:val="22"/>
          <w:szCs w:val="22"/>
          <w:lang w:eastAsia="en-US"/>
        </w:rPr>
        <w:t xml:space="preserve">(i) </w:t>
      </w:r>
      <w:r w:rsidRPr="008870C0">
        <w:rPr>
          <w:sz w:val="22"/>
          <w:szCs w:val="22"/>
          <w:lang w:eastAsia="en-US"/>
        </w:rPr>
        <w:t>(default 1).</w:t>
      </w:r>
    </w:p>
    <w:p w14:paraId="3EC8A2FF" w14:textId="23189D5E" w:rsidR="00914552" w:rsidRDefault="00914552">
      <w:pPr>
        <w:ind w:left="0"/>
        <w:rPr>
          <w:rFonts w:ascii="Arial" w:hAnsi="Arial" w:cs="Arial"/>
          <w:sz w:val="24"/>
          <w:szCs w:val="24"/>
          <w:lang w:eastAsia="en-AU"/>
        </w:rPr>
      </w:pPr>
      <w:r>
        <w:rPr>
          <w:rFonts w:ascii="Arial" w:hAnsi="Arial" w:cs="Arial"/>
        </w:rPr>
        <w:br w:type="page"/>
      </w:r>
    </w:p>
    <w:p w14:paraId="3221F438" w14:textId="77777777" w:rsidR="00693E18" w:rsidRDefault="00693E18" w:rsidP="00693E18">
      <w:pPr>
        <w:pStyle w:val="Heading1"/>
        <w:tabs>
          <w:tab w:val="left" w:pos="0"/>
          <w:tab w:val="left" w:pos="2250"/>
        </w:tabs>
        <w:spacing w:before="120" w:after="0" w:line="312" w:lineRule="auto"/>
        <w:ind w:left="0" w:firstLine="0"/>
        <w:rPr>
          <w:rFonts w:ascii="Arial" w:hAnsi="Arial" w:cs="Arial"/>
        </w:rPr>
      </w:pPr>
      <w:bookmarkStart w:id="126" w:name="_Toc391646680"/>
      <w:r>
        <w:rPr>
          <w:rFonts w:ascii="Arial" w:hAnsi="Arial" w:cs="Arial"/>
        </w:rPr>
        <w:t>Agriculture</w:t>
      </w:r>
    </w:p>
    <w:p w14:paraId="5BA2CB2E" w14:textId="77777777" w:rsidR="00693E18" w:rsidRDefault="00693E18" w:rsidP="00693E18">
      <w:pPr>
        <w:pStyle w:val="Heading2"/>
        <w:tabs>
          <w:tab w:val="left" w:pos="0"/>
          <w:tab w:val="left" w:pos="2250"/>
        </w:tabs>
        <w:spacing w:before="120" w:after="0" w:line="312" w:lineRule="auto"/>
        <w:ind w:left="578" w:hanging="578"/>
        <w:rPr>
          <w:rFonts w:ascii="Arial" w:hAnsi="Arial"/>
        </w:rPr>
      </w:pPr>
      <w:r>
        <w:rPr>
          <w:rFonts w:ascii="Arial" w:hAnsi="Arial"/>
        </w:rPr>
        <w:t>Introduction</w:t>
      </w:r>
    </w:p>
    <w:p w14:paraId="0F597E74" w14:textId="77777777" w:rsidR="00693E18" w:rsidRDefault="00693E18" w:rsidP="00693E18">
      <w:pPr>
        <w:pStyle w:val="BodyText"/>
        <w:tabs>
          <w:tab w:val="left" w:pos="-90"/>
          <w:tab w:val="left" w:pos="0"/>
        </w:tabs>
        <w:spacing w:before="120" w:after="0" w:line="312" w:lineRule="auto"/>
        <w:ind w:left="0"/>
        <w:rPr>
          <w:rFonts w:ascii="Arial" w:hAnsi="Arial" w:cs="Arial"/>
        </w:rPr>
      </w:pPr>
      <w:r>
        <w:rPr>
          <w:rFonts w:ascii="Arial" w:hAnsi="Arial" w:cs="Arial"/>
        </w:rPr>
        <w:t xml:space="preserve">This section covers the estimation of emissions from agricultural sources including grazing and cropping, and from agricultural burning.  </w:t>
      </w:r>
    </w:p>
    <w:p w14:paraId="7754DA57" w14:textId="77777777" w:rsidR="00693E18" w:rsidRDefault="00693E18" w:rsidP="00693E18">
      <w:pPr>
        <w:pStyle w:val="BodyText"/>
        <w:tabs>
          <w:tab w:val="left" w:pos="-90"/>
          <w:tab w:val="left" w:pos="0"/>
        </w:tabs>
        <w:spacing w:before="120" w:after="0" w:line="312" w:lineRule="auto"/>
        <w:ind w:left="0"/>
        <w:rPr>
          <w:rFonts w:ascii="Arial" w:hAnsi="Arial" w:cs="Arial"/>
        </w:rPr>
      </w:pPr>
      <w:r>
        <w:rPr>
          <w:rFonts w:ascii="Arial" w:hAnsi="Arial" w:cs="Arial"/>
        </w:rPr>
        <w:t>Emissions from other on-farm activities accounted for in other sections include:</w:t>
      </w:r>
    </w:p>
    <w:p w14:paraId="0D493046" w14:textId="77777777" w:rsidR="00693E18" w:rsidRDefault="00693E18" w:rsidP="00693E18">
      <w:pPr>
        <w:pStyle w:val="BodyText"/>
        <w:numPr>
          <w:ilvl w:val="0"/>
          <w:numId w:val="20"/>
        </w:numPr>
        <w:tabs>
          <w:tab w:val="left" w:pos="993"/>
          <w:tab w:val="left" w:pos="2250"/>
        </w:tabs>
        <w:spacing w:after="120" w:line="312" w:lineRule="auto"/>
        <w:ind w:left="992" w:hanging="567"/>
        <w:rPr>
          <w:rFonts w:ascii="Arial" w:hAnsi="Arial" w:cs="Arial"/>
        </w:rPr>
      </w:pPr>
      <w:r>
        <w:rPr>
          <w:rFonts w:ascii="Arial" w:hAnsi="Arial" w:cs="Arial"/>
        </w:rPr>
        <w:t xml:space="preserve">Vehicle fuel use (covered in Section 2.2 </w:t>
      </w:r>
      <w:r w:rsidRPr="008870C0">
        <w:rPr>
          <w:rFonts w:ascii="Arial" w:hAnsi="Arial" w:cs="Arial"/>
        </w:rPr>
        <w:t>Transport fuels</w:t>
      </w:r>
      <w:r>
        <w:rPr>
          <w:rFonts w:ascii="Arial" w:hAnsi="Arial" w:cs="Arial"/>
        </w:rPr>
        <w:t>);</w:t>
      </w:r>
    </w:p>
    <w:p w14:paraId="4BCD99DD" w14:textId="77777777" w:rsidR="00693E18" w:rsidRDefault="00693E18" w:rsidP="00693E18">
      <w:pPr>
        <w:pStyle w:val="BodyText"/>
        <w:numPr>
          <w:ilvl w:val="0"/>
          <w:numId w:val="20"/>
        </w:numPr>
        <w:tabs>
          <w:tab w:val="left" w:pos="993"/>
          <w:tab w:val="left" w:pos="2250"/>
        </w:tabs>
        <w:spacing w:after="120" w:line="312" w:lineRule="auto"/>
        <w:ind w:left="992" w:hanging="567"/>
        <w:rPr>
          <w:rFonts w:ascii="Arial" w:hAnsi="Arial" w:cs="Arial"/>
        </w:rPr>
      </w:pPr>
      <w:r>
        <w:rPr>
          <w:rFonts w:ascii="Arial" w:hAnsi="Arial" w:cs="Arial"/>
        </w:rPr>
        <w:t>The burning of fuels in plant and equipment (covered in Section 2.1 Stationary energy</w:t>
      </w:r>
      <w:r w:rsidRPr="008870C0">
        <w:rPr>
          <w:rFonts w:ascii="Arial" w:hAnsi="Arial" w:cs="Arial"/>
        </w:rPr>
        <w:t xml:space="preserve"> emissions</w:t>
      </w:r>
      <w:r>
        <w:rPr>
          <w:rFonts w:ascii="Arial" w:hAnsi="Arial" w:cs="Arial"/>
        </w:rPr>
        <w:t>)</w:t>
      </w:r>
      <w:r w:rsidRPr="008870C0">
        <w:rPr>
          <w:rFonts w:ascii="Arial" w:hAnsi="Arial" w:cs="Arial"/>
        </w:rPr>
        <w:t>.</w:t>
      </w:r>
    </w:p>
    <w:p w14:paraId="2994821D" w14:textId="77777777" w:rsidR="00693E18" w:rsidRDefault="00693E18" w:rsidP="00693E18">
      <w:pPr>
        <w:pStyle w:val="BodyText"/>
        <w:numPr>
          <w:ilvl w:val="0"/>
          <w:numId w:val="20"/>
        </w:numPr>
        <w:tabs>
          <w:tab w:val="left" w:pos="993"/>
          <w:tab w:val="left" w:pos="2250"/>
        </w:tabs>
        <w:spacing w:after="120" w:line="312" w:lineRule="auto"/>
        <w:ind w:left="992" w:hanging="567"/>
        <w:rPr>
          <w:rFonts w:ascii="Arial" w:hAnsi="Arial" w:cs="Arial"/>
        </w:rPr>
      </w:pPr>
      <w:r>
        <w:rPr>
          <w:rFonts w:ascii="Arial" w:hAnsi="Arial" w:cs="Arial"/>
        </w:rPr>
        <w:t>Carbon dioxide (CO</w:t>
      </w:r>
      <w:r w:rsidRPr="004219A3">
        <w:rPr>
          <w:rFonts w:ascii="Arial" w:hAnsi="Arial" w:cs="Arial"/>
          <w:vertAlign w:val="subscript"/>
        </w:rPr>
        <w:t>2</w:t>
      </w:r>
      <w:r>
        <w:rPr>
          <w:rFonts w:ascii="Arial" w:hAnsi="Arial" w:cs="Arial"/>
        </w:rPr>
        <w:t>) emissions and removals associated with land conversion, tree planting and crop and grazing land management (Section 7</w:t>
      </w:r>
      <w:r w:rsidRPr="008870C0">
        <w:rPr>
          <w:rFonts w:ascii="Arial" w:hAnsi="Arial" w:cs="Arial"/>
        </w:rPr>
        <w:t xml:space="preserve"> Land-use change and forestry)</w:t>
      </w:r>
      <w:r>
        <w:rPr>
          <w:rFonts w:ascii="Arial" w:hAnsi="Arial" w:cs="Arial"/>
        </w:rPr>
        <w:t xml:space="preserve">. </w:t>
      </w:r>
    </w:p>
    <w:p w14:paraId="4150494F" w14:textId="77777777" w:rsidR="00693E18" w:rsidRDefault="00693E18" w:rsidP="00693E18">
      <w:pPr>
        <w:pStyle w:val="Heading2"/>
        <w:tabs>
          <w:tab w:val="left" w:pos="0"/>
          <w:tab w:val="left" w:pos="2250"/>
        </w:tabs>
        <w:spacing w:before="120" w:after="0" w:line="312" w:lineRule="auto"/>
        <w:rPr>
          <w:rFonts w:ascii="Arial" w:hAnsi="Arial" w:cs="Arial"/>
        </w:rPr>
      </w:pPr>
      <w:r>
        <w:rPr>
          <w:rFonts w:ascii="Arial" w:hAnsi="Arial" w:cs="Arial"/>
        </w:rPr>
        <w:t>Greenhouse gas emissions from agriculture</w:t>
      </w:r>
    </w:p>
    <w:p w14:paraId="40192D12" w14:textId="77777777" w:rsidR="00693E18" w:rsidRDefault="00693E18" w:rsidP="00693E18">
      <w:pPr>
        <w:pStyle w:val="BodyText"/>
        <w:tabs>
          <w:tab w:val="left" w:pos="0"/>
        </w:tabs>
        <w:spacing w:before="120" w:after="0" w:line="312" w:lineRule="auto"/>
        <w:ind w:left="0"/>
        <w:rPr>
          <w:rFonts w:ascii="Arial" w:hAnsi="Arial" w:cs="Arial"/>
        </w:rPr>
      </w:pPr>
      <w:r>
        <w:rPr>
          <w:rFonts w:ascii="Arial" w:hAnsi="Arial" w:cs="Arial"/>
        </w:rPr>
        <w:t xml:space="preserve">Emissions of greenhouse gases are produced on agricultural lands as a result of a number of natural and human-induced processes.  These include the decay or burning of biomass, feed digestion by ruminant livestock, the addition of nitrogen and carbon containing fertiliser and animal manure, crop residues returned to the soil, nitrogen leaching and runoff, atmospheric deposition, and the anaerobic decomposition of organic matter during flood irrigation. </w:t>
      </w:r>
    </w:p>
    <w:p w14:paraId="20E2EF6C" w14:textId="77777777" w:rsidR="00693E18" w:rsidRDefault="00693E18" w:rsidP="00693E18">
      <w:pPr>
        <w:tabs>
          <w:tab w:val="left" w:pos="0"/>
        </w:tabs>
        <w:spacing w:before="120" w:line="312" w:lineRule="auto"/>
        <w:ind w:left="0"/>
        <w:rPr>
          <w:rFonts w:ascii="Arial" w:hAnsi="Arial" w:cs="Arial"/>
        </w:rPr>
      </w:pPr>
      <w:r>
        <w:rPr>
          <w:rFonts w:ascii="Arial" w:hAnsi="Arial" w:cs="Arial"/>
        </w:rPr>
        <w:t>The principal greenhouse gases estimated for agriculture are methane (CH</w:t>
      </w:r>
      <w:r>
        <w:rPr>
          <w:rFonts w:ascii="Arial" w:hAnsi="Arial" w:cs="Arial"/>
          <w:vertAlign w:val="subscript"/>
        </w:rPr>
        <w:t>4</w:t>
      </w:r>
      <w:r>
        <w:rPr>
          <w:rFonts w:ascii="Arial" w:hAnsi="Arial" w:cs="Arial"/>
        </w:rPr>
        <w:t>) and nitrous oxide (N</w:t>
      </w:r>
      <w:r>
        <w:rPr>
          <w:rFonts w:ascii="Arial" w:hAnsi="Arial" w:cs="Arial"/>
          <w:vertAlign w:val="subscript"/>
        </w:rPr>
        <w:t>2</w:t>
      </w:r>
      <w:r>
        <w:rPr>
          <w:rFonts w:ascii="Arial" w:hAnsi="Arial" w:cs="Arial"/>
        </w:rPr>
        <w:t>O).  CO</w:t>
      </w:r>
      <w:r>
        <w:rPr>
          <w:rFonts w:ascii="Arial" w:hAnsi="Arial" w:cs="Arial"/>
          <w:vertAlign w:val="subscript"/>
        </w:rPr>
        <w:t xml:space="preserve">2 </w:t>
      </w:r>
      <w:r w:rsidRPr="00C353F1">
        <w:rPr>
          <w:rFonts w:ascii="Arial" w:hAnsi="Arial" w:cs="Arial"/>
        </w:rPr>
        <w:t xml:space="preserve">emissions </w:t>
      </w:r>
      <w:r>
        <w:rPr>
          <w:rFonts w:ascii="Arial" w:hAnsi="Arial" w:cs="Arial"/>
        </w:rPr>
        <w:t>associated with the application of lime and urea are also accounted for in agriculture. Emissions and removals of CO</w:t>
      </w:r>
      <w:r>
        <w:rPr>
          <w:rFonts w:ascii="Arial" w:hAnsi="Arial" w:cs="Arial"/>
          <w:vertAlign w:val="subscript"/>
        </w:rPr>
        <w:t>2</w:t>
      </w:r>
      <w:r>
        <w:rPr>
          <w:rFonts w:ascii="Arial" w:hAnsi="Arial" w:cs="Arial"/>
        </w:rPr>
        <w:t xml:space="preserve"> from agriculture associated with biological sources are covered in Section 7.</w:t>
      </w:r>
    </w:p>
    <w:p w14:paraId="3D07BA95" w14:textId="33A9396D" w:rsidR="00693E18" w:rsidRDefault="00693E18" w:rsidP="00693E18">
      <w:pPr>
        <w:tabs>
          <w:tab w:val="left" w:pos="0"/>
        </w:tabs>
        <w:spacing w:before="120" w:line="312" w:lineRule="auto"/>
        <w:ind w:left="0"/>
        <w:rPr>
          <w:rFonts w:ascii="Arial" w:hAnsi="Arial" w:cs="Arial"/>
          <w:i/>
          <w:iCs/>
        </w:rPr>
      </w:pPr>
      <w:r>
        <w:rPr>
          <w:rFonts w:ascii="Arial" w:hAnsi="Arial" w:cs="Arial"/>
        </w:rPr>
        <w:t>The main agricultural sources of CH</w:t>
      </w:r>
      <w:r>
        <w:rPr>
          <w:rFonts w:ascii="Arial" w:hAnsi="Arial" w:cs="Arial"/>
          <w:vertAlign w:val="subscript"/>
        </w:rPr>
        <w:t>4</w:t>
      </w:r>
      <w:r>
        <w:rPr>
          <w:rFonts w:ascii="Arial" w:hAnsi="Arial" w:cs="Arial"/>
        </w:rPr>
        <w:t xml:space="preserve"> are the digestion of feed by livestock</w:t>
      </w:r>
      <w:r w:rsidR="00C07C3E">
        <w:rPr>
          <w:rFonts w:ascii="Arial" w:hAnsi="Arial" w:cs="Arial"/>
        </w:rPr>
        <w:t xml:space="preserve"> and</w:t>
      </w:r>
      <w:r>
        <w:rPr>
          <w:rFonts w:ascii="Arial" w:hAnsi="Arial" w:cs="Arial"/>
        </w:rPr>
        <w:t xml:space="preserve"> manure management.  The main agricultural source of N</w:t>
      </w:r>
      <w:r>
        <w:rPr>
          <w:rFonts w:ascii="Arial" w:hAnsi="Arial" w:cs="Arial"/>
          <w:vertAlign w:val="subscript"/>
        </w:rPr>
        <w:t>2</w:t>
      </w:r>
      <w:r>
        <w:rPr>
          <w:rFonts w:ascii="Arial" w:hAnsi="Arial" w:cs="Arial"/>
        </w:rPr>
        <w:t xml:space="preserve">O is soils, primarily as a result of the use of nitrogen-based fertilisers on crops and pastures.  Manure </w:t>
      </w:r>
      <w:r w:rsidR="00AD74DD">
        <w:rPr>
          <w:rFonts w:ascii="Arial" w:hAnsi="Arial" w:cs="Arial"/>
        </w:rPr>
        <w:t>management is</w:t>
      </w:r>
      <w:r w:rsidR="00D90CEF">
        <w:rPr>
          <w:rFonts w:ascii="Arial" w:hAnsi="Arial" w:cs="Arial"/>
        </w:rPr>
        <w:t xml:space="preserve"> also a source </w:t>
      </w:r>
      <w:r>
        <w:rPr>
          <w:rFonts w:ascii="Arial" w:hAnsi="Arial" w:cs="Arial"/>
        </w:rPr>
        <w:t>of N</w:t>
      </w:r>
      <w:r>
        <w:rPr>
          <w:rFonts w:ascii="Arial" w:hAnsi="Arial" w:cs="Arial"/>
          <w:vertAlign w:val="subscript"/>
        </w:rPr>
        <w:t>2</w:t>
      </w:r>
      <w:r>
        <w:rPr>
          <w:rFonts w:ascii="Arial" w:hAnsi="Arial" w:cs="Arial"/>
        </w:rPr>
        <w:t>O.  Crop residue burning produces some CH</w:t>
      </w:r>
      <w:r>
        <w:rPr>
          <w:rFonts w:ascii="Arial" w:hAnsi="Arial" w:cs="Arial"/>
          <w:vertAlign w:val="subscript"/>
        </w:rPr>
        <w:t>4</w:t>
      </w:r>
      <w:r>
        <w:rPr>
          <w:rFonts w:ascii="Arial" w:hAnsi="Arial" w:cs="Arial"/>
        </w:rPr>
        <w:t xml:space="preserve"> and N</w:t>
      </w:r>
      <w:r>
        <w:rPr>
          <w:rFonts w:ascii="Arial" w:hAnsi="Arial" w:cs="Arial"/>
          <w:vertAlign w:val="subscript"/>
        </w:rPr>
        <w:t>2</w:t>
      </w:r>
      <w:r>
        <w:rPr>
          <w:rFonts w:ascii="Arial" w:hAnsi="Arial" w:cs="Arial"/>
        </w:rPr>
        <w:t xml:space="preserve">O.  </w:t>
      </w:r>
    </w:p>
    <w:p w14:paraId="6C8DB061" w14:textId="77777777" w:rsidR="00693E18" w:rsidRDefault="00693E18" w:rsidP="00693E18">
      <w:pPr>
        <w:tabs>
          <w:tab w:val="left" w:pos="0"/>
        </w:tabs>
        <w:spacing w:before="120" w:line="312" w:lineRule="auto"/>
        <w:ind w:left="0"/>
        <w:rPr>
          <w:rFonts w:ascii="Arial" w:hAnsi="Arial" w:cs="Arial"/>
        </w:rPr>
      </w:pPr>
      <w:r>
        <w:rPr>
          <w:rFonts w:ascii="Arial" w:hAnsi="Arial" w:cs="Arial"/>
        </w:rPr>
        <w:t xml:space="preserve">Greenhouse gas emissions represent a loss of valuable resources from farming systems.  There is a wide range of actions that land managers can take in order to enhance the efficiency with which these resources are used, thereby reducing their greenhouse impacts and improving productivity at the same time.  </w:t>
      </w:r>
    </w:p>
    <w:p w14:paraId="12B479AB" w14:textId="77777777" w:rsidR="00693E18" w:rsidRDefault="00693E18" w:rsidP="00693E18">
      <w:pPr>
        <w:pStyle w:val="Heading2"/>
        <w:tabs>
          <w:tab w:val="left" w:pos="0"/>
          <w:tab w:val="left" w:pos="2250"/>
        </w:tabs>
        <w:spacing w:before="120" w:after="0" w:line="312" w:lineRule="auto"/>
        <w:rPr>
          <w:rFonts w:ascii="Arial" w:hAnsi="Arial" w:cs="Arial"/>
        </w:rPr>
      </w:pPr>
      <w:r>
        <w:rPr>
          <w:rFonts w:ascii="Arial" w:hAnsi="Arial" w:cs="Arial"/>
        </w:rPr>
        <w:t xml:space="preserve">Estimating agricultural emissions </w:t>
      </w:r>
    </w:p>
    <w:p w14:paraId="30AC557C" w14:textId="4D2DDFED" w:rsidR="00693E18" w:rsidRDefault="00693E18" w:rsidP="00693E18">
      <w:pPr>
        <w:tabs>
          <w:tab w:val="left" w:pos="0"/>
          <w:tab w:val="left" w:pos="6521"/>
          <w:tab w:val="left" w:pos="7371"/>
        </w:tabs>
        <w:spacing w:before="120" w:line="312" w:lineRule="auto"/>
        <w:ind w:left="0"/>
        <w:rPr>
          <w:rFonts w:ascii="Arial" w:hAnsi="Arial" w:cs="Arial"/>
          <w:iCs/>
        </w:rPr>
      </w:pPr>
      <w:r>
        <w:rPr>
          <w:rFonts w:ascii="Arial" w:hAnsi="Arial" w:cs="Arial"/>
        </w:rPr>
        <w:t xml:space="preserve">State and national-level estimates of greenhouse gas emissions from agriculture are prepared using the methodology set out in the </w:t>
      </w:r>
      <w:r>
        <w:rPr>
          <w:rFonts w:ascii="Arial" w:hAnsi="Arial" w:cs="Arial"/>
          <w:i/>
        </w:rPr>
        <w:t>National Inventory Report</w:t>
      </w:r>
      <w:r w:rsidR="001D1DE0">
        <w:rPr>
          <w:rFonts w:ascii="Arial" w:hAnsi="Arial" w:cs="Arial"/>
          <w:i/>
        </w:rPr>
        <w:t>2015</w:t>
      </w:r>
      <w:r>
        <w:rPr>
          <w:rFonts w:ascii="Arial" w:hAnsi="Arial" w:cs="Arial"/>
          <w:i/>
        </w:rPr>
        <w:t>.</w:t>
      </w:r>
    </w:p>
    <w:p w14:paraId="5E585102" w14:textId="77777777" w:rsidR="00693E18" w:rsidRPr="00B90C7D" w:rsidRDefault="00693E18" w:rsidP="00693E18">
      <w:pPr>
        <w:tabs>
          <w:tab w:val="left" w:pos="0"/>
        </w:tabs>
        <w:spacing w:before="120" w:line="312" w:lineRule="auto"/>
        <w:ind w:left="0"/>
        <w:rPr>
          <w:rFonts w:ascii="Arial" w:hAnsi="Arial" w:cs="Arial"/>
        </w:rPr>
      </w:pPr>
      <w:r>
        <w:rPr>
          <w:rFonts w:ascii="Arial" w:hAnsi="Arial" w:cs="Arial"/>
        </w:rPr>
        <w:t xml:space="preserve">Organisations wishing to report emissions from their agricultural operations may draw on this national methodology to make indicative estimates, but should note that the methodology uses regional averages not directly applicable to specific operations </w:t>
      </w:r>
      <w:r w:rsidRPr="00B90C7D">
        <w:rPr>
          <w:rFonts w:ascii="Arial" w:hAnsi="Arial" w:cs="Arial"/>
        </w:rPr>
        <w:t xml:space="preserve">dependent on local conditions.  </w:t>
      </w:r>
    </w:p>
    <w:p w14:paraId="7D28A732" w14:textId="77777777" w:rsidR="00693E18" w:rsidRDefault="00693E18" w:rsidP="00693E18">
      <w:pPr>
        <w:tabs>
          <w:tab w:val="left" w:pos="0"/>
        </w:tabs>
        <w:spacing w:line="312" w:lineRule="auto"/>
        <w:ind w:left="0"/>
        <w:rPr>
          <w:rFonts w:ascii="Arial" w:hAnsi="Arial" w:cs="Arial"/>
        </w:rPr>
      </w:pPr>
      <w:r>
        <w:rPr>
          <w:rFonts w:ascii="Arial" w:hAnsi="Arial" w:cs="Arial"/>
        </w:rPr>
        <w:br/>
        <w:t>For information on emissions reporting in the agriculture sector contact:</w:t>
      </w:r>
    </w:p>
    <w:p w14:paraId="1BA31177" w14:textId="77777777" w:rsidR="00693E18" w:rsidRDefault="00693E18" w:rsidP="00693E18">
      <w:pPr>
        <w:tabs>
          <w:tab w:val="left" w:pos="0"/>
        </w:tabs>
        <w:spacing w:line="312" w:lineRule="auto"/>
        <w:ind w:left="0"/>
        <w:rPr>
          <w:rFonts w:ascii="Arial" w:hAnsi="Arial" w:cs="Arial"/>
        </w:rPr>
      </w:pPr>
      <w:r w:rsidRPr="00486448">
        <w:rPr>
          <w:rFonts w:ascii="Arial" w:hAnsi="Arial" w:cs="Arial"/>
        </w:rPr>
        <w:t>Department of the Environment</w:t>
      </w:r>
      <w:r w:rsidR="000873D9">
        <w:rPr>
          <w:rFonts w:ascii="Arial" w:hAnsi="Arial" w:cs="Arial"/>
        </w:rPr>
        <w:t xml:space="preserve"> and Energy</w:t>
      </w:r>
    </w:p>
    <w:p w14:paraId="59E1D613" w14:textId="77777777" w:rsidR="00693E18" w:rsidRDefault="00693E18" w:rsidP="00693E18">
      <w:pPr>
        <w:tabs>
          <w:tab w:val="left" w:pos="0"/>
        </w:tabs>
        <w:spacing w:line="312" w:lineRule="auto"/>
        <w:ind w:left="0"/>
        <w:rPr>
          <w:rFonts w:ascii="Arial" w:hAnsi="Arial" w:cs="Arial"/>
        </w:rPr>
      </w:pPr>
      <w:r>
        <w:rPr>
          <w:rFonts w:ascii="Arial" w:hAnsi="Arial" w:cs="Arial"/>
        </w:rPr>
        <w:t>GPO Box 787</w:t>
      </w:r>
    </w:p>
    <w:p w14:paraId="47DE7A8F" w14:textId="77777777" w:rsidR="00693E18" w:rsidRDefault="00693E18" w:rsidP="00693E18">
      <w:pPr>
        <w:tabs>
          <w:tab w:val="left" w:pos="0"/>
        </w:tabs>
        <w:spacing w:line="312" w:lineRule="auto"/>
        <w:ind w:left="0"/>
        <w:rPr>
          <w:rFonts w:ascii="Arial" w:hAnsi="Arial" w:cs="Arial"/>
        </w:rPr>
      </w:pPr>
      <w:r>
        <w:rPr>
          <w:rFonts w:ascii="Arial" w:hAnsi="Arial" w:cs="Arial"/>
        </w:rPr>
        <w:t>Canberra  ACT  2601</w:t>
      </w:r>
    </w:p>
    <w:p w14:paraId="3D1089C1" w14:textId="77777777" w:rsidR="00693E18" w:rsidRDefault="00693E18" w:rsidP="00693E18">
      <w:pPr>
        <w:tabs>
          <w:tab w:val="left" w:pos="0"/>
        </w:tabs>
        <w:spacing w:line="312" w:lineRule="auto"/>
        <w:ind w:left="0"/>
        <w:rPr>
          <w:rFonts w:ascii="Arial" w:hAnsi="Arial" w:cs="Arial"/>
        </w:rPr>
      </w:pPr>
      <w:r>
        <w:rPr>
          <w:rFonts w:ascii="Arial" w:hAnsi="Arial" w:cs="Arial"/>
        </w:rPr>
        <w:t xml:space="preserve">Email: </w:t>
      </w:r>
      <w:r w:rsidRPr="00B80F09">
        <w:rPr>
          <w:rFonts w:ascii="Arial" w:hAnsi="Arial" w:cs="Arial"/>
        </w:rPr>
        <w:tab/>
      </w:r>
      <w:hyperlink r:id="rId72" w:history="1"/>
      <w:r w:rsidRPr="00345E7B">
        <w:rPr>
          <w:rFonts w:ascii="Arial" w:hAnsi="Arial" w:cs="Arial"/>
        </w:rPr>
        <w:t>nationalgreenhouseaccounts</w:t>
      </w:r>
      <w:r w:rsidRPr="006710B0">
        <w:rPr>
          <w:rFonts w:ascii="Arial" w:hAnsi="Arial" w:cs="Arial"/>
        </w:rPr>
        <w:t>@</w:t>
      </w:r>
      <w:r>
        <w:rPr>
          <w:rFonts w:ascii="Arial" w:hAnsi="Arial" w:cs="Arial"/>
        </w:rPr>
        <w:t>environment</w:t>
      </w:r>
      <w:r w:rsidRPr="006710B0">
        <w:rPr>
          <w:rFonts w:ascii="Arial" w:hAnsi="Arial" w:cs="Arial"/>
        </w:rPr>
        <w:t>.gov.au</w:t>
      </w:r>
    </w:p>
    <w:p w14:paraId="3E8187BB" w14:textId="77777777" w:rsidR="00693E18" w:rsidRPr="00B90C7D" w:rsidRDefault="00693E18" w:rsidP="00693E18">
      <w:pPr>
        <w:pStyle w:val="BodyText"/>
        <w:tabs>
          <w:tab w:val="left" w:pos="0"/>
          <w:tab w:val="left" w:pos="2250"/>
        </w:tabs>
        <w:spacing w:before="120" w:after="0" w:line="312" w:lineRule="auto"/>
        <w:rPr>
          <w:rFonts w:ascii="Arial" w:hAnsi="Arial" w:cs="Arial"/>
        </w:rPr>
      </w:pPr>
    </w:p>
    <w:p w14:paraId="0A40E9E1" w14:textId="77777777" w:rsidR="00693E18" w:rsidRPr="009D4617" w:rsidRDefault="00693E18" w:rsidP="00693E18">
      <w:pPr>
        <w:pStyle w:val="Heading1"/>
        <w:tabs>
          <w:tab w:val="left" w:pos="0"/>
          <w:tab w:val="left" w:pos="2250"/>
        </w:tabs>
        <w:spacing w:before="120" w:after="0" w:line="312" w:lineRule="auto"/>
        <w:ind w:left="0" w:firstLine="0"/>
        <w:rPr>
          <w:rFonts w:ascii="Arial" w:hAnsi="Arial" w:cs="Arial"/>
        </w:rPr>
      </w:pPr>
      <w:r>
        <w:rPr>
          <w:rFonts w:ascii="Arial" w:hAnsi="Arial" w:cs="Arial"/>
        </w:rPr>
        <w:t xml:space="preserve">Land </w:t>
      </w:r>
      <w:r w:rsidR="00E871FB">
        <w:rPr>
          <w:rFonts w:ascii="Arial" w:hAnsi="Arial" w:cs="Arial"/>
        </w:rPr>
        <w:t>u</w:t>
      </w:r>
      <w:r>
        <w:rPr>
          <w:rFonts w:ascii="Arial" w:hAnsi="Arial" w:cs="Arial"/>
        </w:rPr>
        <w:t xml:space="preserve">se, </w:t>
      </w:r>
      <w:r w:rsidRPr="009D4617">
        <w:rPr>
          <w:rFonts w:ascii="Arial" w:hAnsi="Arial" w:cs="Arial"/>
        </w:rPr>
        <w:t>Land</w:t>
      </w:r>
      <w:r w:rsidR="00E871FB">
        <w:rPr>
          <w:rFonts w:ascii="Arial" w:hAnsi="Arial" w:cs="Arial"/>
        </w:rPr>
        <w:t xml:space="preserve"> u</w:t>
      </w:r>
      <w:r w:rsidRPr="009D4617">
        <w:rPr>
          <w:rFonts w:ascii="Arial" w:hAnsi="Arial" w:cs="Arial"/>
        </w:rPr>
        <w:t xml:space="preserve">se </w:t>
      </w:r>
      <w:r w:rsidR="00E871FB">
        <w:rPr>
          <w:rFonts w:ascii="Arial" w:hAnsi="Arial" w:cs="Arial"/>
        </w:rPr>
        <w:t>c</w:t>
      </w:r>
      <w:r w:rsidRPr="009D4617">
        <w:rPr>
          <w:rFonts w:ascii="Arial" w:hAnsi="Arial" w:cs="Arial"/>
        </w:rPr>
        <w:t xml:space="preserve">hange and </w:t>
      </w:r>
      <w:r w:rsidR="00E871FB">
        <w:rPr>
          <w:rFonts w:ascii="Arial" w:hAnsi="Arial" w:cs="Arial"/>
        </w:rPr>
        <w:t>f</w:t>
      </w:r>
      <w:r w:rsidRPr="009D4617">
        <w:rPr>
          <w:rFonts w:ascii="Arial" w:hAnsi="Arial" w:cs="Arial"/>
        </w:rPr>
        <w:t>orestry</w:t>
      </w:r>
    </w:p>
    <w:p w14:paraId="77590126" w14:textId="77777777" w:rsidR="00693E18" w:rsidRPr="00B90C7D" w:rsidRDefault="00693E18" w:rsidP="00693E18">
      <w:pPr>
        <w:pStyle w:val="Heading2"/>
        <w:tabs>
          <w:tab w:val="left" w:pos="0"/>
          <w:tab w:val="left" w:pos="2250"/>
        </w:tabs>
        <w:spacing w:before="120" w:after="0" w:line="312" w:lineRule="auto"/>
        <w:rPr>
          <w:rFonts w:ascii="Arial" w:hAnsi="Arial" w:cs="Arial"/>
        </w:rPr>
      </w:pPr>
      <w:r w:rsidRPr="00B90C7D">
        <w:rPr>
          <w:rFonts w:ascii="Arial" w:hAnsi="Arial" w:cs="Arial"/>
        </w:rPr>
        <w:t>Introduction</w:t>
      </w:r>
    </w:p>
    <w:p w14:paraId="2C8E19A6" w14:textId="77777777" w:rsidR="00693E18" w:rsidRDefault="00693E18" w:rsidP="00693E18">
      <w:pPr>
        <w:pStyle w:val="BodyText"/>
        <w:tabs>
          <w:tab w:val="left" w:pos="0"/>
          <w:tab w:val="left" w:pos="990"/>
          <w:tab w:val="left" w:pos="2250"/>
        </w:tabs>
        <w:spacing w:before="120" w:after="0" w:line="312" w:lineRule="auto"/>
        <w:ind w:left="0"/>
        <w:rPr>
          <w:rFonts w:ascii="Arial" w:hAnsi="Arial" w:cs="Arial"/>
        </w:rPr>
      </w:pPr>
      <w:r>
        <w:rPr>
          <w:rFonts w:ascii="Arial" w:hAnsi="Arial" w:cs="Arial"/>
        </w:rPr>
        <w:t>This section covers the estimation of emissions and removals of CO</w:t>
      </w:r>
      <w:r w:rsidRPr="00A77032">
        <w:rPr>
          <w:rFonts w:ascii="Arial" w:hAnsi="Arial" w:cs="Arial"/>
          <w:vertAlign w:val="subscript"/>
        </w:rPr>
        <w:t>2</w:t>
      </w:r>
      <w:r>
        <w:rPr>
          <w:rFonts w:ascii="Arial" w:hAnsi="Arial" w:cs="Arial"/>
        </w:rPr>
        <w:t xml:space="preserve"> associated with activities that change the amount of carbon in the land sector. These can include activities such as:</w:t>
      </w:r>
    </w:p>
    <w:p w14:paraId="627ABF1B" w14:textId="77777777" w:rsidR="00326A8E" w:rsidRDefault="00693E18" w:rsidP="00693E18">
      <w:pPr>
        <w:pStyle w:val="BodyText"/>
        <w:numPr>
          <w:ilvl w:val="0"/>
          <w:numId w:val="42"/>
        </w:numPr>
        <w:tabs>
          <w:tab w:val="left" w:pos="0"/>
          <w:tab w:val="left" w:pos="990"/>
          <w:tab w:val="left" w:pos="2250"/>
        </w:tabs>
        <w:spacing w:before="120" w:after="0" w:line="312" w:lineRule="auto"/>
        <w:rPr>
          <w:rFonts w:ascii="Arial" w:hAnsi="Arial" w:cs="Arial"/>
        </w:rPr>
      </w:pPr>
      <w:r w:rsidRPr="00B90C7D">
        <w:rPr>
          <w:rFonts w:ascii="Arial" w:hAnsi="Arial" w:cs="Arial"/>
        </w:rPr>
        <w:t xml:space="preserve">Forestry activities </w:t>
      </w:r>
      <w:r>
        <w:rPr>
          <w:rFonts w:ascii="Arial" w:hAnsi="Arial" w:cs="Arial"/>
        </w:rPr>
        <w:t xml:space="preserve">which can take up (sequester) carbon from the atmosphere through actively growing trees. </w:t>
      </w:r>
      <w:r w:rsidRPr="00B90C7D">
        <w:rPr>
          <w:rFonts w:ascii="Arial" w:hAnsi="Arial" w:cs="Arial"/>
        </w:rPr>
        <w:t xml:space="preserve">Natural events, e.g. fire and pest attack, and management actions such as harvesting </w:t>
      </w:r>
      <w:r>
        <w:rPr>
          <w:rFonts w:ascii="Arial" w:hAnsi="Arial" w:cs="Arial"/>
        </w:rPr>
        <w:t xml:space="preserve">can </w:t>
      </w:r>
      <w:r w:rsidRPr="00B90C7D">
        <w:rPr>
          <w:rFonts w:ascii="Arial" w:hAnsi="Arial" w:cs="Arial"/>
        </w:rPr>
        <w:t xml:space="preserve">reduce </w:t>
      </w:r>
      <w:r>
        <w:rPr>
          <w:rFonts w:ascii="Arial" w:hAnsi="Arial" w:cs="Arial"/>
        </w:rPr>
        <w:t xml:space="preserve">these </w:t>
      </w:r>
      <w:r w:rsidRPr="00B90C7D">
        <w:rPr>
          <w:rFonts w:ascii="Arial" w:hAnsi="Arial" w:cs="Arial"/>
        </w:rPr>
        <w:t>forest carbon stocks</w:t>
      </w:r>
      <w:r w:rsidR="00326A8E">
        <w:rPr>
          <w:rFonts w:ascii="Arial" w:hAnsi="Arial" w:cs="Arial"/>
        </w:rPr>
        <w:t>.</w:t>
      </w:r>
    </w:p>
    <w:p w14:paraId="1A026BCB" w14:textId="77777777" w:rsidR="00693E18" w:rsidRPr="00FA2C90" w:rsidRDefault="00B75991" w:rsidP="00326A8E">
      <w:pPr>
        <w:numPr>
          <w:ilvl w:val="0"/>
          <w:numId w:val="42"/>
        </w:numPr>
        <w:rPr>
          <w:rFonts w:ascii="Arial" w:hAnsi="Arial" w:cs="Arial"/>
        </w:rPr>
      </w:pPr>
      <w:r w:rsidRPr="00B75991">
        <w:rPr>
          <w:rFonts w:ascii="Arial" w:hAnsi="Arial" w:cs="Arial"/>
        </w:rPr>
        <w:t xml:space="preserve">The burning of Grasslands and Woodlands for the management of vegetation and fuel loads.  </w:t>
      </w:r>
    </w:p>
    <w:p w14:paraId="69EDFD52" w14:textId="77777777" w:rsidR="00693E18" w:rsidRDefault="00693E18" w:rsidP="00693E18">
      <w:pPr>
        <w:pStyle w:val="BodyText"/>
        <w:numPr>
          <w:ilvl w:val="0"/>
          <w:numId w:val="42"/>
        </w:numPr>
        <w:tabs>
          <w:tab w:val="left" w:pos="0"/>
          <w:tab w:val="left" w:pos="990"/>
          <w:tab w:val="left" w:pos="2250"/>
        </w:tabs>
        <w:spacing w:before="120" w:after="0" w:line="312" w:lineRule="auto"/>
        <w:rPr>
          <w:rFonts w:ascii="Arial" w:hAnsi="Arial" w:cs="Arial"/>
        </w:rPr>
      </w:pPr>
      <w:r w:rsidRPr="00B90C7D">
        <w:rPr>
          <w:rFonts w:ascii="Arial" w:hAnsi="Arial" w:cs="Arial"/>
        </w:rPr>
        <w:t>Deforestation produces greenhouse gas emissions from the burning and decay of cleared vegetation and changes in soil carbon.</w:t>
      </w:r>
      <w:r w:rsidRPr="00515502">
        <w:rPr>
          <w:rFonts w:ascii="Arial" w:hAnsi="Arial" w:cs="Arial"/>
        </w:rPr>
        <w:t xml:space="preserve"> </w:t>
      </w:r>
    </w:p>
    <w:p w14:paraId="6A1C23EE" w14:textId="77777777" w:rsidR="00693E18" w:rsidRDefault="00693E18" w:rsidP="00693E18">
      <w:pPr>
        <w:pStyle w:val="BodyText"/>
        <w:numPr>
          <w:ilvl w:val="0"/>
          <w:numId w:val="42"/>
        </w:numPr>
        <w:tabs>
          <w:tab w:val="left" w:pos="0"/>
          <w:tab w:val="left" w:pos="990"/>
          <w:tab w:val="left" w:pos="2250"/>
        </w:tabs>
        <w:spacing w:before="120" w:after="0" w:line="312" w:lineRule="auto"/>
        <w:rPr>
          <w:rFonts w:ascii="Arial" w:hAnsi="Arial" w:cs="Arial"/>
        </w:rPr>
      </w:pPr>
      <w:r>
        <w:rPr>
          <w:rFonts w:ascii="Arial" w:hAnsi="Arial" w:cs="Arial"/>
        </w:rPr>
        <w:t>Management of cropland and grazing lands which can lead to losses and gains in soil carbon.</w:t>
      </w:r>
    </w:p>
    <w:p w14:paraId="549B45F0"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b/>
          <w:i/>
        </w:rPr>
      </w:pPr>
    </w:p>
    <w:p w14:paraId="63D6F847" w14:textId="77777777" w:rsidR="00693E18" w:rsidRPr="00B90C7D" w:rsidRDefault="00693E18" w:rsidP="00693E18">
      <w:pPr>
        <w:pStyle w:val="Heading2"/>
        <w:tabs>
          <w:tab w:val="left" w:pos="0"/>
          <w:tab w:val="left" w:pos="2250"/>
        </w:tabs>
        <w:spacing w:before="120" w:after="0" w:line="312" w:lineRule="auto"/>
        <w:ind w:left="578" w:hanging="578"/>
        <w:rPr>
          <w:rFonts w:ascii="Arial" w:hAnsi="Arial"/>
        </w:rPr>
      </w:pPr>
      <w:r w:rsidRPr="00B90C7D">
        <w:rPr>
          <w:rFonts w:ascii="Arial" w:hAnsi="Arial"/>
        </w:rPr>
        <w:t>Activities covered under Australia’s national inventory</w:t>
      </w:r>
    </w:p>
    <w:p w14:paraId="145508E6" w14:textId="7B002764" w:rsidR="00693E18"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Australia reports greenhouse gas emissions and carbon sequestration from land use change and forestry according to</w:t>
      </w:r>
      <w:r>
        <w:rPr>
          <w:rFonts w:ascii="Arial" w:hAnsi="Arial" w:cs="Arial"/>
        </w:rPr>
        <w:t xml:space="preserve"> both</w:t>
      </w:r>
      <w:r w:rsidRPr="00B90C7D">
        <w:rPr>
          <w:rFonts w:ascii="Arial" w:hAnsi="Arial" w:cs="Arial"/>
        </w:rPr>
        <w:t xml:space="preserve"> the Kyoto </w:t>
      </w:r>
      <w:r w:rsidR="00E871FB" w:rsidRPr="00B90C7D">
        <w:rPr>
          <w:rFonts w:ascii="Arial" w:hAnsi="Arial" w:cs="Arial"/>
        </w:rPr>
        <w:t>Protocol and</w:t>
      </w:r>
      <w:r w:rsidRPr="00B90C7D">
        <w:rPr>
          <w:rFonts w:ascii="Arial" w:hAnsi="Arial" w:cs="Arial"/>
        </w:rPr>
        <w:t xml:space="preserve"> the</w:t>
      </w:r>
      <w:r>
        <w:rPr>
          <w:rFonts w:ascii="Arial" w:hAnsi="Arial" w:cs="Arial"/>
        </w:rPr>
        <w:t xml:space="preserve"> </w:t>
      </w:r>
      <w:r w:rsidRPr="00B90C7D">
        <w:rPr>
          <w:rFonts w:ascii="Arial" w:hAnsi="Arial" w:cs="Arial"/>
        </w:rPr>
        <w:t>United Nations Framework Convention on Climate Change (UNFCCC)</w:t>
      </w:r>
      <w:r>
        <w:rPr>
          <w:rFonts w:ascii="Arial" w:hAnsi="Arial" w:cs="Arial"/>
        </w:rPr>
        <w:t xml:space="preserve"> classification systems</w:t>
      </w:r>
      <w:r w:rsidRPr="00B90C7D">
        <w:rPr>
          <w:rFonts w:ascii="Arial" w:hAnsi="Arial" w:cs="Arial"/>
        </w:rPr>
        <w:t xml:space="preserve">.  </w:t>
      </w:r>
      <w:r>
        <w:rPr>
          <w:rFonts w:ascii="Arial" w:hAnsi="Arial" w:cs="Arial"/>
        </w:rPr>
        <w:t>U</w:t>
      </w:r>
      <w:r w:rsidRPr="00B90C7D">
        <w:rPr>
          <w:rFonts w:ascii="Arial" w:hAnsi="Arial" w:cs="Arial"/>
        </w:rPr>
        <w:t xml:space="preserve">nder the Kyoto </w:t>
      </w:r>
      <w:r>
        <w:rPr>
          <w:rFonts w:ascii="Arial" w:hAnsi="Arial" w:cs="Arial"/>
        </w:rPr>
        <w:t>system Australia estimates emissions for the following land classifications/activities:</w:t>
      </w:r>
    </w:p>
    <w:p w14:paraId="1D4329F6" w14:textId="77777777" w:rsidR="00693E18" w:rsidRDefault="00693E18" w:rsidP="00693E18">
      <w:pPr>
        <w:pStyle w:val="BodyText"/>
        <w:numPr>
          <w:ilvl w:val="0"/>
          <w:numId w:val="43"/>
        </w:numPr>
        <w:tabs>
          <w:tab w:val="left" w:pos="0"/>
          <w:tab w:val="left" w:pos="990"/>
          <w:tab w:val="left" w:pos="2250"/>
        </w:tabs>
        <w:spacing w:before="120" w:after="0" w:line="312" w:lineRule="auto"/>
        <w:rPr>
          <w:rFonts w:ascii="Arial" w:hAnsi="Arial" w:cs="Arial"/>
        </w:rPr>
      </w:pPr>
      <w:r>
        <w:rPr>
          <w:rFonts w:ascii="Arial" w:hAnsi="Arial" w:cs="Arial"/>
        </w:rPr>
        <w:t xml:space="preserve">Deforestation – </w:t>
      </w:r>
      <w:r>
        <w:rPr>
          <w:rFonts w:ascii="Arial" w:hAnsi="Arial" w:cs="Arial"/>
          <w:lang w:val="en-GB"/>
        </w:rPr>
        <w:t xml:space="preserve">occurring since </w:t>
      </w:r>
      <w:r>
        <w:rPr>
          <w:rFonts w:ascii="Arial" w:hAnsi="Arial" w:cs="Arial"/>
        </w:rPr>
        <w:t>1 January 1990</w:t>
      </w:r>
    </w:p>
    <w:p w14:paraId="34AD8401" w14:textId="77777777" w:rsidR="00693E18" w:rsidRDefault="00693E18" w:rsidP="00693E18">
      <w:pPr>
        <w:pStyle w:val="BodyText"/>
        <w:numPr>
          <w:ilvl w:val="0"/>
          <w:numId w:val="43"/>
        </w:numPr>
        <w:tabs>
          <w:tab w:val="left" w:pos="0"/>
          <w:tab w:val="left" w:pos="990"/>
          <w:tab w:val="left" w:pos="2250"/>
        </w:tabs>
        <w:spacing w:before="120" w:after="0" w:line="312" w:lineRule="auto"/>
        <w:rPr>
          <w:rFonts w:ascii="Arial" w:hAnsi="Arial" w:cs="Arial"/>
        </w:rPr>
      </w:pPr>
      <w:r>
        <w:rPr>
          <w:rFonts w:ascii="Arial" w:hAnsi="Arial" w:cs="Arial"/>
        </w:rPr>
        <w:t>A</w:t>
      </w:r>
      <w:r w:rsidRPr="00B90C7D">
        <w:rPr>
          <w:rFonts w:ascii="Arial" w:hAnsi="Arial" w:cs="Arial"/>
        </w:rPr>
        <w:t>fforestation and reforestation</w:t>
      </w:r>
      <w:r>
        <w:rPr>
          <w:rFonts w:ascii="Arial" w:hAnsi="Arial" w:cs="Arial"/>
        </w:rPr>
        <w:t xml:space="preserve"> – occurring since 1 January 1990.</w:t>
      </w:r>
    </w:p>
    <w:p w14:paraId="7FADF8B2" w14:textId="77777777" w:rsidR="00693E18" w:rsidRDefault="00693E18" w:rsidP="00693E18">
      <w:pPr>
        <w:pStyle w:val="BodyText"/>
        <w:numPr>
          <w:ilvl w:val="0"/>
          <w:numId w:val="43"/>
        </w:numPr>
        <w:tabs>
          <w:tab w:val="left" w:pos="0"/>
          <w:tab w:val="left" w:pos="990"/>
          <w:tab w:val="left" w:pos="2250"/>
        </w:tabs>
        <w:spacing w:before="120" w:after="0" w:line="312" w:lineRule="auto"/>
        <w:rPr>
          <w:rFonts w:ascii="Arial" w:hAnsi="Arial" w:cs="Arial"/>
        </w:rPr>
      </w:pPr>
      <w:r>
        <w:rPr>
          <w:rFonts w:ascii="Arial" w:hAnsi="Arial" w:cs="Arial"/>
        </w:rPr>
        <w:t xml:space="preserve">Forest Management – limited to forests managed under a system of practices to support commercial timber production or practices designed to implement specific sink enhancement activities. </w:t>
      </w:r>
    </w:p>
    <w:p w14:paraId="502AB8CD" w14:textId="77777777" w:rsidR="00693E18" w:rsidRDefault="00693E18" w:rsidP="00693E18">
      <w:pPr>
        <w:pStyle w:val="BodyText"/>
        <w:numPr>
          <w:ilvl w:val="0"/>
          <w:numId w:val="43"/>
        </w:numPr>
        <w:tabs>
          <w:tab w:val="left" w:pos="0"/>
          <w:tab w:val="left" w:pos="990"/>
          <w:tab w:val="left" w:pos="2250"/>
        </w:tabs>
        <w:spacing w:before="120" w:after="0" w:line="312" w:lineRule="auto"/>
        <w:rPr>
          <w:rFonts w:ascii="Arial" w:hAnsi="Arial" w:cs="Arial"/>
        </w:rPr>
      </w:pPr>
      <w:r>
        <w:rPr>
          <w:rFonts w:ascii="Arial" w:hAnsi="Arial" w:cs="Arial"/>
        </w:rPr>
        <w:t>Cropland and Grazing Land Management</w:t>
      </w:r>
    </w:p>
    <w:p w14:paraId="56AC6C20" w14:textId="5697723C" w:rsidR="00F646DC" w:rsidRDefault="00F646DC" w:rsidP="00693E18">
      <w:pPr>
        <w:pStyle w:val="BodyText"/>
        <w:numPr>
          <w:ilvl w:val="0"/>
          <w:numId w:val="43"/>
        </w:numPr>
        <w:tabs>
          <w:tab w:val="left" w:pos="0"/>
          <w:tab w:val="left" w:pos="990"/>
          <w:tab w:val="left" w:pos="2250"/>
        </w:tabs>
        <w:spacing w:before="120" w:after="0" w:line="312" w:lineRule="auto"/>
        <w:rPr>
          <w:rFonts w:ascii="Arial" w:hAnsi="Arial" w:cs="Arial"/>
        </w:rPr>
      </w:pPr>
      <w:r>
        <w:rPr>
          <w:rFonts w:ascii="Arial" w:hAnsi="Arial" w:cs="Arial"/>
        </w:rPr>
        <w:t>Revegetation – gains and losses in sparse vegetation that does not meet the definition of forest and is not already included in Cropland or Grazing Land Management.</w:t>
      </w:r>
    </w:p>
    <w:p w14:paraId="12007F4B"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 xml:space="preserve">The UNFCCC requirements cover a broader range of </w:t>
      </w:r>
      <w:r>
        <w:rPr>
          <w:rFonts w:ascii="Arial" w:hAnsi="Arial" w:cs="Arial"/>
        </w:rPr>
        <w:t>land classifications/activities</w:t>
      </w:r>
      <w:r w:rsidRPr="00B90C7D">
        <w:rPr>
          <w:rFonts w:ascii="Arial" w:hAnsi="Arial" w:cs="Arial"/>
        </w:rPr>
        <w:t xml:space="preserve">, including </w:t>
      </w:r>
      <w:r>
        <w:rPr>
          <w:rFonts w:ascii="Arial" w:hAnsi="Arial" w:cs="Arial"/>
        </w:rPr>
        <w:t>reporting changes in carbon stocks in all forests</w:t>
      </w:r>
      <w:r w:rsidRPr="00B90C7D">
        <w:rPr>
          <w:rFonts w:ascii="Arial" w:hAnsi="Arial" w:cs="Arial"/>
        </w:rPr>
        <w:t xml:space="preserve">  </w:t>
      </w:r>
    </w:p>
    <w:p w14:paraId="38202C86"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 xml:space="preserve">Land sector reporting within Australia’s National Inventory System integrates a wide range of spatially referenced data through a hybrid process-empirical model to estimate carbon stock change and greenhouse gas emissions at fine temporal and spatial scales. The model implemented within the National Inventory System is the Full Carbon Accounting Model (FullCAM). </w:t>
      </w:r>
    </w:p>
    <w:p w14:paraId="4558E712"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FullCAM simulates all carbon pools, which includes biomass, dead organic matter and soil. FullCAM is parameterised using management, site, climate and species data drawn from resource inventories, field studies and remote sensing methods.</w:t>
      </w:r>
    </w:p>
    <w:p w14:paraId="7EA587EF"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 xml:space="preserve">FullCAM is publically available for download on the Department’s website and is equipped with a Data Builder function to allow access to National Inventory input data over the internet.  The software provides the user with flexibility in entering species parameters and management events which influence carbon stock change. The target audience for the public version of FullCAM is emissions inventory experts, the scientific community, industry and policy makers with an interest in land sector reporting within the National Inventory System. </w:t>
      </w:r>
    </w:p>
    <w:p w14:paraId="2F5CD955"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p>
    <w:p w14:paraId="180A4EF3" w14:textId="77777777" w:rsidR="00693E18" w:rsidRPr="00B90C7D" w:rsidRDefault="00693E18" w:rsidP="00693E18">
      <w:pPr>
        <w:pStyle w:val="Heading2"/>
        <w:tabs>
          <w:tab w:val="left" w:pos="0"/>
          <w:tab w:val="left" w:pos="2250"/>
        </w:tabs>
        <w:spacing w:before="120" w:after="0" w:line="312" w:lineRule="auto"/>
        <w:ind w:left="578" w:hanging="578"/>
        <w:rPr>
          <w:rFonts w:ascii="Arial" w:hAnsi="Arial"/>
        </w:rPr>
      </w:pPr>
      <w:r w:rsidRPr="00B90C7D">
        <w:rPr>
          <w:rFonts w:ascii="Arial" w:hAnsi="Arial"/>
        </w:rPr>
        <w:t>Further information and advice</w:t>
      </w:r>
    </w:p>
    <w:p w14:paraId="5E83752D" w14:textId="77777777" w:rsidR="00693E18"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FullCAM is available for download at:</w:t>
      </w:r>
    </w:p>
    <w:p w14:paraId="74332253"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r w:rsidRPr="00662B7D">
        <w:rPr>
          <w:rFonts w:ascii="Arial" w:hAnsi="Arial" w:cs="Arial"/>
        </w:rPr>
        <w:t>http://www.environment.gov.au/climate-change/greenhouse-gas-measurement/land-sector</w:t>
      </w:r>
    </w:p>
    <w:p w14:paraId="68B8C854" w14:textId="77777777" w:rsidR="00693E18" w:rsidRDefault="00693E18" w:rsidP="00693E18">
      <w:pPr>
        <w:pStyle w:val="BodyText"/>
        <w:tabs>
          <w:tab w:val="left" w:pos="0"/>
          <w:tab w:val="left" w:pos="990"/>
          <w:tab w:val="left" w:pos="2250"/>
        </w:tabs>
        <w:spacing w:before="120" w:after="0" w:line="312" w:lineRule="auto"/>
        <w:ind w:left="0"/>
        <w:rPr>
          <w:rFonts w:ascii="Arial" w:hAnsi="Arial" w:cs="Arial"/>
        </w:rPr>
      </w:pPr>
      <w:r w:rsidRPr="00B90C7D">
        <w:rPr>
          <w:rFonts w:ascii="Arial" w:hAnsi="Arial" w:cs="Arial"/>
        </w:rPr>
        <w:t xml:space="preserve">Details of the land use, land use change and forestry sector within the National Inventory System can be found </w:t>
      </w:r>
      <w:r>
        <w:rPr>
          <w:rFonts w:ascii="Arial" w:hAnsi="Arial" w:cs="Arial"/>
        </w:rPr>
        <w:t>in the National Inventory Report which can be downloaded here</w:t>
      </w:r>
      <w:r w:rsidRPr="00B90C7D">
        <w:rPr>
          <w:rFonts w:ascii="Arial" w:hAnsi="Arial" w:cs="Arial"/>
        </w:rPr>
        <w:t>:</w:t>
      </w:r>
    </w:p>
    <w:p w14:paraId="13EA3A3A" w14:textId="77777777" w:rsidR="00693E18" w:rsidRDefault="00693E18" w:rsidP="00693E18">
      <w:pPr>
        <w:pStyle w:val="BodyText"/>
        <w:tabs>
          <w:tab w:val="left" w:pos="0"/>
          <w:tab w:val="left" w:pos="990"/>
          <w:tab w:val="left" w:pos="2250"/>
        </w:tabs>
        <w:spacing w:before="120" w:after="0" w:line="312" w:lineRule="auto"/>
        <w:ind w:left="0"/>
        <w:rPr>
          <w:rFonts w:ascii="Arial" w:hAnsi="Arial" w:cs="Arial"/>
        </w:rPr>
      </w:pPr>
      <w:r w:rsidRPr="00662B7D">
        <w:rPr>
          <w:rFonts w:ascii="Arial" w:hAnsi="Arial" w:cs="Arial"/>
        </w:rPr>
        <w:t>http://www.environment.gov.au/climate-change/greenhouse-gas-measurement/publications#national</w:t>
      </w:r>
    </w:p>
    <w:p w14:paraId="1BC87247" w14:textId="77777777" w:rsidR="00693E18" w:rsidRPr="00B90C7D" w:rsidRDefault="00693E18" w:rsidP="00693E18">
      <w:pPr>
        <w:pStyle w:val="BodyText"/>
        <w:tabs>
          <w:tab w:val="left" w:pos="0"/>
          <w:tab w:val="left" w:pos="990"/>
          <w:tab w:val="left" w:pos="2250"/>
        </w:tabs>
        <w:spacing w:before="120" w:after="0" w:line="312" w:lineRule="auto"/>
        <w:ind w:left="0"/>
        <w:rPr>
          <w:rFonts w:ascii="Arial" w:hAnsi="Arial" w:cs="Arial"/>
        </w:rPr>
      </w:pPr>
    </w:p>
    <w:p w14:paraId="73D4D1E6" w14:textId="77777777" w:rsidR="00693E18" w:rsidRPr="00B90C7D" w:rsidRDefault="00693E18" w:rsidP="00693E18">
      <w:pPr>
        <w:tabs>
          <w:tab w:val="left" w:pos="0"/>
        </w:tabs>
        <w:spacing w:after="120"/>
        <w:ind w:left="0"/>
        <w:rPr>
          <w:rFonts w:ascii="Arial" w:hAnsi="Arial" w:cs="Arial"/>
        </w:rPr>
      </w:pPr>
      <w:r w:rsidRPr="00B90C7D">
        <w:rPr>
          <w:rFonts w:ascii="Arial" w:hAnsi="Arial" w:cs="Arial"/>
        </w:rPr>
        <w:t>For information on land use, land use change and forestry contact:</w:t>
      </w:r>
    </w:p>
    <w:p w14:paraId="46856907" w14:textId="77777777" w:rsidR="00693E18" w:rsidRPr="00B90C7D" w:rsidRDefault="00693E18" w:rsidP="00693E18">
      <w:pPr>
        <w:tabs>
          <w:tab w:val="left" w:pos="0"/>
        </w:tabs>
        <w:ind w:left="0"/>
        <w:rPr>
          <w:rFonts w:ascii="Arial" w:hAnsi="Arial" w:cs="Arial"/>
        </w:rPr>
      </w:pPr>
      <w:r w:rsidRPr="00486448">
        <w:rPr>
          <w:rFonts w:ascii="Arial" w:hAnsi="Arial" w:cs="Arial"/>
        </w:rPr>
        <w:t>Department of the Environment</w:t>
      </w:r>
      <w:r w:rsidR="000873D9">
        <w:rPr>
          <w:rFonts w:ascii="Arial" w:hAnsi="Arial" w:cs="Arial"/>
        </w:rPr>
        <w:t xml:space="preserve"> and Energy</w:t>
      </w:r>
    </w:p>
    <w:p w14:paraId="071B10C8" w14:textId="77777777" w:rsidR="00693E18" w:rsidRPr="008F6129" w:rsidRDefault="00693E18" w:rsidP="00693E18">
      <w:pPr>
        <w:tabs>
          <w:tab w:val="left" w:pos="0"/>
        </w:tabs>
        <w:ind w:left="0"/>
        <w:rPr>
          <w:rFonts w:ascii="Arial" w:hAnsi="Arial" w:cs="Arial"/>
        </w:rPr>
      </w:pPr>
      <w:r w:rsidRPr="008F6129">
        <w:rPr>
          <w:rFonts w:ascii="Arial" w:hAnsi="Arial" w:cs="Arial"/>
        </w:rPr>
        <w:t xml:space="preserve">GPO Box </w:t>
      </w:r>
      <w:r>
        <w:rPr>
          <w:rFonts w:ascii="Arial" w:hAnsi="Arial" w:cs="Arial"/>
        </w:rPr>
        <w:t>787</w:t>
      </w:r>
    </w:p>
    <w:p w14:paraId="345F76F7" w14:textId="77777777" w:rsidR="00693E18" w:rsidRDefault="00693E18" w:rsidP="00693E18">
      <w:pPr>
        <w:tabs>
          <w:tab w:val="left" w:pos="0"/>
        </w:tabs>
        <w:ind w:left="0"/>
        <w:rPr>
          <w:rFonts w:ascii="Arial" w:hAnsi="Arial" w:cs="Arial"/>
        </w:rPr>
      </w:pPr>
      <w:r w:rsidRPr="008F6129">
        <w:rPr>
          <w:rFonts w:ascii="Arial" w:hAnsi="Arial" w:cs="Arial"/>
        </w:rPr>
        <w:t>Canberra  ACT  2601</w:t>
      </w:r>
    </w:p>
    <w:p w14:paraId="4D639EF2" w14:textId="77777777" w:rsidR="00693E18" w:rsidRPr="008F6129" w:rsidRDefault="00693E18" w:rsidP="00693E18">
      <w:pPr>
        <w:tabs>
          <w:tab w:val="left" w:pos="0"/>
        </w:tabs>
        <w:ind w:left="0"/>
        <w:rPr>
          <w:rFonts w:ascii="Arial" w:hAnsi="Arial" w:cs="Arial"/>
        </w:rPr>
      </w:pPr>
    </w:p>
    <w:p w14:paraId="01D5931E" w14:textId="77777777" w:rsidR="00693E18" w:rsidRDefault="00693E18" w:rsidP="00693E18">
      <w:pPr>
        <w:tabs>
          <w:tab w:val="left" w:pos="0"/>
        </w:tabs>
        <w:ind w:left="0"/>
        <w:rPr>
          <w:rFonts w:ascii="Arial" w:hAnsi="Arial" w:cs="Arial"/>
        </w:rPr>
      </w:pPr>
      <w:r w:rsidRPr="008F6129">
        <w:rPr>
          <w:rFonts w:ascii="Arial" w:hAnsi="Arial" w:cs="Arial"/>
        </w:rPr>
        <w:t xml:space="preserve">Email: </w:t>
      </w:r>
      <w:hyperlink r:id="rId73" w:history="1">
        <w:r w:rsidRPr="002257A1">
          <w:rPr>
            <w:rStyle w:val="Hyperlink"/>
            <w:rFonts w:ascii="Arial" w:hAnsi="Arial" w:cs="Arial"/>
          </w:rPr>
          <w:t>nationalgreenhouseaccounts@environment.gov.au</w:t>
        </w:r>
      </w:hyperlink>
    </w:p>
    <w:p w14:paraId="79799A45" w14:textId="77777777" w:rsidR="001A14BB" w:rsidRDefault="001A14BB">
      <w:pPr>
        <w:pStyle w:val="Heading1"/>
        <w:numPr>
          <w:ilvl w:val="0"/>
          <w:numId w:val="0"/>
        </w:numPr>
        <w:rPr>
          <w:rFonts w:ascii="Arial" w:hAnsi="Arial" w:cs="Arial"/>
        </w:rPr>
      </w:pPr>
    </w:p>
    <w:p w14:paraId="492047FF" w14:textId="77777777" w:rsidR="001A14BB" w:rsidRPr="001A14BB" w:rsidRDefault="001A14BB" w:rsidP="001A14BB">
      <w:pPr>
        <w:pStyle w:val="BodyText"/>
        <w:ind w:left="0"/>
        <w:rPr>
          <w:spacing w:val="-10"/>
          <w:kern w:val="28"/>
          <w:sz w:val="24"/>
        </w:rPr>
      </w:pPr>
    </w:p>
    <w:p w14:paraId="7676E703" w14:textId="77777777" w:rsidR="001A14BB" w:rsidRDefault="001A14BB" w:rsidP="001A14BB">
      <w:pPr>
        <w:pStyle w:val="BodyText"/>
        <w:rPr>
          <w:spacing w:val="-10"/>
          <w:kern w:val="28"/>
          <w:sz w:val="24"/>
        </w:rPr>
      </w:pPr>
      <w:r>
        <w:br w:type="page"/>
      </w:r>
    </w:p>
    <w:p w14:paraId="4A895513" w14:textId="77777777" w:rsidR="00010E2E" w:rsidRPr="00B90C7D" w:rsidRDefault="00010E2E">
      <w:pPr>
        <w:pStyle w:val="Heading1"/>
        <w:numPr>
          <w:ilvl w:val="0"/>
          <w:numId w:val="0"/>
        </w:numPr>
        <w:rPr>
          <w:rFonts w:ascii="Arial" w:hAnsi="Arial" w:cs="Arial"/>
        </w:rPr>
      </w:pPr>
      <w:bookmarkStart w:id="127" w:name="_Toc391646682"/>
      <w:bookmarkEnd w:id="126"/>
      <w:r w:rsidRPr="00B90C7D">
        <w:rPr>
          <w:rFonts w:ascii="Arial" w:hAnsi="Arial" w:cs="Arial"/>
        </w:rPr>
        <w:t>Appendix 1   Greenhouse Gas Global Warming Potentials</w:t>
      </w:r>
      <w:bookmarkEnd w:id="127"/>
    </w:p>
    <w:p w14:paraId="1191A4D4" w14:textId="77777777" w:rsidR="009F178B" w:rsidRDefault="009F178B">
      <w:pPr>
        <w:pStyle w:val="BodyText"/>
        <w:tabs>
          <w:tab w:val="left" w:pos="0"/>
          <w:tab w:val="left" w:pos="2250"/>
        </w:tabs>
        <w:spacing w:before="120" w:after="0" w:line="312" w:lineRule="auto"/>
        <w:ind w:left="0"/>
        <w:rPr>
          <w:rFonts w:ascii="Arial" w:hAnsi="Arial" w:cs="Arial"/>
        </w:rPr>
      </w:pPr>
    </w:p>
    <w:p w14:paraId="1B6D1436" w14:textId="77777777" w:rsidR="008870C0" w:rsidRPr="001A14BB" w:rsidRDefault="00010E2E" w:rsidP="001A14BB">
      <w:pPr>
        <w:pStyle w:val="BodyText"/>
        <w:tabs>
          <w:tab w:val="left" w:pos="0"/>
          <w:tab w:val="left" w:pos="2250"/>
        </w:tabs>
        <w:spacing w:before="120" w:after="0" w:line="312" w:lineRule="auto"/>
        <w:ind w:left="0"/>
        <w:rPr>
          <w:rFonts w:ascii="Arial" w:hAnsi="Arial" w:cs="Arial"/>
        </w:rPr>
      </w:pPr>
      <w:r w:rsidRPr="00B90C7D">
        <w:rPr>
          <w:rFonts w:ascii="Arial" w:hAnsi="Arial" w:cs="Arial"/>
        </w:rPr>
        <w:t>The Global Warming Potential (GWP) is an index used to convert relevant non-carbon dioxide gases to a carbon dioxide equivalent (CO</w:t>
      </w:r>
      <w:r w:rsidRPr="00B90C7D">
        <w:rPr>
          <w:rFonts w:ascii="Arial" w:hAnsi="Arial" w:cs="Arial"/>
          <w:vertAlign w:val="subscript"/>
        </w:rPr>
        <w:t>2</w:t>
      </w:r>
      <w:r w:rsidRPr="00B90C7D">
        <w:rPr>
          <w:rFonts w:ascii="Arial" w:hAnsi="Arial" w:cs="Arial"/>
        </w:rPr>
        <w:t>-e) by multiplying the quantity of the gas by its GWP in the table below.</w:t>
      </w:r>
    </w:p>
    <w:p w14:paraId="42AD2220" w14:textId="77777777" w:rsidR="00D76245" w:rsidRDefault="00491D41" w:rsidP="00C23E3B">
      <w:pPr>
        <w:pStyle w:val="Caption"/>
      </w:pPr>
      <w:bookmarkStart w:id="128" w:name="_Toc391646712"/>
      <w:bookmarkStart w:id="129" w:name="_Toc485728135"/>
      <w:r>
        <w:t xml:space="preserve">Table </w:t>
      </w:r>
      <w:r w:rsidR="00DC52E0">
        <w:fldChar w:fldCharType="begin"/>
      </w:r>
      <w:r>
        <w:instrText xml:space="preserve"> SEQ Table \* ARABIC </w:instrText>
      </w:r>
      <w:r w:rsidR="00DC52E0">
        <w:fldChar w:fldCharType="separate"/>
      </w:r>
      <w:r w:rsidR="004A1330">
        <w:rPr>
          <w:noProof/>
        </w:rPr>
        <w:t>27</w:t>
      </w:r>
      <w:r w:rsidR="00DC52E0">
        <w:fldChar w:fldCharType="end"/>
      </w:r>
      <w:r w:rsidR="00010E2E" w:rsidRPr="00B90C7D">
        <w:t>:  Global Warming Potentials</w:t>
      </w:r>
      <w:bookmarkEnd w:id="128"/>
      <w:bookmarkEnd w:id="129"/>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2552"/>
        <w:gridCol w:w="2410"/>
      </w:tblGrid>
      <w:tr w:rsidR="00010E2E" w:rsidRPr="0099789B" w14:paraId="7345F903" w14:textId="77777777">
        <w:trPr>
          <w:trHeight w:val="380"/>
          <w:tblHeader/>
        </w:trPr>
        <w:tc>
          <w:tcPr>
            <w:tcW w:w="2943" w:type="dxa"/>
            <w:shd w:val="pct15" w:color="auto" w:fill="FFFFFF"/>
          </w:tcPr>
          <w:p w14:paraId="0702FC8C" w14:textId="77777777" w:rsidR="00010E2E" w:rsidRPr="0099789B" w:rsidRDefault="00010E2E">
            <w:pPr>
              <w:pStyle w:val="BodyText"/>
              <w:tabs>
                <w:tab w:val="left" w:pos="0"/>
                <w:tab w:val="left" w:pos="2250"/>
              </w:tabs>
              <w:spacing w:before="120" w:after="0" w:line="312" w:lineRule="auto"/>
              <w:ind w:left="0"/>
              <w:rPr>
                <w:rFonts w:ascii="Arial" w:hAnsi="Arial" w:cs="Arial"/>
                <w:b/>
                <w:bCs/>
                <w:sz w:val="18"/>
                <w:szCs w:val="18"/>
              </w:rPr>
            </w:pPr>
            <w:r w:rsidRPr="0099789B">
              <w:rPr>
                <w:rFonts w:ascii="Arial" w:hAnsi="Arial" w:cs="Arial"/>
                <w:b/>
                <w:bCs/>
                <w:sz w:val="18"/>
                <w:szCs w:val="18"/>
              </w:rPr>
              <w:t>Gas</w:t>
            </w:r>
          </w:p>
        </w:tc>
        <w:tc>
          <w:tcPr>
            <w:tcW w:w="2552" w:type="dxa"/>
            <w:shd w:val="pct15" w:color="auto" w:fill="FFFFFF"/>
          </w:tcPr>
          <w:p w14:paraId="189F2EF3" w14:textId="77777777" w:rsidR="00010E2E" w:rsidRPr="0099789B" w:rsidRDefault="00010E2E">
            <w:pPr>
              <w:pStyle w:val="BodyText"/>
              <w:tabs>
                <w:tab w:val="left" w:pos="0"/>
                <w:tab w:val="left" w:pos="2250"/>
              </w:tabs>
              <w:spacing w:before="120" w:after="0" w:line="312" w:lineRule="auto"/>
              <w:ind w:left="0"/>
              <w:jc w:val="center"/>
              <w:rPr>
                <w:rFonts w:ascii="Arial" w:hAnsi="Arial" w:cs="Arial"/>
                <w:b/>
                <w:bCs/>
                <w:sz w:val="18"/>
                <w:szCs w:val="18"/>
              </w:rPr>
            </w:pPr>
            <w:r w:rsidRPr="0099789B">
              <w:rPr>
                <w:rFonts w:ascii="Arial" w:hAnsi="Arial" w:cs="Arial"/>
                <w:b/>
                <w:bCs/>
                <w:sz w:val="18"/>
                <w:szCs w:val="18"/>
              </w:rPr>
              <w:t>Chemical formula</w:t>
            </w:r>
          </w:p>
        </w:tc>
        <w:tc>
          <w:tcPr>
            <w:tcW w:w="2410" w:type="dxa"/>
            <w:shd w:val="pct15" w:color="auto" w:fill="FFFFFF"/>
          </w:tcPr>
          <w:p w14:paraId="2DD8DA93" w14:textId="77777777" w:rsidR="00010E2E" w:rsidRPr="0099789B" w:rsidRDefault="00010E2E">
            <w:pPr>
              <w:pStyle w:val="BodyText"/>
              <w:tabs>
                <w:tab w:val="left" w:pos="0"/>
                <w:tab w:val="left" w:pos="2250"/>
              </w:tabs>
              <w:spacing w:before="120" w:after="0" w:line="312" w:lineRule="auto"/>
              <w:ind w:left="0"/>
              <w:jc w:val="center"/>
              <w:rPr>
                <w:rFonts w:ascii="Arial" w:hAnsi="Arial" w:cs="Arial"/>
                <w:b/>
                <w:bCs/>
                <w:sz w:val="18"/>
                <w:szCs w:val="18"/>
              </w:rPr>
            </w:pPr>
            <w:r w:rsidRPr="0099789B">
              <w:rPr>
                <w:rFonts w:ascii="Arial" w:hAnsi="Arial" w:cs="Arial"/>
                <w:b/>
                <w:bCs/>
                <w:sz w:val="18"/>
                <w:szCs w:val="18"/>
              </w:rPr>
              <w:t>Global Warming Potential</w:t>
            </w:r>
          </w:p>
        </w:tc>
      </w:tr>
      <w:tr w:rsidR="00010E2E" w:rsidRPr="0099789B" w14:paraId="3521832B" w14:textId="77777777">
        <w:tc>
          <w:tcPr>
            <w:tcW w:w="2943" w:type="dxa"/>
          </w:tcPr>
          <w:p w14:paraId="5E6EF075"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Carbon dioxide</w:t>
            </w:r>
          </w:p>
        </w:tc>
        <w:tc>
          <w:tcPr>
            <w:tcW w:w="2552" w:type="dxa"/>
          </w:tcPr>
          <w:p w14:paraId="610BA8D2"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CO</w:t>
            </w:r>
            <w:r w:rsidRPr="0099789B">
              <w:rPr>
                <w:rFonts w:ascii="Arial" w:hAnsi="Arial" w:cs="Arial"/>
                <w:bCs/>
                <w:sz w:val="18"/>
                <w:szCs w:val="18"/>
                <w:vertAlign w:val="subscript"/>
              </w:rPr>
              <w:t>2</w:t>
            </w:r>
          </w:p>
        </w:tc>
        <w:tc>
          <w:tcPr>
            <w:tcW w:w="2410" w:type="dxa"/>
          </w:tcPr>
          <w:p w14:paraId="175864D8" w14:textId="77777777" w:rsidR="00010E2E" w:rsidRPr="0099789B" w:rsidRDefault="00010E2E">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1</w:t>
            </w:r>
          </w:p>
        </w:tc>
      </w:tr>
      <w:tr w:rsidR="00010E2E" w:rsidRPr="0099789B" w14:paraId="70E50153" w14:textId="77777777">
        <w:tc>
          <w:tcPr>
            <w:tcW w:w="2943" w:type="dxa"/>
          </w:tcPr>
          <w:p w14:paraId="61B1D426"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Methane</w:t>
            </w:r>
          </w:p>
        </w:tc>
        <w:tc>
          <w:tcPr>
            <w:tcW w:w="2552" w:type="dxa"/>
          </w:tcPr>
          <w:p w14:paraId="7E24933D"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CH</w:t>
            </w:r>
            <w:r w:rsidRPr="0099789B">
              <w:rPr>
                <w:rFonts w:ascii="Arial" w:hAnsi="Arial" w:cs="Arial"/>
                <w:bCs/>
                <w:sz w:val="18"/>
                <w:szCs w:val="18"/>
                <w:vertAlign w:val="subscript"/>
              </w:rPr>
              <w:t>4</w:t>
            </w:r>
          </w:p>
        </w:tc>
        <w:tc>
          <w:tcPr>
            <w:tcW w:w="2410" w:type="dxa"/>
          </w:tcPr>
          <w:p w14:paraId="5C317867" w14:textId="77777777" w:rsidR="00010E2E" w:rsidRPr="0099789B" w:rsidRDefault="00F23175" w:rsidP="00F23175">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2</w:t>
            </w:r>
            <w:r>
              <w:rPr>
                <w:rFonts w:ascii="Arial" w:hAnsi="Arial" w:cs="Arial"/>
                <w:bCs/>
                <w:sz w:val="18"/>
                <w:szCs w:val="18"/>
              </w:rPr>
              <w:t>5</w:t>
            </w:r>
          </w:p>
        </w:tc>
      </w:tr>
      <w:tr w:rsidR="00010E2E" w:rsidRPr="0099789B" w14:paraId="4C86A94B" w14:textId="77777777">
        <w:tc>
          <w:tcPr>
            <w:tcW w:w="2943" w:type="dxa"/>
          </w:tcPr>
          <w:p w14:paraId="1C70BB4D"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Nitrous oxide</w:t>
            </w:r>
          </w:p>
        </w:tc>
        <w:tc>
          <w:tcPr>
            <w:tcW w:w="2552" w:type="dxa"/>
          </w:tcPr>
          <w:p w14:paraId="2BCE2D0D"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N</w:t>
            </w:r>
            <w:r w:rsidRPr="0099789B">
              <w:rPr>
                <w:rFonts w:ascii="Arial" w:hAnsi="Arial" w:cs="Arial"/>
                <w:bCs/>
                <w:sz w:val="18"/>
                <w:szCs w:val="18"/>
                <w:vertAlign w:val="subscript"/>
              </w:rPr>
              <w:t>2</w:t>
            </w:r>
            <w:r w:rsidRPr="0099789B">
              <w:rPr>
                <w:rFonts w:ascii="Arial" w:hAnsi="Arial" w:cs="Arial"/>
                <w:bCs/>
                <w:sz w:val="18"/>
                <w:szCs w:val="18"/>
              </w:rPr>
              <w:t>O</w:t>
            </w:r>
          </w:p>
        </w:tc>
        <w:tc>
          <w:tcPr>
            <w:tcW w:w="2410" w:type="dxa"/>
          </w:tcPr>
          <w:p w14:paraId="1FA3086B" w14:textId="77777777" w:rsidR="00010E2E" w:rsidRPr="0099789B" w:rsidRDefault="00F2317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298</w:t>
            </w:r>
          </w:p>
        </w:tc>
      </w:tr>
      <w:tr w:rsidR="00010E2E" w:rsidRPr="0099789B" w14:paraId="0B77D0B7" w14:textId="77777777">
        <w:tc>
          <w:tcPr>
            <w:tcW w:w="2943" w:type="dxa"/>
          </w:tcPr>
          <w:p w14:paraId="65197377" w14:textId="77777777" w:rsidR="00010E2E" w:rsidRPr="0099789B" w:rsidRDefault="00010E2E">
            <w:pPr>
              <w:pStyle w:val="BodyText"/>
              <w:tabs>
                <w:tab w:val="left" w:pos="0"/>
                <w:tab w:val="left" w:pos="2250"/>
              </w:tabs>
              <w:spacing w:before="120" w:after="0" w:line="312" w:lineRule="auto"/>
              <w:ind w:left="0"/>
              <w:rPr>
                <w:rFonts w:ascii="Arial" w:hAnsi="Arial" w:cs="Arial"/>
                <w:b/>
                <w:bCs/>
                <w:i/>
                <w:iCs/>
                <w:sz w:val="18"/>
                <w:szCs w:val="18"/>
              </w:rPr>
            </w:pPr>
            <w:r w:rsidRPr="0099789B">
              <w:rPr>
                <w:rFonts w:ascii="Arial" w:hAnsi="Arial" w:cs="Arial"/>
                <w:b/>
                <w:bCs/>
                <w:i/>
                <w:iCs/>
                <w:sz w:val="18"/>
                <w:szCs w:val="18"/>
              </w:rPr>
              <w:t>Hydrofluorocarbons HFCs</w:t>
            </w:r>
          </w:p>
        </w:tc>
        <w:tc>
          <w:tcPr>
            <w:tcW w:w="2552" w:type="dxa"/>
          </w:tcPr>
          <w:p w14:paraId="1C6F988A" w14:textId="77777777" w:rsidR="00010E2E" w:rsidRPr="0099789B" w:rsidRDefault="00010E2E">
            <w:pPr>
              <w:pStyle w:val="BodyText"/>
              <w:tabs>
                <w:tab w:val="left" w:pos="0"/>
                <w:tab w:val="left" w:pos="2250"/>
              </w:tabs>
              <w:spacing w:before="120" w:after="0" w:line="312" w:lineRule="auto"/>
              <w:ind w:left="885"/>
              <w:rPr>
                <w:rFonts w:ascii="Arial" w:hAnsi="Arial" w:cs="Arial"/>
                <w:sz w:val="18"/>
                <w:szCs w:val="18"/>
              </w:rPr>
            </w:pPr>
          </w:p>
        </w:tc>
        <w:tc>
          <w:tcPr>
            <w:tcW w:w="2410" w:type="dxa"/>
          </w:tcPr>
          <w:p w14:paraId="003BA6BA" w14:textId="77777777" w:rsidR="00010E2E" w:rsidRPr="0099789B" w:rsidRDefault="00010E2E">
            <w:pPr>
              <w:pStyle w:val="BodyText"/>
              <w:tabs>
                <w:tab w:val="left" w:pos="0"/>
                <w:tab w:val="left" w:pos="2250"/>
              </w:tabs>
              <w:spacing w:before="120" w:after="0" w:line="312" w:lineRule="auto"/>
              <w:ind w:left="884"/>
              <w:rPr>
                <w:rFonts w:ascii="Arial" w:hAnsi="Arial" w:cs="Arial"/>
                <w:sz w:val="18"/>
                <w:szCs w:val="18"/>
              </w:rPr>
            </w:pPr>
          </w:p>
        </w:tc>
      </w:tr>
      <w:tr w:rsidR="00010E2E" w:rsidRPr="0099789B" w14:paraId="024E70D0" w14:textId="77777777">
        <w:tc>
          <w:tcPr>
            <w:tcW w:w="2943" w:type="dxa"/>
          </w:tcPr>
          <w:p w14:paraId="0E8EB73B"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HFC-23</w:t>
            </w:r>
          </w:p>
        </w:tc>
        <w:tc>
          <w:tcPr>
            <w:tcW w:w="2552" w:type="dxa"/>
          </w:tcPr>
          <w:p w14:paraId="1417FD83"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CHF</w:t>
            </w:r>
            <w:r w:rsidRPr="0099789B">
              <w:rPr>
                <w:rFonts w:ascii="Arial" w:hAnsi="Arial" w:cs="Arial"/>
                <w:bCs/>
                <w:sz w:val="18"/>
                <w:szCs w:val="18"/>
                <w:vertAlign w:val="subscript"/>
              </w:rPr>
              <w:t>3</w:t>
            </w:r>
          </w:p>
        </w:tc>
        <w:tc>
          <w:tcPr>
            <w:tcW w:w="2410" w:type="dxa"/>
          </w:tcPr>
          <w:p w14:paraId="77653FD3" w14:textId="77777777" w:rsidR="00010E2E" w:rsidRPr="0099789B" w:rsidRDefault="005642D7" w:rsidP="005642D7">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1</w:t>
            </w:r>
            <w:r>
              <w:rPr>
                <w:rFonts w:ascii="Arial" w:hAnsi="Arial" w:cs="Arial"/>
                <w:bCs/>
                <w:sz w:val="18"/>
                <w:szCs w:val="18"/>
              </w:rPr>
              <w:t>4</w:t>
            </w:r>
            <w:r w:rsidR="00010E2E" w:rsidRPr="0099789B">
              <w:rPr>
                <w:rFonts w:ascii="Arial" w:hAnsi="Arial" w:cs="Arial"/>
                <w:bCs/>
                <w:sz w:val="18"/>
                <w:szCs w:val="18"/>
              </w:rPr>
              <w:t>,</w:t>
            </w:r>
            <w:r>
              <w:rPr>
                <w:rFonts w:ascii="Arial" w:hAnsi="Arial" w:cs="Arial"/>
                <w:bCs/>
                <w:sz w:val="18"/>
                <w:szCs w:val="18"/>
              </w:rPr>
              <w:t>8</w:t>
            </w:r>
            <w:r w:rsidRPr="0099789B">
              <w:rPr>
                <w:rFonts w:ascii="Arial" w:hAnsi="Arial" w:cs="Arial"/>
                <w:bCs/>
                <w:sz w:val="18"/>
                <w:szCs w:val="18"/>
              </w:rPr>
              <w:t>00</w:t>
            </w:r>
          </w:p>
        </w:tc>
      </w:tr>
      <w:tr w:rsidR="00010E2E" w:rsidRPr="0099789B" w14:paraId="2AB4AB72" w14:textId="77777777">
        <w:tc>
          <w:tcPr>
            <w:tcW w:w="2943" w:type="dxa"/>
          </w:tcPr>
          <w:p w14:paraId="164A8DB1"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HFC-32</w:t>
            </w:r>
          </w:p>
        </w:tc>
        <w:tc>
          <w:tcPr>
            <w:tcW w:w="2552" w:type="dxa"/>
          </w:tcPr>
          <w:p w14:paraId="452A86A3"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CH</w:t>
            </w:r>
            <w:r w:rsidRPr="0099789B">
              <w:rPr>
                <w:rFonts w:ascii="Arial" w:hAnsi="Arial" w:cs="Arial"/>
                <w:bCs/>
                <w:sz w:val="18"/>
                <w:szCs w:val="18"/>
                <w:vertAlign w:val="subscript"/>
              </w:rPr>
              <w:t>2</w:t>
            </w:r>
            <w:r w:rsidRPr="0099789B">
              <w:rPr>
                <w:rFonts w:ascii="Arial" w:hAnsi="Arial" w:cs="Arial"/>
                <w:bCs/>
                <w:sz w:val="18"/>
                <w:szCs w:val="18"/>
              </w:rPr>
              <w:t>F</w:t>
            </w:r>
            <w:r w:rsidRPr="0099789B">
              <w:rPr>
                <w:rFonts w:ascii="Arial" w:hAnsi="Arial" w:cs="Arial"/>
                <w:bCs/>
                <w:sz w:val="18"/>
                <w:szCs w:val="18"/>
                <w:vertAlign w:val="subscript"/>
              </w:rPr>
              <w:t>2</w:t>
            </w:r>
          </w:p>
        </w:tc>
        <w:tc>
          <w:tcPr>
            <w:tcW w:w="2410" w:type="dxa"/>
          </w:tcPr>
          <w:p w14:paraId="0B7BE2B3" w14:textId="77777777" w:rsidR="00010E2E" w:rsidRPr="0099789B" w:rsidRDefault="005642D7" w:rsidP="005642D7">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6</w:t>
            </w:r>
            <w:r>
              <w:rPr>
                <w:rFonts w:ascii="Arial" w:hAnsi="Arial" w:cs="Arial"/>
                <w:bCs/>
                <w:sz w:val="18"/>
                <w:szCs w:val="18"/>
              </w:rPr>
              <w:t>75</w:t>
            </w:r>
          </w:p>
        </w:tc>
      </w:tr>
      <w:tr w:rsidR="00010E2E" w:rsidRPr="0099789B" w14:paraId="5ABCF2C2" w14:textId="77777777">
        <w:tc>
          <w:tcPr>
            <w:tcW w:w="2943" w:type="dxa"/>
          </w:tcPr>
          <w:p w14:paraId="7021F3A7"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HFC-41</w:t>
            </w:r>
          </w:p>
        </w:tc>
        <w:tc>
          <w:tcPr>
            <w:tcW w:w="2552" w:type="dxa"/>
          </w:tcPr>
          <w:p w14:paraId="618D3332"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CH</w:t>
            </w:r>
            <w:r w:rsidRPr="0099789B">
              <w:rPr>
                <w:rFonts w:ascii="Arial" w:hAnsi="Arial" w:cs="Arial"/>
                <w:bCs/>
                <w:sz w:val="18"/>
                <w:szCs w:val="18"/>
                <w:vertAlign w:val="subscript"/>
              </w:rPr>
              <w:t>3</w:t>
            </w:r>
            <w:r w:rsidRPr="0099789B">
              <w:rPr>
                <w:rFonts w:ascii="Arial" w:hAnsi="Arial" w:cs="Arial"/>
                <w:bCs/>
                <w:sz w:val="18"/>
                <w:szCs w:val="18"/>
              </w:rPr>
              <w:t>F</w:t>
            </w:r>
          </w:p>
        </w:tc>
        <w:tc>
          <w:tcPr>
            <w:tcW w:w="2410" w:type="dxa"/>
          </w:tcPr>
          <w:p w14:paraId="00F1E3CD" w14:textId="77777777" w:rsidR="00010E2E" w:rsidRPr="0099789B" w:rsidRDefault="00F2317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92</w:t>
            </w:r>
          </w:p>
        </w:tc>
      </w:tr>
      <w:tr w:rsidR="00010E2E" w:rsidRPr="0099789B" w14:paraId="32602837" w14:textId="77777777">
        <w:tc>
          <w:tcPr>
            <w:tcW w:w="2943" w:type="dxa"/>
          </w:tcPr>
          <w:p w14:paraId="1DB9DAAA"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HFC-43-10mee</w:t>
            </w:r>
          </w:p>
        </w:tc>
        <w:tc>
          <w:tcPr>
            <w:tcW w:w="2552" w:type="dxa"/>
          </w:tcPr>
          <w:p w14:paraId="7E06770F"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5</w:t>
            </w:r>
            <w:r w:rsidRPr="0099789B">
              <w:rPr>
                <w:rFonts w:ascii="Arial" w:hAnsi="Arial" w:cs="Arial"/>
                <w:bCs/>
                <w:sz w:val="18"/>
                <w:szCs w:val="18"/>
              </w:rPr>
              <w:t>H</w:t>
            </w:r>
            <w:r w:rsidRPr="0099789B">
              <w:rPr>
                <w:rFonts w:ascii="Arial" w:hAnsi="Arial" w:cs="Arial"/>
                <w:bCs/>
                <w:sz w:val="18"/>
                <w:szCs w:val="18"/>
                <w:vertAlign w:val="subscript"/>
              </w:rPr>
              <w:t>2</w:t>
            </w:r>
            <w:r w:rsidRPr="0099789B">
              <w:rPr>
                <w:rFonts w:ascii="Arial" w:hAnsi="Arial" w:cs="Arial"/>
                <w:bCs/>
                <w:sz w:val="18"/>
                <w:szCs w:val="18"/>
              </w:rPr>
              <w:t>F</w:t>
            </w:r>
            <w:r w:rsidRPr="0099789B">
              <w:rPr>
                <w:rFonts w:ascii="Arial" w:hAnsi="Arial" w:cs="Arial"/>
                <w:bCs/>
                <w:sz w:val="18"/>
                <w:szCs w:val="18"/>
                <w:vertAlign w:val="subscript"/>
              </w:rPr>
              <w:t>10</w:t>
            </w:r>
          </w:p>
        </w:tc>
        <w:tc>
          <w:tcPr>
            <w:tcW w:w="2410" w:type="dxa"/>
          </w:tcPr>
          <w:p w14:paraId="59126958" w14:textId="77777777" w:rsidR="00010E2E" w:rsidRPr="0099789B" w:rsidRDefault="00010E2E" w:rsidP="005642D7">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1,</w:t>
            </w:r>
            <w:r w:rsidR="005642D7">
              <w:rPr>
                <w:rFonts w:ascii="Arial" w:hAnsi="Arial" w:cs="Arial"/>
                <w:bCs/>
                <w:sz w:val="18"/>
                <w:szCs w:val="18"/>
              </w:rPr>
              <w:t>64</w:t>
            </w:r>
            <w:r w:rsidR="005642D7" w:rsidRPr="0099789B">
              <w:rPr>
                <w:rFonts w:ascii="Arial" w:hAnsi="Arial" w:cs="Arial"/>
                <w:bCs/>
                <w:sz w:val="18"/>
                <w:szCs w:val="18"/>
              </w:rPr>
              <w:t>0</w:t>
            </w:r>
          </w:p>
        </w:tc>
      </w:tr>
      <w:tr w:rsidR="00010E2E" w:rsidRPr="0099789B" w14:paraId="55C5C639" w14:textId="77777777">
        <w:tc>
          <w:tcPr>
            <w:tcW w:w="2943" w:type="dxa"/>
          </w:tcPr>
          <w:p w14:paraId="2DF39841"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HFC-125</w:t>
            </w:r>
          </w:p>
        </w:tc>
        <w:tc>
          <w:tcPr>
            <w:tcW w:w="2552" w:type="dxa"/>
          </w:tcPr>
          <w:p w14:paraId="7524BA05"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HF</w:t>
            </w:r>
            <w:r w:rsidRPr="0099789B">
              <w:rPr>
                <w:rFonts w:ascii="Arial" w:hAnsi="Arial" w:cs="Arial"/>
                <w:bCs/>
                <w:sz w:val="18"/>
                <w:szCs w:val="18"/>
                <w:vertAlign w:val="subscript"/>
              </w:rPr>
              <w:t>5</w:t>
            </w:r>
          </w:p>
        </w:tc>
        <w:tc>
          <w:tcPr>
            <w:tcW w:w="2410" w:type="dxa"/>
          </w:tcPr>
          <w:p w14:paraId="1D014BCD" w14:textId="77777777" w:rsidR="00010E2E" w:rsidRPr="0099789B" w:rsidRDefault="005642D7" w:rsidP="005642D7">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3</w:t>
            </w:r>
            <w:r w:rsidR="00010E2E" w:rsidRPr="0099789B">
              <w:rPr>
                <w:rFonts w:ascii="Arial" w:hAnsi="Arial" w:cs="Arial"/>
                <w:bCs/>
                <w:sz w:val="18"/>
                <w:szCs w:val="18"/>
              </w:rPr>
              <w:t>,</w:t>
            </w:r>
            <w:r>
              <w:rPr>
                <w:rFonts w:ascii="Arial" w:hAnsi="Arial" w:cs="Arial"/>
                <w:bCs/>
                <w:sz w:val="18"/>
                <w:szCs w:val="18"/>
              </w:rPr>
              <w:t>5</w:t>
            </w:r>
            <w:r w:rsidRPr="0099789B">
              <w:rPr>
                <w:rFonts w:ascii="Arial" w:hAnsi="Arial" w:cs="Arial"/>
                <w:bCs/>
                <w:sz w:val="18"/>
                <w:szCs w:val="18"/>
              </w:rPr>
              <w:t>00</w:t>
            </w:r>
          </w:p>
        </w:tc>
      </w:tr>
      <w:tr w:rsidR="00010E2E" w:rsidRPr="0099789B" w14:paraId="3B0EDE66" w14:textId="77777777">
        <w:tc>
          <w:tcPr>
            <w:tcW w:w="2943" w:type="dxa"/>
          </w:tcPr>
          <w:p w14:paraId="1F524EE0"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HFC-134</w:t>
            </w:r>
          </w:p>
        </w:tc>
        <w:tc>
          <w:tcPr>
            <w:tcW w:w="2552" w:type="dxa"/>
          </w:tcPr>
          <w:p w14:paraId="33A8BCDF"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H</w:t>
            </w:r>
            <w:r w:rsidRPr="0099789B">
              <w:rPr>
                <w:rFonts w:ascii="Arial" w:hAnsi="Arial" w:cs="Arial"/>
                <w:bCs/>
                <w:sz w:val="18"/>
                <w:szCs w:val="18"/>
                <w:vertAlign w:val="subscript"/>
              </w:rPr>
              <w:t>2</w:t>
            </w:r>
            <w:r w:rsidRPr="0099789B">
              <w:rPr>
                <w:rFonts w:ascii="Arial" w:hAnsi="Arial" w:cs="Arial"/>
                <w:bCs/>
                <w:sz w:val="18"/>
                <w:szCs w:val="18"/>
              </w:rPr>
              <w:t>F</w:t>
            </w:r>
            <w:r w:rsidRPr="0099789B">
              <w:rPr>
                <w:rFonts w:ascii="Arial" w:hAnsi="Arial" w:cs="Arial"/>
                <w:bCs/>
                <w:sz w:val="18"/>
                <w:szCs w:val="18"/>
                <w:vertAlign w:val="subscript"/>
              </w:rPr>
              <w:t>4</w:t>
            </w:r>
            <w:r w:rsidRPr="0099789B">
              <w:rPr>
                <w:rFonts w:ascii="Arial" w:hAnsi="Arial" w:cs="Arial"/>
                <w:bCs/>
                <w:sz w:val="18"/>
                <w:szCs w:val="18"/>
              </w:rPr>
              <w:t xml:space="preserve"> (CHF</w:t>
            </w:r>
            <w:r w:rsidRPr="0099789B">
              <w:rPr>
                <w:rFonts w:ascii="Arial" w:hAnsi="Arial" w:cs="Arial"/>
                <w:bCs/>
                <w:sz w:val="18"/>
                <w:szCs w:val="18"/>
                <w:vertAlign w:val="subscript"/>
              </w:rPr>
              <w:t>2</w:t>
            </w:r>
            <w:r w:rsidRPr="0099789B">
              <w:rPr>
                <w:rFonts w:ascii="Arial" w:hAnsi="Arial" w:cs="Arial"/>
                <w:bCs/>
                <w:sz w:val="18"/>
                <w:szCs w:val="18"/>
              </w:rPr>
              <w:t>CHF</w:t>
            </w:r>
            <w:r w:rsidRPr="0099789B">
              <w:rPr>
                <w:rFonts w:ascii="Arial" w:hAnsi="Arial" w:cs="Arial"/>
                <w:bCs/>
                <w:sz w:val="18"/>
                <w:szCs w:val="18"/>
                <w:vertAlign w:val="subscript"/>
              </w:rPr>
              <w:t>2</w:t>
            </w:r>
            <w:r w:rsidRPr="0099789B">
              <w:rPr>
                <w:rFonts w:ascii="Arial" w:hAnsi="Arial" w:cs="Arial"/>
                <w:bCs/>
                <w:sz w:val="18"/>
                <w:szCs w:val="18"/>
              </w:rPr>
              <w:t>)</w:t>
            </w:r>
          </w:p>
        </w:tc>
        <w:tc>
          <w:tcPr>
            <w:tcW w:w="2410" w:type="dxa"/>
          </w:tcPr>
          <w:p w14:paraId="6B627427" w14:textId="77777777" w:rsidR="00010E2E" w:rsidRPr="0099789B" w:rsidRDefault="00010E2E" w:rsidP="00F23175">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1,</w:t>
            </w:r>
            <w:r w:rsidR="00F23175">
              <w:rPr>
                <w:rFonts w:ascii="Arial" w:hAnsi="Arial" w:cs="Arial"/>
                <w:bCs/>
                <w:sz w:val="18"/>
                <w:szCs w:val="18"/>
              </w:rPr>
              <w:t>1</w:t>
            </w:r>
            <w:r w:rsidR="00F23175" w:rsidRPr="0099789B">
              <w:rPr>
                <w:rFonts w:ascii="Arial" w:hAnsi="Arial" w:cs="Arial"/>
                <w:bCs/>
                <w:sz w:val="18"/>
                <w:szCs w:val="18"/>
              </w:rPr>
              <w:t>00</w:t>
            </w:r>
          </w:p>
        </w:tc>
      </w:tr>
      <w:tr w:rsidR="00010E2E" w:rsidRPr="0099789B" w14:paraId="2A765DDD" w14:textId="77777777">
        <w:tc>
          <w:tcPr>
            <w:tcW w:w="2943" w:type="dxa"/>
          </w:tcPr>
          <w:p w14:paraId="4476CDFD"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HFC-134a</w:t>
            </w:r>
          </w:p>
        </w:tc>
        <w:tc>
          <w:tcPr>
            <w:tcW w:w="2552" w:type="dxa"/>
          </w:tcPr>
          <w:p w14:paraId="1CC94212"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H</w:t>
            </w:r>
            <w:r w:rsidRPr="0099789B">
              <w:rPr>
                <w:rFonts w:ascii="Arial" w:hAnsi="Arial" w:cs="Arial"/>
                <w:bCs/>
                <w:sz w:val="18"/>
                <w:szCs w:val="18"/>
                <w:vertAlign w:val="subscript"/>
              </w:rPr>
              <w:t>2</w:t>
            </w:r>
            <w:r w:rsidRPr="0099789B">
              <w:rPr>
                <w:rFonts w:ascii="Arial" w:hAnsi="Arial" w:cs="Arial"/>
                <w:bCs/>
                <w:sz w:val="18"/>
                <w:szCs w:val="18"/>
              </w:rPr>
              <w:t>F</w:t>
            </w:r>
            <w:r w:rsidRPr="0099789B">
              <w:rPr>
                <w:rFonts w:ascii="Arial" w:hAnsi="Arial" w:cs="Arial"/>
                <w:bCs/>
                <w:sz w:val="18"/>
                <w:szCs w:val="18"/>
                <w:vertAlign w:val="subscript"/>
              </w:rPr>
              <w:t>4</w:t>
            </w:r>
            <w:r w:rsidRPr="0099789B">
              <w:rPr>
                <w:rFonts w:ascii="Arial" w:hAnsi="Arial" w:cs="Arial"/>
                <w:bCs/>
                <w:sz w:val="18"/>
                <w:szCs w:val="18"/>
              </w:rPr>
              <w:t xml:space="preserve"> (CH</w:t>
            </w:r>
            <w:r w:rsidRPr="0099789B">
              <w:rPr>
                <w:rFonts w:ascii="Arial" w:hAnsi="Arial" w:cs="Arial"/>
                <w:bCs/>
                <w:sz w:val="18"/>
                <w:szCs w:val="18"/>
                <w:vertAlign w:val="subscript"/>
              </w:rPr>
              <w:t>2</w:t>
            </w:r>
            <w:r w:rsidRPr="0099789B">
              <w:rPr>
                <w:rFonts w:ascii="Arial" w:hAnsi="Arial" w:cs="Arial"/>
                <w:bCs/>
                <w:sz w:val="18"/>
                <w:szCs w:val="18"/>
              </w:rPr>
              <w:t>FCF</w:t>
            </w:r>
            <w:r w:rsidRPr="0099789B">
              <w:rPr>
                <w:rFonts w:ascii="Arial" w:hAnsi="Arial" w:cs="Arial"/>
                <w:bCs/>
                <w:sz w:val="18"/>
                <w:szCs w:val="18"/>
                <w:vertAlign w:val="subscript"/>
              </w:rPr>
              <w:t>3</w:t>
            </w:r>
            <w:r w:rsidRPr="0099789B">
              <w:rPr>
                <w:rFonts w:ascii="Arial" w:hAnsi="Arial" w:cs="Arial"/>
                <w:bCs/>
                <w:sz w:val="18"/>
                <w:szCs w:val="18"/>
              </w:rPr>
              <w:t>)</w:t>
            </w:r>
          </w:p>
        </w:tc>
        <w:tc>
          <w:tcPr>
            <w:tcW w:w="2410" w:type="dxa"/>
          </w:tcPr>
          <w:p w14:paraId="6FF87A3D" w14:textId="77777777" w:rsidR="00010E2E" w:rsidRPr="0099789B" w:rsidRDefault="00010E2E" w:rsidP="00F23175">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1,</w:t>
            </w:r>
            <w:r w:rsidR="00F23175">
              <w:rPr>
                <w:rFonts w:ascii="Arial" w:hAnsi="Arial" w:cs="Arial"/>
                <w:bCs/>
                <w:sz w:val="18"/>
                <w:szCs w:val="18"/>
              </w:rPr>
              <w:t>43</w:t>
            </w:r>
            <w:r w:rsidR="00F23175" w:rsidRPr="0099789B">
              <w:rPr>
                <w:rFonts w:ascii="Arial" w:hAnsi="Arial" w:cs="Arial"/>
                <w:bCs/>
                <w:sz w:val="18"/>
                <w:szCs w:val="18"/>
              </w:rPr>
              <w:t>0</w:t>
            </w:r>
          </w:p>
        </w:tc>
      </w:tr>
      <w:tr w:rsidR="00010E2E" w:rsidRPr="0099789B" w14:paraId="2F5741F7" w14:textId="77777777">
        <w:tc>
          <w:tcPr>
            <w:tcW w:w="2943" w:type="dxa"/>
          </w:tcPr>
          <w:p w14:paraId="19FBA9C0"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HFC-143</w:t>
            </w:r>
          </w:p>
        </w:tc>
        <w:tc>
          <w:tcPr>
            <w:tcW w:w="2552" w:type="dxa"/>
          </w:tcPr>
          <w:p w14:paraId="66ABE2A5"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H</w:t>
            </w:r>
            <w:r w:rsidRPr="0099789B">
              <w:rPr>
                <w:rFonts w:ascii="Arial" w:hAnsi="Arial" w:cs="Arial"/>
                <w:bCs/>
                <w:sz w:val="18"/>
                <w:szCs w:val="18"/>
                <w:vertAlign w:val="subscript"/>
              </w:rPr>
              <w:t>3</w:t>
            </w:r>
            <w:r w:rsidRPr="0099789B">
              <w:rPr>
                <w:rFonts w:ascii="Arial" w:hAnsi="Arial" w:cs="Arial"/>
                <w:bCs/>
                <w:sz w:val="18"/>
                <w:szCs w:val="18"/>
              </w:rPr>
              <w:t>F</w:t>
            </w:r>
            <w:r w:rsidRPr="0099789B">
              <w:rPr>
                <w:rFonts w:ascii="Arial" w:hAnsi="Arial" w:cs="Arial"/>
                <w:bCs/>
                <w:sz w:val="18"/>
                <w:szCs w:val="18"/>
                <w:vertAlign w:val="subscript"/>
              </w:rPr>
              <w:t>3</w:t>
            </w:r>
            <w:r w:rsidRPr="0099789B">
              <w:rPr>
                <w:rFonts w:ascii="Arial" w:hAnsi="Arial" w:cs="Arial"/>
                <w:bCs/>
                <w:sz w:val="18"/>
                <w:szCs w:val="18"/>
              </w:rPr>
              <w:t xml:space="preserve"> (CHF</w:t>
            </w:r>
            <w:r w:rsidRPr="0099789B">
              <w:rPr>
                <w:rFonts w:ascii="Arial" w:hAnsi="Arial" w:cs="Arial"/>
                <w:bCs/>
                <w:sz w:val="18"/>
                <w:szCs w:val="18"/>
                <w:vertAlign w:val="subscript"/>
              </w:rPr>
              <w:t>2</w:t>
            </w:r>
            <w:r w:rsidRPr="0099789B">
              <w:rPr>
                <w:rFonts w:ascii="Arial" w:hAnsi="Arial" w:cs="Arial"/>
                <w:bCs/>
                <w:sz w:val="18"/>
                <w:szCs w:val="18"/>
              </w:rPr>
              <w:t>CH</w:t>
            </w:r>
            <w:r w:rsidRPr="0099789B">
              <w:rPr>
                <w:rFonts w:ascii="Arial" w:hAnsi="Arial" w:cs="Arial"/>
                <w:bCs/>
                <w:sz w:val="18"/>
                <w:szCs w:val="18"/>
                <w:vertAlign w:val="subscript"/>
              </w:rPr>
              <w:t>2</w:t>
            </w:r>
            <w:r w:rsidRPr="0099789B">
              <w:rPr>
                <w:rFonts w:ascii="Arial" w:hAnsi="Arial" w:cs="Arial"/>
                <w:bCs/>
                <w:sz w:val="18"/>
                <w:szCs w:val="18"/>
              </w:rPr>
              <w:t>F)</w:t>
            </w:r>
          </w:p>
        </w:tc>
        <w:tc>
          <w:tcPr>
            <w:tcW w:w="2410" w:type="dxa"/>
          </w:tcPr>
          <w:p w14:paraId="6B22C11C" w14:textId="77777777" w:rsidR="00010E2E" w:rsidRPr="0099789B" w:rsidRDefault="00F23175" w:rsidP="00F23175">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3</w:t>
            </w:r>
            <w:r>
              <w:rPr>
                <w:rFonts w:ascii="Arial" w:hAnsi="Arial" w:cs="Arial"/>
                <w:bCs/>
                <w:sz w:val="18"/>
                <w:szCs w:val="18"/>
              </w:rPr>
              <w:t>53</w:t>
            </w:r>
          </w:p>
        </w:tc>
      </w:tr>
      <w:tr w:rsidR="00010E2E" w:rsidRPr="0099789B" w14:paraId="61152519" w14:textId="77777777">
        <w:tc>
          <w:tcPr>
            <w:tcW w:w="2943" w:type="dxa"/>
          </w:tcPr>
          <w:p w14:paraId="418A5EB2"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HFC-143a</w:t>
            </w:r>
          </w:p>
        </w:tc>
        <w:tc>
          <w:tcPr>
            <w:tcW w:w="2552" w:type="dxa"/>
          </w:tcPr>
          <w:p w14:paraId="745FB4D1"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H</w:t>
            </w:r>
            <w:r w:rsidRPr="0099789B">
              <w:rPr>
                <w:rFonts w:ascii="Arial" w:hAnsi="Arial" w:cs="Arial"/>
                <w:bCs/>
                <w:sz w:val="18"/>
                <w:szCs w:val="18"/>
                <w:vertAlign w:val="subscript"/>
              </w:rPr>
              <w:t>3</w:t>
            </w:r>
            <w:r w:rsidRPr="0099789B">
              <w:rPr>
                <w:rFonts w:ascii="Arial" w:hAnsi="Arial" w:cs="Arial"/>
                <w:bCs/>
                <w:sz w:val="18"/>
                <w:szCs w:val="18"/>
              </w:rPr>
              <w:t>F</w:t>
            </w:r>
            <w:r w:rsidRPr="0099789B">
              <w:rPr>
                <w:rFonts w:ascii="Arial" w:hAnsi="Arial" w:cs="Arial"/>
                <w:bCs/>
                <w:sz w:val="18"/>
                <w:szCs w:val="18"/>
                <w:vertAlign w:val="subscript"/>
              </w:rPr>
              <w:t>3</w:t>
            </w:r>
            <w:r w:rsidRPr="0099789B">
              <w:rPr>
                <w:rFonts w:ascii="Arial" w:hAnsi="Arial" w:cs="Arial"/>
                <w:bCs/>
                <w:sz w:val="18"/>
                <w:szCs w:val="18"/>
              </w:rPr>
              <w:t xml:space="preserve"> (CF</w:t>
            </w:r>
            <w:r w:rsidRPr="0099789B">
              <w:rPr>
                <w:rFonts w:ascii="Arial" w:hAnsi="Arial" w:cs="Arial"/>
                <w:bCs/>
                <w:sz w:val="18"/>
                <w:szCs w:val="18"/>
                <w:vertAlign w:val="subscript"/>
              </w:rPr>
              <w:t>3</w:t>
            </w:r>
            <w:r w:rsidRPr="0099789B">
              <w:rPr>
                <w:rFonts w:ascii="Arial" w:hAnsi="Arial" w:cs="Arial"/>
                <w:bCs/>
                <w:sz w:val="18"/>
                <w:szCs w:val="18"/>
              </w:rPr>
              <w:t>CH</w:t>
            </w:r>
            <w:r w:rsidRPr="0099789B">
              <w:rPr>
                <w:rFonts w:ascii="Arial" w:hAnsi="Arial" w:cs="Arial"/>
                <w:bCs/>
                <w:sz w:val="18"/>
                <w:szCs w:val="18"/>
                <w:vertAlign w:val="subscript"/>
              </w:rPr>
              <w:t>3</w:t>
            </w:r>
            <w:r w:rsidRPr="0099789B">
              <w:rPr>
                <w:rFonts w:ascii="Arial" w:hAnsi="Arial" w:cs="Arial"/>
                <w:bCs/>
                <w:sz w:val="18"/>
                <w:szCs w:val="18"/>
              </w:rPr>
              <w:t>)</w:t>
            </w:r>
          </w:p>
        </w:tc>
        <w:tc>
          <w:tcPr>
            <w:tcW w:w="2410" w:type="dxa"/>
          </w:tcPr>
          <w:p w14:paraId="16A8B42F" w14:textId="77777777" w:rsidR="00010E2E" w:rsidRPr="0099789B" w:rsidRDefault="00F23175" w:rsidP="00F2317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4</w:t>
            </w:r>
            <w:r w:rsidR="00010E2E" w:rsidRPr="0099789B">
              <w:rPr>
                <w:rFonts w:ascii="Arial" w:hAnsi="Arial" w:cs="Arial"/>
                <w:bCs/>
                <w:sz w:val="18"/>
                <w:szCs w:val="18"/>
              </w:rPr>
              <w:t>,</w:t>
            </w:r>
            <w:r>
              <w:rPr>
                <w:rFonts w:ascii="Arial" w:hAnsi="Arial" w:cs="Arial"/>
                <w:bCs/>
                <w:sz w:val="18"/>
                <w:szCs w:val="18"/>
              </w:rPr>
              <w:t>47</w:t>
            </w:r>
            <w:r w:rsidRPr="0099789B">
              <w:rPr>
                <w:rFonts w:ascii="Arial" w:hAnsi="Arial" w:cs="Arial"/>
                <w:bCs/>
                <w:sz w:val="18"/>
                <w:szCs w:val="18"/>
              </w:rPr>
              <w:t>0</w:t>
            </w:r>
          </w:p>
        </w:tc>
      </w:tr>
      <w:tr w:rsidR="00010E2E" w:rsidRPr="0099789B" w14:paraId="14F8F05D" w14:textId="77777777">
        <w:tc>
          <w:tcPr>
            <w:tcW w:w="2943" w:type="dxa"/>
          </w:tcPr>
          <w:p w14:paraId="033D0880"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HFC-152a</w:t>
            </w:r>
          </w:p>
        </w:tc>
        <w:tc>
          <w:tcPr>
            <w:tcW w:w="2552" w:type="dxa"/>
          </w:tcPr>
          <w:p w14:paraId="577BD6DD"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H</w:t>
            </w:r>
            <w:r w:rsidRPr="0099789B">
              <w:rPr>
                <w:rFonts w:ascii="Arial" w:hAnsi="Arial" w:cs="Arial"/>
                <w:bCs/>
                <w:sz w:val="18"/>
                <w:szCs w:val="18"/>
                <w:vertAlign w:val="subscript"/>
              </w:rPr>
              <w:t>4</w:t>
            </w:r>
            <w:r w:rsidRPr="0099789B">
              <w:rPr>
                <w:rFonts w:ascii="Arial" w:hAnsi="Arial" w:cs="Arial"/>
                <w:bCs/>
                <w:sz w:val="18"/>
                <w:szCs w:val="18"/>
              </w:rPr>
              <w:t>F</w:t>
            </w:r>
            <w:r w:rsidRPr="0099789B">
              <w:rPr>
                <w:rFonts w:ascii="Arial" w:hAnsi="Arial" w:cs="Arial"/>
                <w:bCs/>
                <w:sz w:val="18"/>
                <w:szCs w:val="18"/>
                <w:vertAlign w:val="subscript"/>
              </w:rPr>
              <w:t>2</w:t>
            </w:r>
            <w:r w:rsidRPr="0099789B">
              <w:rPr>
                <w:rFonts w:ascii="Arial" w:hAnsi="Arial" w:cs="Arial"/>
                <w:bCs/>
                <w:sz w:val="18"/>
                <w:szCs w:val="18"/>
              </w:rPr>
              <w:t xml:space="preserve"> (CH</w:t>
            </w:r>
            <w:r w:rsidRPr="0099789B">
              <w:rPr>
                <w:rFonts w:ascii="Arial" w:hAnsi="Arial" w:cs="Arial"/>
                <w:bCs/>
                <w:sz w:val="18"/>
                <w:szCs w:val="18"/>
                <w:vertAlign w:val="subscript"/>
              </w:rPr>
              <w:t>3</w:t>
            </w:r>
            <w:r w:rsidRPr="0099789B">
              <w:rPr>
                <w:rFonts w:ascii="Arial" w:hAnsi="Arial" w:cs="Arial"/>
                <w:bCs/>
                <w:sz w:val="18"/>
                <w:szCs w:val="18"/>
              </w:rPr>
              <w:t>CHF</w:t>
            </w:r>
            <w:r w:rsidRPr="0099789B">
              <w:rPr>
                <w:rFonts w:ascii="Arial" w:hAnsi="Arial" w:cs="Arial"/>
                <w:bCs/>
                <w:sz w:val="18"/>
                <w:szCs w:val="18"/>
                <w:vertAlign w:val="subscript"/>
              </w:rPr>
              <w:t>2</w:t>
            </w:r>
            <w:r w:rsidRPr="0099789B">
              <w:rPr>
                <w:rFonts w:ascii="Arial" w:hAnsi="Arial" w:cs="Arial"/>
                <w:bCs/>
                <w:sz w:val="18"/>
                <w:szCs w:val="18"/>
              </w:rPr>
              <w:t>)</w:t>
            </w:r>
          </w:p>
        </w:tc>
        <w:tc>
          <w:tcPr>
            <w:tcW w:w="2410" w:type="dxa"/>
          </w:tcPr>
          <w:p w14:paraId="44EEB740" w14:textId="77777777" w:rsidR="00010E2E" w:rsidRPr="0099789B" w:rsidRDefault="00F23175" w:rsidP="00F23175">
            <w:pPr>
              <w:pStyle w:val="BodyText"/>
              <w:tabs>
                <w:tab w:val="left" w:pos="0"/>
                <w:tab w:val="left" w:pos="2250"/>
              </w:tabs>
              <w:spacing w:before="120" w:after="0" w:line="312" w:lineRule="auto"/>
              <w:ind w:left="884"/>
              <w:rPr>
                <w:rFonts w:ascii="Arial" w:hAnsi="Arial" w:cs="Arial"/>
                <w:bCs/>
                <w:sz w:val="18"/>
                <w:szCs w:val="18"/>
              </w:rPr>
            </w:pPr>
            <w:r w:rsidRPr="0099789B">
              <w:rPr>
                <w:rFonts w:ascii="Arial" w:hAnsi="Arial" w:cs="Arial"/>
                <w:bCs/>
                <w:sz w:val="18"/>
                <w:szCs w:val="18"/>
              </w:rPr>
              <w:t>1</w:t>
            </w:r>
            <w:r>
              <w:rPr>
                <w:rFonts w:ascii="Arial" w:hAnsi="Arial" w:cs="Arial"/>
                <w:bCs/>
                <w:sz w:val="18"/>
                <w:szCs w:val="18"/>
              </w:rPr>
              <w:t>24</w:t>
            </w:r>
          </w:p>
        </w:tc>
      </w:tr>
      <w:tr w:rsidR="00010E2E" w:rsidRPr="0099789B" w14:paraId="16BA4283" w14:textId="77777777">
        <w:tc>
          <w:tcPr>
            <w:tcW w:w="2943" w:type="dxa"/>
          </w:tcPr>
          <w:p w14:paraId="2D29D8A8"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HFC-227ea</w:t>
            </w:r>
          </w:p>
        </w:tc>
        <w:tc>
          <w:tcPr>
            <w:tcW w:w="2552" w:type="dxa"/>
          </w:tcPr>
          <w:p w14:paraId="396979B3"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3</w:t>
            </w:r>
            <w:r w:rsidRPr="0099789B">
              <w:rPr>
                <w:rFonts w:ascii="Arial" w:hAnsi="Arial" w:cs="Arial"/>
                <w:bCs/>
                <w:sz w:val="18"/>
                <w:szCs w:val="18"/>
              </w:rPr>
              <w:t>HF</w:t>
            </w:r>
            <w:r w:rsidRPr="0099789B">
              <w:rPr>
                <w:rFonts w:ascii="Arial" w:hAnsi="Arial" w:cs="Arial"/>
                <w:bCs/>
                <w:sz w:val="18"/>
                <w:szCs w:val="18"/>
                <w:vertAlign w:val="subscript"/>
              </w:rPr>
              <w:t>7</w:t>
            </w:r>
          </w:p>
        </w:tc>
        <w:tc>
          <w:tcPr>
            <w:tcW w:w="2410" w:type="dxa"/>
          </w:tcPr>
          <w:p w14:paraId="1E6EAB9C" w14:textId="77777777" w:rsidR="00010E2E" w:rsidRPr="0099789B" w:rsidRDefault="00F23175" w:rsidP="00F2317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3</w:t>
            </w:r>
            <w:r w:rsidR="00010E2E" w:rsidRPr="0099789B">
              <w:rPr>
                <w:rFonts w:ascii="Arial" w:hAnsi="Arial" w:cs="Arial"/>
                <w:bCs/>
                <w:sz w:val="18"/>
                <w:szCs w:val="18"/>
              </w:rPr>
              <w:t>,</w:t>
            </w:r>
            <w:r>
              <w:rPr>
                <w:rFonts w:ascii="Arial" w:hAnsi="Arial" w:cs="Arial"/>
                <w:bCs/>
                <w:sz w:val="18"/>
                <w:szCs w:val="18"/>
              </w:rPr>
              <w:t>220</w:t>
            </w:r>
          </w:p>
        </w:tc>
      </w:tr>
      <w:tr w:rsidR="00010E2E" w:rsidRPr="0099789B" w14:paraId="6F78E85E" w14:textId="77777777">
        <w:tc>
          <w:tcPr>
            <w:tcW w:w="2943" w:type="dxa"/>
          </w:tcPr>
          <w:p w14:paraId="02964FF8"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HFC-236fa</w:t>
            </w:r>
          </w:p>
        </w:tc>
        <w:tc>
          <w:tcPr>
            <w:tcW w:w="2552" w:type="dxa"/>
          </w:tcPr>
          <w:p w14:paraId="5B868F4B"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3</w:t>
            </w:r>
            <w:r w:rsidRPr="0099789B">
              <w:rPr>
                <w:rFonts w:ascii="Arial" w:hAnsi="Arial" w:cs="Arial"/>
                <w:bCs/>
                <w:sz w:val="18"/>
                <w:szCs w:val="18"/>
              </w:rPr>
              <w:t>H</w:t>
            </w:r>
            <w:r w:rsidRPr="0099789B">
              <w:rPr>
                <w:rFonts w:ascii="Arial" w:hAnsi="Arial" w:cs="Arial"/>
                <w:bCs/>
                <w:sz w:val="18"/>
                <w:szCs w:val="18"/>
                <w:vertAlign w:val="subscript"/>
              </w:rPr>
              <w:t>2</w:t>
            </w:r>
            <w:r w:rsidRPr="0099789B">
              <w:rPr>
                <w:rFonts w:ascii="Arial" w:hAnsi="Arial" w:cs="Arial"/>
                <w:bCs/>
                <w:sz w:val="18"/>
                <w:szCs w:val="18"/>
              </w:rPr>
              <w:t>F</w:t>
            </w:r>
            <w:r w:rsidRPr="0099789B">
              <w:rPr>
                <w:rFonts w:ascii="Arial" w:hAnsi="Arial" w:cs="Arial"/>
                <w:bCs/>
                <w:sz w:val="18"/>
                <w:szCs w:val="18"/>
                <w:vertAlign w:val="subscript"/>
              </w:rPr>
              <w:t>6</w:t>
            </w:r>
          </w:p>
        </w:tc>
        <w:tc>
          <w:tcPr>
            <w:tcW w:w="2410" w:type="dxa"/>
          </w:tcPr>
          <w:p w14:paraId="543424E9" w14:textId="77777777" w:rsidR="00010E2E" w:rsidRPr="0099789B" w:rsidRDefault="00F23175" w:rsidP="00F2317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9</w:t>
            </w:r>
            <w:r w:rsidR="00010E2E" w:rsidRPr="0099789B">
              <w:rPr>
                <w:rFonts w:ascii="Arial" w:hAnsi="Arial" w:cs="Arial"/>
                <w:bCs/>
                <w:sz w:val="18"/>
                <w:szCs w:val="18"/>
              </w:rPr>
              <w:t>,</w:t>
            </w:r>
            <w:r>
              <w:rPr>
                <w:rFonts w:ascii="Arial" w:hAnsi="Arial" w:cs="Arial"/>
                <w:bCs/>
                <w:sz w:val="18"/>
                <w:szCs w:val="18"/>
              </w:rPr>
              <w:t>81</w:t>
            </w:r>
            <w:r w:rsidRPr="0099789B">
              <w:rPr>
                <w:rFonts w:ascii="Arial" w:hAnsi="Arial" w:cs="Arial"/>
                <w:bCs/>
                <w:sz w:val="18"/>
                <w:szCs w:val="18"/>
              </w:rPr>
              <w:t>0</w:t>
            </w:r>
          </w:p>
        </w:tc>
      </w:tr>
      <w:tr w:rsidR="00010E2E" w:rsidRPr="0099789B" w14:paraId="08561DF2" w14:textId="77777777">
        <w:tc>
          <w:tcPr>
            <w:tcW w:w="2943" w:type="dxa"/>
          </w:tcPr>
          <w:p w14:paraId="0C77434E" w14:textId="77777777" w:rsidR="00010E2E" w:rsidRPr="0099789B" w:rsidRDefault="00010E2E">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HFC-245ca</w:t>
            </w:r>
          </w:p>
        </w:tc>
        <w:tc>
          <w:tcPr>
            <w:tcW w:w="2552" w:type="dxa"/>
          </w:tcPr>
          <w:p w14:paraId="565DC334" w14:textId="77777777" w:rsidR="00010E2E" w:rsidRPr="0099789B" w:rsidRDefault="00010E2E">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3</w:t>
            </w:r>
            <w:r w:rsidRPr="0099789B">
              <w:rPr>
                <w:rFonts w:ascii="Arial" w:hAnsi="Arial" w:cs="Arial"/>
                <w:bCs/>
                <w:sz w:val="18"/>
                <w:szCs w:val="18"/>
              </w:rPr>
              <w:t>H</w:t>
            </w:r>
            <w:r w:rsidRPr="0099789B">
              <w:rPr>
                <w:rFonts w:ascii="Arial" w:hAnsi="Arial" w:cs="Arial"/>
                <w:bCs/>
                <w:sz w:val="18"/>
                <w:szCs w:val="18"/>
                <w:vertAlign w:val="subscript"/>
              </w:rPr>
              <w:t>3</w:t>
            </w:r>
            <w:r w:rsidRPr="0099789B">
              <w:rPr>
                <w:rFonts w:ascii="Arial" w:hAnsi="Arial" w:cs="Arial"/>
                <w:bCs/>
                <w:sz w:val="18"/>
                <w:szCs w:val="18"/>
              </w:rPr>
              <w:t>F</w:t>
            </w:r>
            <w:r w:rsidRPr="0099789B">
              <w:rPr>
                <w:rFonts w:ascii="Arial" w:hAnsi="Arial" w:cs="Arial"/>
                <w:bCs/>
                <w:sz w:val="18"/>
                <w:szCs w:val="18"/>
                <w:vertAlign w:val="subscript"/>
              </w:rPr>
              <w:t>5</w:t>
            </w:r>
          </w:p>
        </w:tc>
        <w:tc>
          <w:tcPr>
            <w:tcW w:w="2410" w:type="dxa"/>
          </w:tcPr>
          <w:p w14:paraId="661680BF" w14:textId="77777777" w:rsidR="00010E2E" w:rsidRPr="0099789B" w:rsidRDefault="00351F58">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sz w:val="18"/>
                <w:szCs w:val="18"/>
              </w:rPr>
              <w:t>693</w:t>
            </w:r>
          </w:p>
        </w:tc>
      </w:tr>
      <w:tr w:rsidR="00010E2E" w:rsidRPr="0099789B" w14:paraId="69EA37BA" w14:textId="77777777">
        <w:tc>
          <w:tcPr>
            <w:tcW w:w="2943" w:type="dxa"/>
          </w:tcPr>
          <w:p w14:paraId="6AC7785F" w14:textId="77777777" w:rsidR="00010E2E" w:rsidRPr="0099789B" w:rsidRDefault="00010E2E">
            <w:pPr>
              <w:pStyle w:val="BodyText"/>
              <w:tabs>
                <w:tab w:val="left" w:pos="0"/>
                <w:tab w:val="left" w:pos="2250"/>
              </w:tabs>
              <w:spacing w:before="120" w:after="0" w:line="312" w:lineRule="auto"/>
              <w:ind w:left="0"/>
              <w:rPr>
                <w:rFonts w:ascii="Arial" w:hAnsi="Arial" w:cs="Arial"/>
                <w:b/>
                <w:bCs/>
                <w:i/>
                <w:iCs/>
                <w:sz w:val="18"/>
                <w:szCs w:val="18"/>
              </w:rPr>
            </w:pPr>
            <w:r w:rsidRPr="0099789B">
              <w:rPr>
                <w:rFonts w:ascii="Arial" w:hAnsi="Arial" w:cs="Arial"/>
                <w:b/>
                <w:bCs/>
                <w:i/>
                <w:iCs/>
                <w:sz w:val="18"/>
                <w:szCs w:val="18"/>
              </w:rPr>
              <w:t>Perfluorocarbons PFCs</w:t>
            </w:r>
          </w:p>
        </w:tc>
        <w:tc>
          <w:tcPr>
            <w:tcW w:w="2552" w:type="dxa"/>
          </w:tcPr>
          <w:p w14:paraId="0161BBD8" w14:textId="77777777" w:rsidR="00010E2E" w:rsidRPr="0099789B" w:rsidRDefault="00010E2E">
            <w:pPr>
              <w:pStyle w:val="BodyText"/>
              <w:tabs>
                <w:tab w:val="left" w:pos="0"/>
                <w:tab w:val="left" w:pos="2250"/>
              </w:tabs>
              <w:spacing w:before="120" w:after="0" w:line="312" w:lineRule="auto"/>
              <w:ind w:left="885"/>
              <w:rPr>
                <w:rFonts w:ascii="Arial" w:hAnsi="Arial" w:cs="Arial"/>
                <w:sz w:val="18"/>
                <w:szCs w:val="18"/>
              </w:rPr>
            </w:pPr>
          </w:p>
        </w:tc>
        <w:tc>
          <w:tcPr>
            <w:tcW w:w="2410" w:type="dxa"/>
          </w:tcPr>
          <w:p w14:paraId="1D6FED2A" w14:textId="77777777" w:rsidR="00010E2E" w:rsidRPr="0099789B" w:rsidRDefault="00010E2E">
            <w:pPr>
              <w:pStyle w:val="BodyText"/>
              <w:tabs>
                <w:tab w:val="left" w:pos="0"/>
                <w:tab w:val="left" w:pos="2250"/>
              </w:tabs>
              <w:spacing w:before="120" w:after="0" w:line="312" w:lineRule="auto"/>
              <w:ind w:left="884"/>
              <w:rPr>
                <w:rFonts w:ascii="Arial" w:hAnsi="Arial" w:cs="Arial"/>
                <w:sz w:val="18"/>
                <w:szCs w:val="18"/>
              </w:rPr>
            </w:pPr>
          </w:p>
        </w:tc>
      </w:tr>
      <w:tr w:rsidR="00B91CE5" w:rsidRPr="0099789B" w14:paraId="3D2AD9D0" w14:textId="77777777">
        <w:tc>
          <w:tcPr>
            <w:tcW w:w="2943" w:type="dxa"/>
          </w:tcPr>
          <w:p w14:paraId="5968CD3F"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Perfluoromethane (tetrafluoromethane)</w:t>
            </w:r>
          </w:p>
        </w:tc>
        <w:tc>
          <w:tcPr>
            <w:tcW w:w="2552" w:type="dxa"/>
          </w:tcPr>
          <w:p w14:paraId="2496D6FC"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CF</w:t>
            </w:r>
            <w:r w:rsidRPr="0099789B">
              <w:rPr>
                <w:rFonts w:ascii="Arial" w:hAnsi="Arial" w:cs="Arial"/>
                <w:bCs/>
                <w:sz w:val="18"/>
                <w:szCs w:val="18"/>
                <w:vertAlign w:val="subscript"/>
              </w:rPr>
              <w:t>4</w:t>
            </w:r>
          </w:p>
        </w:tc>
        <w:tc>
          <w:tcPr>
            <w:tcW w:w="2410" w:type="dxa"/>
          </w:tcPr>
          <w:p w14:paraId="49C24701"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7,390</w:t>
            </w:r>
          </w:p>
        </w:tc>
      </w:tr>
      <w:tr w:rsidR="00B91CE5" w:rsidRPr="0099789B" w14:paraId="350A2D1B" w14:textId="77777777">
        <w:tc>
          <w:tcPr>
            <w:tcW w:w="2943" w:type="dxa"/>
          </w:tcPr>
          <w:p w14:paraId="2FF2E258"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Perfluoroethane (hexafluoroethane)</w:t>
            </w:r>
          </w:p>
        </w:tc>
        <w:tc>
          <w:tcPr>
            <w:tcW w:w="2552" w:type="dxa"/>
          </w:tcPr>
          <w:p w14:paraId="13E22562"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2</w:t>
            </w:r>
            <w:r w:rsidRPr="0099789B">
              <w:rPr>
                <w:rFonts w:ascii="Arial" w:hAnsi="Arial" w:cs="Arial"/>
                <w:bCs/>
                <w:sz w:val="18"/>
                <w:szCs w:val="18"/>
              </w:rPr>
              <w:t>F</w:t>
            </w:r>
            <w:r w:rsidRPr="0099789B">
              <w:rPr>
                <w:rFonts w:ascii="Arial" w:hAnsi="Arial" w:cs="Arial"/>
                <w:bCs/>
                <w:sz w:val="18"/>
                <w:szCs w:val="18"/>
                <w:vertAlign w:val="subscript"/>
              </w:rPr>
              <w:t>6</w:t>
            </w:r>
          </w:p>
        </w:tc>
        <w:tc>
          <w:tcPr>
            <w:tcW w:w="2410" w:type="dxa"/>
          </w:tcPr>
          <w:p w14:paraId="65C0EB27"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12,200</w:t>
            </w:r>
          </w:p>
        </w:tc>
      </w:tr>
      <w:tr w:rsidR="00B91CE5" w:rsidRPr="0099789B" w14:paraId="013F7AB5" w14:textId="77777777">
        <w:tc>
          <w:tcPr>
            <w:tcW w:w="2943" w:type="dxa"/>
          </w:tcPr>
          <w:p w14:paraId="62713AE6"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Perfluoropropane</w:t>
            </w:r>
          </w:p>
        </w:tc>
        <w:tc>
          <w:tcPr>
            <w:tcW w:w="2552" w:type="dxa"/>
          </w:tcPr>
          <w:p w14:paraId="2CED7E72"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3</w:t>
            </w:r>
            <w:r w:rsidRPr="0099789B">
              <w:rPr>
                <w:rFonts w:ascii="Arial" w:hAnsi="Arial" w:cs="Arial"/>
                <w:bCs/>
                <w:sz w:val="18"/>
                <w:szCs w:val="18"/>
              </w:rPr>
              <w:t>F</w:t>
            </w:r>
            <w:r w:rsidRPr="0099789B">
              <w:rPr>
                <w:rFonts w:ascii="Arial" w:hAnsi="Arial" w:cs="Arial"/>
                <w:bCs/>
                <w:sz w:val="18"/>
                <w:szCs w:val="18"/>
                <w:vertAlign w:val="subscript"/>
              </w:rPr>
              <w:t>8</w:t>
            </w:r>
          </w:p>
        </w:tc>
        <w:tc>
          <w:tcPr>
            <w:tcW w:w="2410" w:type="dxa"/>
          </w:tcPr>
          <w:p w14:paraId="2E189CAE"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8,830</w:t>
            </w:r>
          </w:p>
        </w:tc>
      </w:tr>
      <w:tr w:rsidR="00B91CE5" w:rsidRPr="0099789B" w14:paraId="213A70F4" w14:textId="77777777">
        <w:tc>
          <w:tcPr>
            <w:tcW w:w="2943" w:type="dxa"/>
          </w:tcPr>
          <w:p w14:paraId="7B532DC5"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Perfluorobutane</w:t>
            </w:r>
          </w:p>
        </w:tc>
        <w:tc>
          <w:tcPr>
            <w:tcW w:w="2552" w:type="dxa"/>
          </w:tcPr>
          <w:p w14:paraId="410FCB5D"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4</w:t>
            </w:r>
            <w:r w:rsidRPr="0099789B">
              <w:rPr>
                <w:rFonts w:ascii="Arial" w:hAnsi="Arial" w:cs="Arial"/>
                <w:bCs/>
                <w:sz w:val="18"/>
                <w:szCs w:val="18"/>
              </w:rPr>
              <w:t>F</w:t>
            </w:r>
            <w:r w:rsidRPr="0099789B">
              <w:rPr>
                <w:rFonts w:ascii="Arial" w:hAnsi="Arial" w:cs="Arial"/>
                <w:bCs/>
                <w:sz w:val="18"/>
                <w:szCs w:val="18"/>
                <w:vertAlign w:val="subscript"/>
              </w:rPr>
              <w:t>10</w:t>
            </w:r>
          </w:p>
        </w:tc>
        <w:tc>
          <w:tcPr>
            <w:tcW w:w="2410" w:type="dxa"/>
          </w:tcPr>
          <w:p w14:paraId="15F98A47"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8,860</w:t>
            </w:r>
          </w:p>
        </w:tc>
      </w:tr>
      <w:tr w:rsidR="00B91CE5" w:rsidRPr="0099789B" w14:paraId="2B3EB113" w14:textId="77777777">
        <w:tc>
          <w:tcPr>
            <w:tcW w:w="2943" w:type="dxa"/>
          </w:tcPr>
          <w:p w14:paraId="5A0C0C18"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Perfluorocyclobutane</w:t>
            </w:r>
          </w:p>
        </w:tc>
        <w:tc>
          <w:tcPr>
            <w:tcW w:w="2552" w:type="dxa"/>
          </w:tcPr>
          <w:p w14:paraId="1B38CB30"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c-C</w:t>
            </w:r>
            <w:r w:rsidRPr="0099789B">
              <w:rPr>
                <w:rFonts w:ascii="Arial" w:hAnsi="Arial" w:cs="Arial"/>
                <w:bCs/>
                <w:sz w:val="18"/>
                <w:szCs w:val="18"/>
                <w:vertAlign w:val="subscript"/>
              </w:rPr>
              <w:t>4</w:t>
            </w:r>
            <w:r w:rsidRPr="0099789B">
              <w:rPr>
                <w:rFonts w:ascii="Arial" w:hAnsi="Arial" w:cs="Arial"/>
                <w:bCs/>
                <w:sz w:val="18"/>
                <w:szCs w:val="18"/>
              </w:rPr>
              <w:t>F</w:t>
            </w:r>
            <w:r w:rsidRPr="0099789B">
              <w:rPr>
                <w:rFonts w:ascii="Arial" w:hAnsi="Arial" w:cs="Arial"/>
                <w:bCs/>
                <w:sz w:val="18"/>
                <w:szCs w:val="18"/>
                <w:vertAlign w:val="subscript"/>
              </w:rPr>
              <w:t>8</w:t>
            </w:r>
          </w:p>
        </w:tc>
        <w:tc>
          <w:tcPr>
            <w:tcW w:w="2410" w:type="dxa"/>
          </w:tcPr>
          <w:p w14:paraId="6CD7BB70"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10,300</w:t>
            </w:r>
          </w:p>
        </w:tc>
      </w:tr>
      <w:tr w:rsidR="00B91CE5" w:rsidRPr="0099789B" w14:paraId="1DD89D43" w14:textId="77777777">
        <w:tc>
          <w:tcPr>
            <w:tcW w:w="2943" w:type="dxa"/>
          </w:tcPr>
          <w:p w14:paraId="1F1BE345"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Perfluoropentane</w:t>
            </w:r>
          </w:p>
        </w:tc>
        <w:tc>
          <w:tcPr>
            <w:tcW w:w="2552" w:type="dxa"/>
          </w:tcPr>
          <w:p w14:paraId="0BEA9ED8"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5</w:t>
            </w:r>
            <w:r w:rsidRPr="0099789B">
              <w:rPr>
                <w:rFonts w:ascii="Arial" w:hAnsi="Arial" w:cs="Arial"/>
                <w:bCs/>
                <w:sz w:val="18"/>
                <w:szCs w:val="18"/>
              </w:rPr>
              <w:t>F</w:t>
            </w:r>
            <w:r w:rsidRPr="0099789B">
              <w:rPr>
                <w:rFonts w:ascii="Arial" w:hAnsi="Arial" w:cs="Arial"/>
                <w:bCs/>
                <w:sz w:val="18"/>
                <w:szCs w:val="18"/>
                <w:vertAlign w:val="subscript"/>
              </w:rPr>
              <w:t>12</w:t>
            </w:r>
          </w:p>
        </w:tc>
        <w:tc>
          <w:tcPr>
            <w:tcW w:w="2410" w:type="dxa"/>
          </w:tcPr>
          <w:p w14:paraId="42DC709A"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9,160</w:t>
            </w:r>
          </w:p>
        </w:tc>
      </w:tr>
      <w:tr w:rsidR="00B91CE5" w:rsidRPr="0099789B" w14:paraId="6CE31B36" w14:textId="77777777">
        <w:tc>
          <w:tcPr>
            <w:tcW w:w="2943" w:type="dxa"/>
          </w:tcPr>
          <w:p w14:paraId="1A15DA99"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Perfluorohexane</w:t>
            </w:r>
          </w:p>
        </w:tc>
        <w:tc>
          <w:tcPr>
            <w:tcW w:w="2552" w:type="dxa"/>
          </w:tcPr>
          <w:p w14:paraId="536FEF74"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C</w:t>
            </w:r>
            <w:r w:rsidRPr="0099789B">
              <w:rPr>
                <w:rFonts w:ascii="Arial" w:hAnsi="Arial" w:cs="Arial"/>
                <w:bCs/>
                <w:sz w:val="18"/>
                <w:szCs w:val="18"/>
                <w:vertAlign w:val="subscript"/>
              </w:rPr>
              <w:t>6</w:t>
            </w:r>
            <w:r w:rsidRPr="0099789B">
              <w:rPr>
                <w:rFonts w:ascii="Arial" w:hAnsi="Arial" w:cs="Arial"/>
                <w:bCs/>
                <w:sz w:val="18"/>
                <w:szCs w:val="18"/>
              </w:rPr>
              <w:t>F</w:t>
            </w:r>
            <w:r w:rsidRPr="0099789B">
              <w:rPr>
                <w:rFonts w:ascii="Arial" w:hAnsi="Arial" w:cs="Arial"/>
                <w:bCs/>
                <w:sz w:val="18"/>
                <w:szCs w:val="18"/>
                <w:vertAlign w:val="subscript"/>
              </w:rPr>
              <w:t>14</w:t>
            </w:r>
          </w:p>
        </w:tc>
        <w:tc>
          <w:tcPr>
            <w:tcW w:w="2410" w:type="dxa"/>
          </w:tcPr>
          <w:p w14:paraId="0842271C"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9,300</w:t>
            </w:r>
          </w:p>
        </w:tc>
      </w:tr>
      <w:tr w:rsidR="00B91CE5" w:rsidRPr="0099789B" w14:paraId="6E04B923" w14:textId="77777777">
        <w:tc>
          <w:tcPr>
            <w:tcW w:w="2943" w:type="dxa"/>
          </w:tcPr>
          <w:p w14:paraId="5F97CFBD" w14:textId="77777777" w:rsidR="00B91CE5" w:rsidRPr="0099789B" w:rsidRDefault="00B91CE5">
            <w:pPr>
              <w:pStyle w:val="BodyText"/>
              <w:tabs>
                <w:tab w:val="left" w:pos="0"/>
                <w:tab w:val="left" w:pos="2250"/>
              </w:tabs>
              <w:spacing w:before="120" w:after="0" w:line="312" w:lineRule="auto"/>
              <w:ind w:left="0"/>
              <w:rPr>
                <w:rFonts w:ascii="Arial" w:hAnsi="Arial" w:cs="Arial"/>
                <w:bCs/>
                <w:sz w:val="18"/>
                <w:szCs w:val="18"/>
              </w:rPr>
            </w:pPr>
            <w:r w:rsidRPr="0099789B">
              <w:rPr>
                <w:rFonts w:ascii="Arial" w:hAnsi="Arial" w:cs="Arial"/>
                <w:bCs/>
                <w:sz w:val="18"/>
                <w:szCs w:val="18"/>
              </w:rPr>
              <w:t>Sulphur hexafluoride</w:t>
            </w:r>
          </w:p>
        </w:tc>
        <w:tc>
          <w:tcPr>
            <w:tcW w:w="2552" w:type="dxa"/>
          </w:tcPr>
          <w:p w14:paraId="5E097FDE" w14:textId="77777777" w:rsidR="00B91CE5" w:rsidRPr="0099789B" w:rsidRDefault="00B91CE5">
            <w:pPr>
              <w:pStyle w:val="BodyText"/>
              <w:tabs>
                <w:tab w:val="left" w:pos="0"/>
                <w:tab w:val="left" w:pos="2250"/>
              </w:tabs>
              <w:spacing w:before="120" w:after="0" w:line="312" w:lineRule="auto"/>
              <w:ind w:left="885"/>
              <w:rPr>
                <w:rFonts w:ascii="Arial" w:hAnsi="Arial" w:cs="Arial"/>
                <w:bCs/>
                <w:sz w:val="18"/>
                <w:szCs w:val="18"/>
              </w:rPr>
            </w:pPr>
            <w:r w:rsidRPr="0099789B">
              <w:rPr>
                <w:rFonts w:ascii="Arial" w:hAnsi="Arial" w:cs="Arial"/>
                <w:bCs/>
                <w:sz w:val="18"/>
                <w:szCs w:val="18"/>
              </w:rPr>
              <w:t>SF</w:t>
            </w:r>
            <w:r w:rsidRPr="0099789B">
              <w:rPr>
                <w:rFonts w:ascii="Arial" w:hAnsi="Arial" w:cs="Arial"/>
                <w:bCs/>
                <w:sz w:val="18"/>
                <w:szCs w:val="18"/>
                <w:vertAlign w:val="subscript"/>
              </w:rPr>
              <w:t>6</w:t>
            </w:r>
          </w:p>
        </w:tc>
        <w:tc>
          <w:tcPr>
            <w:tcW w:w="2410" w:type="dxa"/>
          </w:tcPr>
          <w:p w14:paraId="2D7B4B4E" w14:textId="77777777" w:rsidR="00B91CE5" w:rsidRPr="0099789B" w:rsidRDefault="00B91CE5">
            <w:pPr>
              <w:pStyle w:val="BodyText"/>
              <w:tabs>
                <w:tab w:val="left" w:pos="0"/>
                <w:tab w:val="left" w:pos="2250"/>
              </w:tabs>
              <w:spacing w:before="120" w:after="0" w:line="312" w:lineRule="auto"/>
              <w:ind w:left="884"/>
              <w:rPr>
                <w:rFonts w:ascii="Arial" w:hAnsi="Arial" w:cs="Arial"/>
                <w:bCs/>
                <w:sz w:val="18"/>
                <w:szCs w:val="18"/>
              </w:rPr>
            </w:pPr>
            <w:r>
              <w:rPr>
                <w:rFonts w:ascii="Arial" w:hAnsi="Arial" w:cs="Arial"/>
                <w:bCs/>
                <w:color w:val="000000"/>
                <w:sz w:val="18"/>
                <w:szCs w:val="18"/>
              </w:rPr>
              <w:t>22,800</w:t>
            </w:r>
          </w:p>
        </w:tc>
      </w:tr>
    </w:tbl>
    <w:p w14:paraId="463F70B2" w14:textId="77777777" w:rsidR="00B80F09" w:rsidRDefault="000231BF" w:rsidP="00B80F09">
      <w:pPr>
        <w:pStyle w:val="BodyText"/>
        <w:tabs>
          <w:tab w:val="left" w:pos="0"/>
          <w:tab w:val="left" w:pos="2250"/>
        </w:tabs>
        <w:spacing w:after="0" w:line="312" w:lineRule="auto"/>
        <w:ind w:left="0"/>
        <w:rPr>
          <w:rFonts w:ascii="Arial" w:hAnsi="Arial" w:cs="Arial"/>
          <w:sz w:val="16"/>
          <w:szCs w:val="16"/>
        </w:rPr>
      </w:pPr>
      <w:r>
        <w:rPr>
          <w:rFonts w:ascii="Arial" w:hAnsi="Arial" w:cs="Arial"/>
          <w:sz w:val="16"/>
          <w:szCs w:val="16"/>
        </w:rPr>
        <w:t>Note</w:t>
      </w:r>
      <w:r w:rsidR="00734C12">
        <w:rPr>
          <w:rFonts w:ascii="Arial" w:hAnsi="Arial" w:cs="Arial"/>
          <w:sz w:val="16"/>
          <w:szCs w:val="16"/>
        </w:rPr>
        <w:t>:</w:t>
      </w:r>
    </w:p>
    <w:p w14:paraId="0AD3359C" w14:textId="77777777" w:rsidR="00B80F09" w:rsidRDefault="000231BF" w:rsidP="00B80F09">
      <w:pPr>
        <w:pStyle w:val="BodyText"/>
        <w:tabs>
          <w:tab w:val="left" w:pos="0"/>
          <w:tab w:val="left" w:pos="2250"/>
        </w:tabs>
        <w:spacing w:line="312" w:lineRule="auto"/>
        <w:ind w:left="0"/>
        <w:rPr>
          <w:rFonts w:ascii="Arial" w:hAnsi="Arial" w:cs="Arial"/>
          <w:sz w:val="16"/>
          <w:szCs w:val="16"/>
        </w:rPr>
      </w:pPr>
      <w:r w:rsidRPr="000231BF">
        <w:rPr>
          <w:rFonts w:ascii="Arial" w:hAnsi="Arial" w:cs="Arial"/>
          <w:sz w:val="16"/>
          <w:szCs w:val="16"/>
        </w:rPr>
        <w:t xml:space="preserve">Global Warming Potentials (GWPs) are used to convert masses of different greenhouse gases into a single carbon dioxide-equivalent metric (CO2-e). In broad terms, multiplying a mass of a particular gas by its GWP gives the mass of carbon dioxide emissions that would produce the same warming effect over a 100 year period. Australia’s National Greenhouse Gas Accounts apply GWPs to convert emissions to a CO2-e total. </w:t>
      </w:r>
    </w:p>
    <w:p w14:paraId="323D14BB" w14:textId="77777777" w:rsidR="00D83DC7" w:rsidRDefault="00D83DC7">
      <w:pPr>
        <w:ind w:left="0"/>
        <w:rPr>
          <w:rFonts w:ascii="Arial" w:hAnsi="Arial" w:cs="Arial"/>
          <w:b/>
          <w:spacing w:val="-10"/>
          <w:kern w:val="28"/>
          <w:sz w:val="24"/>
        </w:rPr>
      </w:pPr>
      <w:bookmarkStart w:id="130" w:name="_Toc391646683"/>
      <w:r>
        <w:rPr>
          <w:rFonts w:ascii="Arial" w:hAnsi="Arial" w:cs="Arial"/>
        </w:rPr>
        <w:br w:type="page"/>
      </w:r>
    </w:p>
    <w:p w14:paraId="63BC4616" w14:textId="3ACBA9C7" w:rsidR="00010E2E" w:rsidRDefault="00010E2E">
      <w:pPr>
        <w:pStyle w:val="Heading1"/>
        <w:numPr>
          <w:ilvl w:val="0"/>
          <w:numId w:val="0"/>
        </w:numPr>
        <w:tabs>
          <w:tab w:val="left" w:pos="0"/>
          <w:tab w:val="left" w:pos="2250"/>
        </w:tabs>
        <w:spacing w:before="120" w:after="0" w:line="312" w:lineRule="auto"/>
        <w:rPr>
          <w:rFonts w:ascii="Arial" w:hAnsi="Arial" w:cs="Arial"/>
        </w:rPr>
      </w:pPr>
      <w:r>
        <w:rPr>
          <w:rFonts w:ascii="Arial" w:hAnsi="Arial" w:cs="Arial"/>
        </w:rPr>
        <w:t>Appendix 2   Units and conversions</w:t>
      </w:r>
      <w:bookmarkEnd w:id="130"/>
    </w:p>
    <w:p w14:paraId="48D99E79" w14:textId="77777777" w:rsidR="00010E2E" w:rsidRPr="00734C12" w:rsidRDefault="00010E2E">
      <w:pPr>
        <w:pStyle w:val="Style1"/>
        <w:tabs>
          <w:tab w:val="left" w:pos="0"/>
          <w:tab w:val="left" w:pos="2250"/>
        </w:tabs>
        <w:spacing w:before="120" w:line="312" w:lineRule="auto"/>
        <w:ind w:left="360"/>
        <w:rPr>
          <w:rFonts w:ascii="Arial" w:hAnsi="Arial" w:cs="Arial"/>
          <w:color w:val="auto"/>
          <w:sz w:val="16"/>
        </w:rPr>
      </w:pPr>
    </w:p>
    <w:p w14:paraId="5FA151AF" w14:textId="77777777" w:rsidR="00D76245" w:rsidRDefault="00491D41" w:rsidP="00C23E3B">
      <w:pPr>
        <w:pStyle w:val="Caption"/>
      </w:pPr>
      <w:bookmarkStart w:id="131" w:name="_Toc391646713"/>
      <w:bookmarkStart w:id="132" w:name="_Toc485728136"/>
      <w:r>
        <w:t xml:space="preserve">Table </w:t>
      </w:r>
      <w:r w:rsidR="00DC52E0">
        <w:fldChar w:fldCharType="begin"/>
      </w:r>
      <w:r>
        <w:instrText xml:space="preserve"> SEQ Table \* ARABIC </w:instrText>
      </w:r>
      <w:r w:rsidR="00DC52E0">
        <w:fldChar w:fldCharType="separate"/>
      </w:r>
      <w:r w:rsidR="004A1330">
        <w:rPr>
          <w:noProof/>
        </w:rPr>
        <w:t>28</w:t>
      </w:r>
      <w:r w:rsidR="00DC52E0">
        <w:fldChar w:fldCharType="end"/>
      </w:r>
      <w:r w:rsidR="00010E2E">
        <w:t>: Metric prefixes</w:t>
      </w:r>
      <w:bookmarkEnd w:id="131"/>
      <w:bookmarkEnd w:id="13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3365"/>
        <w:gridCol w:w="2268"/>
      </w:tblGrid>
      <w:tr w:rsidR="00010E2E" w:rsidRPr="0099789B" w14:paraId="4FD959E9" w14:textId="77777777">
        <w:tc>
          <w:tcPr>
            <w:tcW w:w="2130" w:type="dxa"/>
            <w:tcBorders>
              <w:right w:val="single" w:sz="6" w:space="0" w:color="auto"/>
            </w:tcBorders>
            <w:shd w:val="pct15" w:color="auto" w:fill="FFFFFF"/>
          </w:tcPr>
          <w:p w14:paraId="4AC79C96" w14:textId="77777777" w:rsidR="00010E2E" w:rsidRPr="0099789B" w:rsidRDefault="00010E2E">
            <w:pPr>
              <w:pStyle w:val="BodyText"/>
              <w:tabs>
                <w:tab w:val="left" w:pos="0"/>
                <w:tab w:val="left" w:pos="2250"/>
              </w:tabs>
              <w:spacing w:before="120" w:after="0" w:line="312" w:lineRule="auto"/>
              <w:ind w:left="0"/>
              <w:rPr>
                <w:rFonts w:ascii="Arial" w:hAnsi="Arial" w:cs="Arial"/>
                <w:b/>
                <w:bCs/>
                <w:caps/>
                <w:sz w:val="18"/>
                <w:szCs w:val="18"/>
              </w:rPr>
            </w:pPr>
            <w:r w:rsidRPr="0099789B">
              <w:rPr>
                <w:rFonts w:ascii="Arial" w:hAnsi="Arial" w:cs="Arial"/>
                <w:b/>
                <w:bCs/>
                <w:sz w:val="18"/>
                <w:szCs w:val="18"/>
              </w:rPr>
              <w:t>Abbreviation</w:t>
            </w:r>
          </w:p>
        </w:tc>
        <w:tc>
          <w:tcPr>
            <w:tcW w:w="3365" w:type="dxa"/>
            <w:tcBorders>
              <w:left w:val="single" w:sz="6" w:space="0" w:color="auto"/>
              <w:right w:val="single" w:sz="6" w:space="0" w:color="auto"/>
            </w:tcBorders>
            <w:shd w:val="pct15" w:color="auto" w:fill="FFFFFF"/>
          </w:tcPr>
          <w:p w14:paraId="66CF038D" w14:textId="77777777" w:rsidR="00010E2E" w:rsidRPr="0099789B" w:rsidRDefault="00010E2E">
            <w:pPr>
              <w:pStyle w:val="BodyText"/>
              <w:tabs>
                <w:tab w:val="left" w:pos="0"/>
                <w:tab w:val="left" w:pos="2250"/>
              </w:tabs>
              <w:spacing w:before="120" w:after="0" w:line="312" w:lineRule="auto"/>
              <w:ind w:left="0"/>
              <w:rPr>
                <w:rFonts w:ascii="Arial" w:hAnsi="Arial" w:cs="Arial"/>
                <w:b/>
                <w:bCs/>
                <w:caps/>
                <w:sz w:val="18"/>
                <w:szCs w:val="18"/>
              </w:rPr>
            </w:pPr>
            <w:r w:rsidRPr="0099789B">
              <w:rPr>
                <w:rFonts w:ascii="Arial" w:hAnsi="Arial" w:cs="Arial"/>
                <w:b/>
                <w:bCs/>
                <w:sz w:val="18"/>
                <w:szCs w:val="18"/>
              </w:rPr>
              <w:t>Prefix</w:t>
            </w:r>
          </w:p>
        </w:tc>
        <w:tc>
          <w:tcPr>
            <w:tcW w:w="2268" w:type="dxa"/>
            <w:tcBorders>
              <w:left w:val="single" w:sz="6" w:space="0" w:color="auto"/>
            </w:tcBorders>
            <w:shd w:val="pct15" w:color="auto" w:fill="FFFFFF"/>
          </w:tcPr>
          <w:p w14:paraId="2EC828FE" w14:textId="77777777" w:rsidR="00010E2E" w:rsidRPr="0099789B" w:rsidRDefault="00010E2E">
            <w:pPr>
              <w:pStyle w:val="BodyText"/>
              <w:tabs>
                <w:tab w:val="left" w:pos="0"/>
                <w:tab w:val="left" w:pos="2250"/>
              </w:tabs>
              <w:spacing w:before="120" w:after="0" w:line="312" w:lineRule="auto"/>
              <w:ind w:left="0"/>
              <w:rPr>
                <w:rFonts w:ascii="Arial" w:hAnsi="Arial" w:cs="Arial"/>
                <w:b/>
                <w:bCs/>
                <w:caps/>
                <w:sz w:val="18"/>
                <w:szCs w:val="18"/>
              </w:rPr>
            </w:pPr>
            <w:r w:rsidRPr="0099789B">
              <w:rPr>
                <w:rFonts w:ascii="Arial" w:hAnsi="Arial" w:cs="Arial"/>
                <w:b/>
                <w:bCs/>
                <w:sz w:val="18"/>
                <w:szCs w:val="18"/>
              </w:rPr>
              <w:t>Symbol</w:t>
            </w:r>
          </w:p>
        </w:tc>
      </w:tr>
      <w:tr w:rsidR="00010E2E" w:rsidRPr="0099789B" w14:paraId="7AF4672F" w14:textId="77777777">
        <w:tc>
          <w:tcPr>
            <w:tcW w:w="2130" w:type="dxa"/>
          </w:tcPr>
          <w:p w14:paraId="605B1DFA"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 xml:space="preserve">15 </w:t>
            </w:r>
            <w:r w:rsidRPr="0099789B">
              <w:rPr>
                <w:rFonts w:ascii="Arial" w:hAnsi="Arial" w:cs="Arial"/>
                <w:sz w:val="18"/>
                <w:szCs w:val="18"/>
              </w:rPr>
              <w:t xml:space="preserve"> (10</w:t>
            </w:r>
            <w:r w:rsidRPr="0099789B">
              <w:rPr>
                <w:rFonts w:ascii="Arial" w:hAnsi="Arial" w:cs="Arial"/>
                <w:sz w:val="18"/>
                <w:szCs w:val="18"/>
                <w:vertAlign w:val="superscript"/>
              </w:rPr>
              <w:t>6</w:t>
            </w:r>
            <w:r w:rsidRPr="0099789B">
              <w:rPr>
                <w:rFonts w:ascii="Arial" w:hAnsi="Arial" w:cs="Arial"/>
                <w:sz w:val="18"/>
                <w:szCs w:val="18"/>
              </w:rPr>
              <w:t>x10</w:t>
            </w:r>
            <w:r w:rsidRPr="0099789B">
              <w:rPr>
                <w:rFonts w:ascii="Arial" w:hAnsi="Arial" w:cs="Arial"/>
                <w:sz w:val="18"/>
                <w:szCs w:val="18"/>
                <w:vertAlign w:val="superscript"/>
              </w:rPr>
              <w:t>9</w:t>
            </w:r>
            <w:r w:rsidRPr="0099789B">
              <w:rPr>
                <w:rFonts w:ascii="Arial" w:hAnsi="Arial" w:cs="Arial"/>
                <w:sz w:val="18"/>
                <w:szCs w:val="18"/>
              </w:rPr>
              <w:t>)</w:t>
            </w:r>
          </w:p>
        </w:tc>
        <w:tc>
          <w:tcPr>
            <w:tcW w:w="3365" w:type="dxa"/>
          </w:tcPr>
          <w:p w14:paraId="2299F3F6"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Peta (million billion [thousand trillion])</w:t>
            </w:r>
          </w:p>
        </w:tc>
        <w:tc>
          <w:tcPr>
            <w:tcW w:w="2268" w:type="dxa"/>
          </w:tcPr>
          <w:p w14:paraId="0730ECA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p</w:t>
            </w:r>
          </w:p>
        </w:tc>
      </w:tr>
      <w:tr w:rsidR="00010E2E" w:rsidRPr="0099789B" w14:paraId="7E3979DA" w14:textId="77777777">
        <w:tc>
          <w:tcPr>
            <w:tcW w:w="2130" w:type="dxa"/>
          </w:tcPr>
          <w:p w14:paraId="0D277B13"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12</w:t>
            </w:r>
            <w:r w:rsidRPr="0099789B">
              <w:rPr>
                <w:rFonts w:ascii="Arial" w:hAnsi="Arial" w:cs="Arial"/>
                <w:sz w:val="18"/>
                <w:szCs w:val="18"/>
              </w:rPr>
              <w:t xml:space="preserve"> (10</w:t>
            </w:r>
            <w:r w:rsidRPr="0099789B">
              <w:rPr>
                <w:rFonts w:ascii="Arial" w:hAnsi="Arial" w:cs="Arial"/>
                <w:sz w:val="18"/>
                <w:szCs w:val="18"/>
                <w:vertAlign w:val="superscript"/>
              </w:rPr>
              <w:t>3</w:t>
            </w:r>
            <w:r w:rsidRPr="0099789B">
              <w:rPr>
                <w:rFonts w:ascii="Arial" w:hAnsi="Arial" w:cs="Arial"/>
                <w:sz w:val="18"/>
                <w:szCs w:val="18"/>
              </w:rPr>
              <w:t>x10</w:t>
            </w:r>
            <w:r w:rsidRPr="0099789B">
              <w:rPr>
                <w:rFonts w:ascii="Arial" w:hAnsi="Arial" w:cs="Arial"/>
                <w:sz w:val="18"/>
                <w:szCs w:val="18"/>
                <w:vertAlign w:val="superscript"/>
              </w:rPr>
              <w:t>9</w:t>
            </w:r>
            <w:r w:rsidRPr="0099789B">
              <w:rPr>
                <w:rFonts w:ascii="Arial" w:hAnsi="Arial" w:cs="Arial"/>
                <w:sz w:val="18"/>
                <w:szCs w:val="18"/>
              </w:rPr>
              <w:t>)</w:t>
            </w:r>
          </w:p>
        </w:tc>
        <w:tc>
          <w:tcPr>
            <w:tcW w:w="3365" w:type="dxa"/>
          </w:tcPr>
          <w:p w14:paraId="3EA94B43"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Tera (thousand billion [trillion])</w:t>
            </w:r>
          </w:p>
        </w:tc>
        <w:tc>
          <w:tcPr>
            <w:tcW w:w="2268" w:type="dxa"/>
          </w:tcPr>
          <w:p w14:paraId="7FB92E7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t</w:t>
            </w:r>
          </w:p>
        </w:tc>
      </w:tr>
      <w:tr w:rsidR="00010E2E" w:rsidRPr="0099789B" w14:paraId="4EC25F6D" w14:textId="77777777">
        <w:tc>
          <w:tcPr>
            <w:tcW w:w="2130" w:type="dxa"/>
          </w:tcPr>
          <w:p w14:paraId="7E04978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9</w:t>
            </w:r>
          </w:p>
        </w:tc>
        <w:tc>
          <w:tcPr>
            <w:tcW w:w="3365" w:type="dxa"/>
          </w:tcPr>
          <w:p w14:paraId="11370A1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Giga (billion)</w:t>
            </w:r>
          </w:p>
        </w:tc>
        <w:tc>
          <w:tcPr>
            <w:tcW w:w="2268" w:type="dxa"/>
          </w:tcPr>
          <w:p w14:paraId="0789DBD0"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g</w:t>
            </w:r>
          </w:p>
        </w:tc>
      </w:tr>
      <w:tr w:rsidR="00010E2E" w:rsidRPr="0099789B" w14:paraId="51121DE8" w14:textId="77777777">
        <w:tc>
          <w:tcPr>
            <w:tcW w:w="2130" w:type="dxa"/>
          </w:tcPr>
          <w:p w14:paraId="11D3C087"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6</w:t>
            </w:r>
          </w:p>
        </w:tc>
        <w:tc>
          <w:tcPr>
            <w:tcW w:w="3365" w:type="dxa"/>
          </w:tcPr>
          <w:p w14:paraId="038DAC0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Mega (million)</w:t>
            </w:r>
          </w:p>
        </w:tc>
        <w:tc>
          <w:tcPr>
            <w:tcW w:w="2268" w:type="dxa"/>
          </w:tcPr>
          <w:p w14:paraId="6D0E1A41"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m</w:t>
            </w:r>
          </w:p>
        </w:tc>
      </w:tr>
      <w:tr w:rsidR="00010E2E" w:rsidRPr="0099789B" w14:paraId="6BE15E22" w14:textId="77777777">
        <w:tc>
          <w:tcPr>
            <w:tcW w:w="2130" w:type="dxa"/>
          </w:tcPr>
          <w:p w14:paraId="3F123582"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3</w:t>
            </w:r>
          </w:p>
        </w:tc>
        <w:tc>
          <w:tcPr>
            <w:tcW w:w="3365" w:type="dxa"/>
          </w:tcPr>
          <w:p w14:paraId="389B891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kilo (thousand)</w:t>
            </w:r>
          </w:p>
        </w:tc>
        <w:tc>
          <w:tcPr>
            <w:tcW w:w="2268" w:type="dxa"/>
          </w:tcPr>
          <w:p w14:paraId="41E79239"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t>
            </w:r>
          </w:p>
        </w:tc>
      </w:tr>
      <w:tr w:rsidR="00010E2E" w:rsidRPr="0099789B" w14:paraId="61080F13" w14:textId="77777777">
        <w:tc>
          <w:tcPr>
            <w:tcW w:w="2130" w:type="dxa"/>
          </w:tcPr>
          <w:p w14:paraId="3FE53EDB"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2</w:t>
            </w:r>
          </w:p>
        </w:tc>
        <w:tc>
          <w:tcPr>
            <w:tcW w:w="3365" w:type="dxa"/>
          </w:tcPr>
          <w:p w14:paraId="58A91ED0"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hecto</w:t>
            </w:r>
          </w:p>
        </w:tc>
        <w:tc>
          <w:tcPr>
            <w:tcW w:w="2268" w:type="dxa"/>
          </w:tcPr>
          <w:p w14:paraId="6B1007C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h</w:t>
            </w:r>
          </w:p>
        </w:tc>
      </w:tr>
      <w:tr w:rsidR="00010E2E" w:rsidRPr="0099789B" w14:paraId="05ABE51C" w14:textId="77777777">
        <w:tc>
          <w:tcPr>
            <w:tcW w:w="2130" w:type="dxa"/>
          </w:tcPr>
          <w:p w14:paraId="0D373062"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1</w:t>
            </w:r>
          </w:p>
        </w:tc>
        <w:tc>
          <w:tcPr>
            <w:tcW w:w="3365" w:type="dxa"/>
          </w:tcPr>
          <w:p w14:paraId="1947E95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deca</w:t>
            </w:r>
          </w:p>
        </w:tc>
        <w:tc>
          <w:tcPr>
            <w:tcW w:w="2268" w:type="dxa"/>
          </w:tcPr>
          <w:p w14:paraId="76CF318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da</w:t>
            </w:r>
          </w:p>
        </w:tc>
      </w:tr>
      <w:tr w:rsidR="00010E2E" w:rsidRPr="0099789B" w14:paraId="6A66737A" w14:textId="77777777">
        <w:tc>
          <w:tcPr>
            <w:tcW w:w="2130" w:type="dxa"/>
          </w:tcPr>
          <w:p w14:paraId="2E81075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0</w:t>
            </w:r>
          </w:p>
        </w:tc>
        <w:tc>
          <w:tcPr>
            <w:tcW w:w="3365" w:type="dxa"/>
          </w:tcPr>
          <w:p w14:paraId="27044A5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(e.g. gram)</w:t>
            </w:r>
          </w:p>
        </w:tc>
        <w:tc>
          <w:tcPr>
            <w:tcW w:w="2268" w:type="dxa"/>
          </w:tcPr>
          <w:p w14:paraId="6AA5818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w:t>
            </w:r>
          </w:p>
        </w:tc>
      </w:tr>
      <w:tr w:rsidR="00010E2E" w:rsidRPr="0099789B" w14:paraId="190C3674" w14:textId="77777777">
        <w:tc>
          <w:tcPr>
            <w:tcW w:w="2130" w:type="dxa"/>
          </w:tcPr>
          <w:p w14:paraId="7768F6F1"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-1</w:t>
            </w:r>
          </w:p>
        </w:tc>
        <w:tc>
          <w:tcPr>
            <w:tcW w:w="3365" w:type="dxa"/>
          </w:tcPr>
          <w:p w14:paraId="10D683C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deci</w:t>
            </w:r>
          </w:p>
        </w:tc>
        <w:tc>
          <w:tcPr>
            <w:tcW w:w="2268" w:type="dxa"/>
          </w:tcPr>
          <w:p w14:paraId="1089FF1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d</w:t>
            </w:r>
          </w:p>
        </w:tc>
      </w:tr>
      <w:tr w:rsidR="00010E2E" w:rsidRPr="0099789B" w14:paraId="2F0FC46F" w14:textId="77777777">
        <w:tc>
          <w:tcPr>
            <w:tcW w:w="2130" w:type="dxa"/>
          </w:tcPr>
          <w:p w14:paraId="0491C7DA"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-2</w:t>
            </w:r>
          </w:p>
        </w:tc>
        <w:tc>
          <w:tcPr>
            <w:tcW w:w="3365" w:type="dxa"/>
          </w:tcPr>
          <w:p w14:paraId="67ACA32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centi</w:t>
            </w:r>
          </w:p>
        </w:tc>
        <w:tc>
          <w:tcPr>
            <w:tcW w:w="2268" w:type="dxa"/>
          </w:tcPr>
          <w:p w14:paraId="64FBE86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w:t>
            </w:r>
          </w:p>
        </w:tc>
      </w:tr>
      <w:tr w:rsidR="00010E2E" w:rsidRPr="0099789B" w14:paraId="77DA0C9A" w14:textId="77777777">
        <w:tc>
          <w:tcPr>
            <w:tcW w:w="2130" w:type="dxa"/>
          </w:tcPr>
          <w:p w14:paraId="0AEFAA53"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-3</w:t>
            </w:r>
          </w:p>
        </w:tc>
        <w:tc>
          <w:tcPr>
            <w:tcW w:w="3365" w:type="dxa"/>
          </w:tcPr>
          <w:p w14:paraId="2765D70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milli</w:t>
            </w:r>
          </w:p>
        </w:tc>
        <w:tc>
          <w:tcPr>
            <w:tcW w:w="2268" w:type="dxa"/>
          </w:tcPr>
          <w:p w14:paraId="08F69C6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m</w:t>
            </w:r>
          </w:p>
        </w:tc>
      </w:tr>
      <w:tr w:rsidR="00010E2E" w:rsidRPr="0099789B" w14:paraId="157667BF" w14:textId="77777777">
        <w:tc>
          <w:tcPr>
            <w:tcW w:w="2130" w:type="dxa"/>
          </w:tcPr>
          <w:p w14:paraId="03226836"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-6</w:t>
            </w:r>
          </w:p>
        </w:tc>
        <w:tc>
          <w:tcPr>
            <w:tcW w:w="3365" w:type="dxa"/>
          </w:tcPr>
          <w:p w14:paraId="5A04814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micro</w:t>
            </w:r>
          </w:p>
        </w:tc>
        <w:tc>
          <w:tcPr>
            <w:tcW w:w="2268" w:type="dxa"/>
          </w:tcPr>
          <w:p w14:paraId="79DFB02B"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sym w:font="Symbol" w:char="F06D"/>
            </w:r>
          </w:p>
        </w:tc>
      </w:tr>
      <w:tr w:rsidR="00010E2E" w:rsidRPr="0099789B" w14:paraId="4576E742" w14:textId="77777777">
        <w:tc>
          <w:tcPr>
            <w:tcW w:w="2130" w:type="dxa"/>
          </w:tcPr>
          <w:p w14:paraId="7A76C341"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caps/>
                <w:sz w:val="18"/>
                <w:szCs w:val="18"/>
                <w:vertAlign w:val="superscript"/>
              </w:rPr>
              <w:t>-9</w:t>
            </w:r>
          </w:p>
        </w:tc>
        <w:tc>
          <w:tcPr>
            <w:tcW w:w="3365" w:type="dxa"/>
          </w:tcPr>
          <w:p w14:paraId="392D8FA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nano</w:t>
            </w:r>
          </w:p>
        </w:tc>
        <w:tc>
          <w:tcPr>
            <w:tcW w:w="2268" w:type="dxa"/>
          </w:tcPr>
          <w:p w14:paraId="23EC90AC"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n</w:t>
            </w:r>
          </w:p>
        </w:tc>
      </w:tr>
      <w:tr w:rsidR="00010E2E" w:rsidRPr="0099789B" w14:paraId="0AFA1BE4" w14:textId="77777777">
        <w:tc>
          <w:tcPr>
            <w:tcW w:w="2130" w:type="dxa"/>
          </w:tcPr>
          <w:p w14:paraId="7D92A178"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10</w:t>
            </w:r>
            <w:r w:rsidRPr="0099789B">
              <w:rPr>
                <w:rFonts w:ascii="Arial" w:hAnsi="Arial" w:cs="Arial"/>
                <w:sz w:val="18"/>
                <w:szCs w:val="18"/>
                <w:vertAlign w:val="superscript"/>
              </w:rPr>
              <w:t>-12</w:t>
            </w:r>
          </w:p>
        </w:tc>
        <w:tc>
          <w:tcPr>
            <w:tcW w:w="3365" w:type="dxa"/>
          </w:tcPr>
          <w:p w14:paraId="7D49784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pico</w:t>
            </w:r>
          </w:p>
        </w:tc>
        <w:tc>
          <w:tcPr>
            <w:tcW w:w="2268" w:type="dxa"/>
          </w:tcPr>
          <w:p w14:paraId="0697DCB1"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p</w:t>
            </w:r>
          </w:p>
        </w:tc>
      </w:tr>
    </w:tbl>
    <w:p w14:paraId="380CA609" w14:textId="77777777" w:rsidR="00010E2E" w:rsidRDefault="00010E2E">
      <w:pPr>
        <w:pStyle w:val="Style1"/>
        <w:tabs>
          <w:tab w:val="left" w:pos="0"/>
          <w:tab w:val="left" w:pos="2250"/>
        </w:tabs>
        <w:spacing w:before="120" w:line="312" w:lineRule="auto"/>
        <w:ind w:left="360"/>
        <w:rPr>
          <w:rFonts w:ascii="Arial" w:hAnsi="Arial" w:cs="Arial"/>
          <w:color w:val="auto"/>
          <w:sz w:val="18"/>
          <w:szCs w:val="18"/>
        </w:rPr>
      </w:pPr>
    </w:p>
    <w:p w14:paraId="584A878D" w14:textId="77777777" w:rsidR="00D76245" w:rsidRDefault="00491D41" w:rsidP="00C23E3B">
      <w:pPr>
        <w:pStyle w:val="Caption"/>
      </w:pPr>
      <w:bookmarkStart w:id="133" w:name="_Toc391646714"/>
      <w:bookmarkStart w:id="134" w:name="_Toc485728137"/>
      <w:r>
        <w:t xml:space="preserve">Table </w:t>
      </w:r>
      <w:r w:rsidR="00DC52E0">
        <w:fldChar w:fldCharType="begin"/>
      </w:r>
      <w:r>
        <w:instrText xml:space="preserve"> SEQ Table \* ARABIC </w:instrText>
      </w:r>
      <w:r w:rsidR="00DC52E0">
        <w:fldChar w:fldCharType="separate"/>
      </w:r>
      <w:r w:rsidR="004A1330">
        <w:rPr>
          <w:noProof/>
        </w:rPr>
        <w:t>29</w:t>
      </w:r>
      <w:r w:rsidR="00DC52E0">
        <w:fldChar w:fldCharType="end"/>
      </w:r>
      <w:r w:rsidR="00010E2E">
        <w:t>:  Unit equivalences</w:t>
      </w:r>
      <w:bookmarkEnd w:id="133"/>
      <w:bookmarkEnd w:id="1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913"/>
      </w:tblGrid>
      <w:tr w:rsidR="00010E2E" w:rsidRPr="0099789B" w14:paraId="1A369296" w14:textId="77777777">
        <w:tc>
          <w:tcPr>
            <w:tcW w:w="3780" w:type="dxa"/>
          </w:tcPr>
          <w:p w14:paraId="3E3F15B9"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10</w:t>
            </w:r>
            <w:r w:rsidRPr="0099789B">
              <w:rPr>
                <w:rFonts w:ascii="Arial" w:hAnsi="Arial" w:cs="Arial"/>
                <w:sz w:val="18"/>
                <w:szCs w:val="18"/>
                <w:vertAlign w:val="superscript"/>
              </w:rPr>
              <w:t>15</w:t>
            </w:r>
            <w:r w:rsidRPr="0099789B">
              <w:rPr>
                <w:rFonts w:ascii="Arial" w:hAnsi="Arial" w:cs="Arial"/>
                <w:sz w:val="18"/>
                <w:szCs w:val="18"/>
              </w:rPr>
              <w:t xml:space="preserve"> grams (Petagram)</w:t>
            </w:r>
          </w:p>
        </w:tc>
        <w:tc>
          <w:tcPr>
            <w:tcW w:w="3913" w:type="dxa"/>
          </w:tcPr>
          <w:p w14:paraId="15312A75"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Gigatonne (Gt)</w:t>
            </w:r>
          </w:p>
        </w:tc>
      </w:tr>
      <w:tr w:rsidR="00010E2E" w:rsidRPr="0099789B" w14:paraId="1084F144" w14:textId="77777777">
        <w:tc>
          <w:tcPr>
            <w:tcW w:w="3780" w:type="dxa"/>
          </w:tcPr>
          <w:p w14:paraId="3AA2544B"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10</w:t>
            </w:r>
            <w:r w:rsidRPr="0099789B">
              <w:rPr>
                <w:rFonts w:ascii="Arial" w:hAnsi="Arial" w:cs="Arial"/>
                <w:sz w:val="18"/>
                <w:szCs w:val="18"/>
                <w:vertAlign w:val="superscript"/>
              </w:rPr>
              <w:t>12</w:t>
            </w:r>
            <w:r w:rsidRPr="0099789B">
              <w:rPr>
                <w:rFonts w:ascii="Arial" w:hAnsi="Arial" w:cs="Arial"/>
                <w:sz w:val="18"/>
                <w:szCs w:val="18"/>
              </w:rPr>
              <w:t xml:space="preserve"> grams (Teragram)</w:t>
            </w:r>
          </w:p>
        </w:tc>
        <w:tc>
          <w:tcPr>
            <w:tcW w:w="3913" w:type="dxa"/>
          </w:tcPr>
          <w:p w14:paraId="008885E2"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Megatonne (Mt)</w:t>
            </w:r>
          </w:p>
        </w:tc>
      </w:tr>
      <w:tr w:rsidR="00010E2E" w:rsidRPr="0099789B" w14:paraId="31EBEC6C" w14:textId="77777777">
        <w:tc>
          <w:tcPr>
            <w:tcW w:w="3780" w:type="dxa"/>
          </w:tcPr>
          <w:p w14:paraId="57288017"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10</w:t>
            </w:r>
            <w:r w:rsidRPr="0099789B">
              <w:rPr>
                <w:rFonts w:ascii="Arial" w:hAnsi="Arial" w:cs="Arial"/>
                <w:sz w:val="18"/>
                <w:szCs w:val="18"/>
                <w:vertAlign w:val="superscript"/>
              </w:rPr>
              <w:t>9</w:t>
            </w:r>
            <w:r w:rsidRPr="0099789B">
              <w:rPr>
                <w:rFonts w:ascii="Arial" w:hAnsi="Arial" w:cs="Arial"/>
                <w:sz w:val="18"/>
                <w:szCs w:val="18"/>
              </w:rPr>
              <w:t xml:space="preserve"> grams (Gigagram)</w:t>
            </w:r>
          </w:p>
        </w:tc>
        <w:tc>
          <w:tcPr>
            <w:tcW w:w="3913" w:type="dxa"/>
          </w:tcPr>
          <w:p w14:paraId="47C6D526"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kilotonnes (kt) (10</w:t>
            </w:r>
            <w:r w:rsidRPr="0099789B">
              <w:rPr>
                <w:rFonts w:ascii="Arial" w:hAnsi="Arial" w:cs="Arial"/>
                <w:sz w:val="18"/>
                <w:szCs w:val="18"/>
                <w:vertAlign w:val="superscript"/>
              </w:rPr>
              <w:t>3</w:t>
            </w:r>
            <w:r w:rsidRPr="0099789B">
              <w:rPr>
                <w:rFonts w:ascii="Arial" w:hAnsi="Arial" w:cs="Arial"/>
                <w:sz w:val="18"/>
                <w:szCs w:val="18"/>
              </w:rPr>
              <w:t xml:space="preserve"> tonnes)</w:t>
            </w:r>
          </w:p>
        </w:tc>
      </w:tr>
      <w:tr w:rsidR="00010E2E" w:rsidRPr="0099789B" w14:paraId="5EC3D237" w14:textId="77777777">
        <w:tc>
          <w:tcPr>
            <w:tcW w:w="3780" w:type="dxa"/>
          </w:tcPr>
          <w:p w14:paraId="42D9A800"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10</w:t>
            </w:r>
            <w:r w:rsidRPr="0099789B">
              <w:rPr>
                <w:rFonts w:ascii="Arial" w:hAnsi="Arial" w:cs="Arial"/>
                <w:sz w:val="18"/>
                <w:szCs w:val="18"/>
                <w:vertAlign w:val="superscript"/>
              </w:rPr>
              <w:t>6</w:t>
            </w:r>
            <w:r w:rsidRPr="0099789B">
              <w:rPr>
                <w:rFonts w:ascii="Arial" w:hAnsi="Arial" w:cs="Arial"/>
                <w:sz w:val="18"/>
                <w:szCs w:val="18"/>
              </w:rPr>
              <w:t xml:space="preserve"> grams (million grams)</w:t>
            </w:r>
          </w:p>
        </w:tc>
        <w:tc>
          <w:tcPr>
            <w:tcW w:w="3913" w:type="dxa"/>
          </w:tcPr>
          <w:p w14:paraId="330EEDC1"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1 tonne</w:t>
            </w:r>
          </w:p>
        </w:tc>
      </w:tr>
      <w:tr w:rsidR="00010E2E" w:rsidRPr="0099789B" w14:paraId="389DF3E5" w14:textId="77777777">
        <w:tc>
          <w:tcPr>
            <w:tcW w:w="3780" w:type="dxa"/>
          </w:tcPr>
          <w:p w14:paraId="19645E4D"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kg/GJ (10</w:t>
            </w:r>
            <w:r w:rsidRPr="0099789B">
              <w:rPr>
                <w:rFonts w:ascii="Arial" w:hAnsi="Arial" w:cs="Arial"/>
                <w:sz w:val="18"/>
                <w:szCs w:val="18"/>
                <w:vertAlign w:val="superscript"/>
              </w:rPr>
              <w:t>3</w:t>
            </w:r>
            <w:r w:rsidRPr="0099789B">
              <w:rPr>
                <w:rFonts w:ascii="Arial" w:hAnsi="Arial" w:cs="Arial"/>
                <w:sz w:val="18"/>
                <w:szCs w:val="18"/>
              </w:rPr>
              <w:t>g/10</w:t>
            </w:r>
            <w:r w:rsidRPr="0099789B">
              <w:rPr>
                <w:rFonts w:ascii="Arial" w:hAnsi="Arial" w:cs="Arial"/>
                <w:sz w:val="18"/>
                <w:szCs w:val="18"/>
                <w:vertAlign w:val="superscript"/>
              </w:rPr>
              <w:t>9</w:t>
            </w:r>
            <w:r w:rsidRPr="0099789B">
              <w:rPr>
                <w:rFonts w:ascii="Arial" w:hAnsi="Arial" w:cs="Arial"/>
                <w:sz w:val="18"/>
                <w:szCs w:val="18"/>
              </w:rPr>
              <w:t>J)</w:t>
            </w:r>
          </w:p>
        </w:tc>
        <w:tc>
          <w:tcPr>
            <w:tcW w:w="3913" w:type="dxa"/>
          </w:tcPr>
          <w:p w14:paraId="3A826D0A"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Gg/PJ (10</w:t>
            </w:r>
            <w:r w:rsidRPr="0099789B">
              <w:rPr>
                <w:rFonts w:ascii="Arial" w:hAnsi="Arial" w:cs="Arial"/>
                <w:sz w:val="18"/>
                <w:szCs w:val="18"/>
                <w:vertAlign w:val="superscript"/>
              </w:rPr>
              <w:t>9</w:t>
            </w:r>
            <w:r w:rsidRPr="0099789B">
              <w:rPr>
                <w:rFonts w:ascii="Arial" w:hAnsi="Arial" w:cs="Arial"/>
                <w:sz w:val="18"/>
                <w:szCs w:val="18"/>
              </w:rPr>
              <w:t>g/10</w:t>
            </w:r>
            <w:r w:rsidRPr="0099789B">
              <w:rPr>
                <w:rFonts w:ascii="Arial" w:hAnsi="Arial" w:cs="Arial"/>
                <w:sz w:val="18"/>
                <w:szCs w:val="18"/>
                <w:vertAlign w:val="superscript"/>
              </w:rPr>
              <w:t>15</w:t>
            </w:r>
            <w:r w:rsidRPr="0099789B">
              <w:rPr>
                <w:rFonts w:ascii="Arial" w:hAnsi="Arial" w:cs="Arial"/>
                <w:sz w:val="18"/>
                <w:szCs w:val="18"/>
              </w:rPr>
              <w:t>J)</w:t>
            </w:r>
          </w:p>
        </w:tc>
      </w:tr>
      <w:tr w:rsidR="00010E2E" w:rsidRPr="0099789B" w14:paraId="1B1673D2" w14:textId="77777777">
        <w:tc>
          <w:tcPr>
            <w:tcW w:w="3780" w:type="dxa"/>
          </w:tcPr>
          <w:p w14:paraId="1EA27B2D"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Mg/PJ (10</w:t>
            </w:r>
            <w:r w:rsidRPr="0099789B">
              <w:rPr>
                <w:rFonts w:ascii="Arial" w:hAnsi="Arial" w:cs="Arial"/>
                <w:sz w:val="18"/>
                <w:szCs w:val="18"/>
                <w:vertAlign w:val="superscript"/>
              </w:rPr>
              <w:t>6</w:t>
            </w:r>
            <w:r w:rsidRPr="0099789B">
              <w:rPr>
                <w:rFonts w:ascii="Arial" w:hAnsi="Arial" w:cs="Arial"/>
                <w:sz w:val="18"/>
                <w:szCs w:val="18"/>
              </w:rPr>
              <w:t>g/10</w:t>
            </w:r>
            <w:r w:rsidRPr="0099789B">
              <w:rPr>
                <w:rFonts w:ascii="Arial" w:hAnsi="Arial" w:cs="Arial"/>
                <w:sz w:val="18"/>
                <w:szCs w:val="18"/>
                <w:vertAlign w:val="superscript"/>
              </w:rPr>
              <w:t>15</w:t>
            </w:r>
            <w:r w:rsidRPr="0099789B">
              <w:rPr>
                <w:rFonts w:ascii="Arial" w:hAnsi="Arial" w:cs="Arial"/>
                <w:sz w:val="18"/>
                <w:szCs w:val="18"/>
              </w:rPr>
              <w:t>J)</w:t>
            </w:r>
          </w:p>
        </w:tc>
        <w:tc>
          <w:tcPr>
            <w:tcW w:w="3913" w:type="dxa"/>
          </w:tcPr>
          <w:p w14:paraId="5A5C1ECD" w14:textId="77777777" w:rsidR="00010E2E" w:rsidRPr="0099789B" w:rsidRDefault="00010E2E">
            <w:pPr>
              <w:pStyle w:val="BodyText"/>
              <w:tabs>
                <w:tab w:val="left" w:pos="0"/>
                <w:tab w:val="left" w:pos="2250"/>
              </w:tabs>
              <w:spacing w:before="120" w:after="0" w:line="312" w:lineRule="auto"/>
              <w:ind w:left="1077"/>
              <w:rPr>
                <w:rFonts w:ascii="Arial" w:hAnsi="Arial" w:cs="Arial"/>
                <w:sz w:val="18"/>
                <w:szCs w:val="18"/>
              </w:rPr>
            </w:pPr>
            <w:r w:rsidRPr="0099789B">
              <w:rPr>
                <w:rFonts w:ascii="Arial" w:hAnsi="Arial" w:cs="Arial"/>
                <w:sz w:val="18"/>
                <w:szCs w:val="18"/>
              </w:rPr>
              <w:t>g/GJ 10</w:t>
            </w:r>
            <w:r w:rsidRPr="0099789B">
              <w:rPr>
                <w:rFonts w:ascii="Arial" w:hAnsi="Arial" w:cs="Arial"/>
                <w:sz w:val="18"/>
                <w:szCs w:val="18"/>
                <w:vertAlign w:val="superscript"/>
              </w:rPr>
              <w:t>0</w:t>
            </w:r>
            <w:r w:rsidRPr="0099789B">
              <w:rPr>
                <w:rFonts w:ascii="Arial" w:hAnsi="Arial" w:cs="Arial"/>
                <w:sz w:val="18"/>
                <w:szCs w:val="18"/>
              </w:rPr>
              <w:t>g/10</w:t>
            </w:r>
            <w:r w:rsidRPr="0099789B">
              <w:rPr>
                <w:rFonts w:ascii="Arial" w:hAnsi="Arial" w:cs="Arial"/>
                <w:sz w:val="18"/>
                <w:szCs w:val="18"/>
                <w:vertAlign w:val="superscript"/>
              </w:rPr>
              <w:t>9</w:t>
            </w:r>
            <w:r w:rsidRPr="0099789B">
              <w:rPr>
                <w:rFonts w:ascii="Arial" w:hAnsi="Arial" w:cs="Arial"/>
                <w:sz w:val="18"/>
                <w:szCs w:val="18"/>
              </w:rPr>
              <w:t>J)</w:t>
            </w:r>
          </w:p>
        </w:tc>
      </w:tr>
    </w:tbl>
    <w:p w14:paraId="4765EE7E" w14:textId="77777777" w:rsidR="00010E2E" w:rsidRDefault="00010E2E" w:rsidP="001A7BA5">
      <w:pPr>
        <w:pStyle w:val="Style1"/>
        <w:tabs>
          <w:tab w:val="left" w:pos="0"/>
          <w:tab w:val="left" w:pos="2250"/>
        </w:tabs>
        <w:spacing w:before="120" w:line="312" w:lineRule="auto"/>
        <w:rPr>
          <w:rFonts w:ascii="Arial" w:hAnsi="Arial" w:cs="Arial"/>
          <w:color w:val="auto"/>
          <w:sz w:val="18"/>
          <w:szCs w:val="18"/>
        </w:rPr>
      </w:pPr>
    </w:p>
    <w:p w14:paraId="2C7B4240" w14:textId="77777777" w:rsidR="00010E2E" w:rsidRDefault="00010E2E">
      <w:pPr>
        <w:pStyle w:val="Style1"/>
        <w:tabs>
          <w:tab w:val="left" w:pos="0"/>
          <w:tab w:val="left" w:pos="2250"/>
        </w:tabs>
        <w:spacing w:before="120" w:line="312" w:lineRule="auto"/>
        <w:ind w:left="360"/>
        <w:rPr>
          <w:rFonts w:ascii="Arial" w:hAnsi="Arial" w:cs="Arial"/>
          <w:color w:val="auto"/>
          <w:sz w:val="18"/>
          <w:szCs w:val="18"/>
        </w:rPr>
      </w:pPr>
      <w:r>
        <w:rPr>
          <w:rFonts w:ascii="Arial" w:hAnsi="Arial" w:cs="Arial"/>
          <w:color w:val="auto"/>
          <w:sz w:val="18"/>
          <w:szCs w:val="18"/>
        </w:rPr>
        <w:t>e.g. 423,000 Gg is equivalent to 423,000 kt and to 423 Mt</w:t>
      </w:r>
    </w:p>
    <w:p w14:paraId="0FA94900" w14:textId="77777777" w:rsidR="00D76245" w:rsidRDefault="00D76245" w:rsidP="00C23E3B">
      <w:pPr>
        <w:pStyle w:val="Caption"/>
      </w:pPr>
    </w:p>
    <w:p w14:paraId="6C623DDE" w14:textId="77777777" w:rsidR="00013789" w:rsidRDefault="00013789">
      <w:pPr>
        <w:ind w:left="0"/>
        <w:rPr>
          <w:rFonts w:ascii="Arial" w:hAnsi="Arial"/>
        </w:rPr>
      </w:pPr>
      <w:r>
        <w:br w:type="page"/>
      </w:r>
    </w:p>
    <w:p w14:paraId="0FEC68AF" w14:textId="77777777" w:rsidR="00D76245" w:rsidRDefault="00491D41" w:rsidP="00C23E3B">
      <w:pPr>
        <w:pStyle w:val="Caption"/>
      </w:pPr>
      <w:bookmarkStart w:id="135" w:name="_Toc485728138"/>
      <w:r>
        <w:t xml:space="preserve">Table </w:t>
      </w:r>
      <w:r w:rsidR="00DC52E0">
        <w:fldChar w:fldCharType="begin"/>
      </w:r>
      <w:r>
        <w:instrText xml:space="preserve"> SEQ Table \* ARABIC </w:instrText>
      </w:r>
      <w:r w:rsidR="00DC52E0">
        <w:fldChar w:fldCharType="separate"/>
      </w:r>
      <w:r w:rsidR="004A1330">
        <w:rPr>
          <w:noProof/>
        </w:rPr>
        <w:t>30</w:t>
      </w:r>
      <w:r w:rsidR="00DC52E0">
        <w:fldChar w:fldCharType="end"/>
      </w:r>
      <w:r w:rsidR="00010E2E">
        <w:t>: Energy conversion factors</w:t>
      </w:r>
      <w:bookmarkEnd w:id="1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9"/>
        <w:gridCol w:w="1349"/>
        <w:gridCol w:w="1341"/>
        <w:gridCol w:w="2486"/>
      </w:tblGrid>
      <w:tr w:rsidR="00010E2E" w:rsidRPr="0099789B" w14:paraId="6241F452" w14:textId="77777777">
        <w:tc>
          <w:tcPr>
            <w:tcW w:w="8015" w:type="dxa"/>
            <w:gridSpan w:val="4"/>
            <w:tcBorders>
              <w:right w:val="single" w:sz="6" w:space="0" w:color="auto"/>
            </w:tcBorders>
            <w:shd w:val="pct15" w:color="auto" w:fill="FFFFFF"/>
          </w:tcPr>
          <w:p w14:paraId="7B78BEF0" w14:textId="77777777" w:rsidR="00010E2E" w:rsidRPr="0099789B" w:rsidRDefault="00010E2E">
            <w:pPr>
              <w:pStyle w:val="BodyText"/>
              <w:tabs>
                <w:tab w:val="left" w:pos="0"/>
                <w:tab w:val="left" w:pos="2250"/>
              </w:tabs>
              <w:spacing w:before="120" w:after="0" w:line="312" w:lineRule="auto"/>
              <w:ind w:left="0"/>
              <w:jc w:val="center"/>
              <w:rPr>
                <w:rFonts w:ascii="Arial" w:hAnsi="Arial" w:cs="Arial"/>
                <w:b/>
                <w:bCs/>
                <w:caps/>
                <w:sz w:val="18"/>
                <w:szCs w:val="18"/>
              </w:rPr>
            </w:pPr>
            <w:r w:rsidRPr="0099789B">
              <w:rPr>
                <w:rFonts w:ascii="Arial" w:hAnsi="Arial" w:cs="Arial"/>
                <w:b/>
                <w:bCs/>
                <w:sz w:val="18"/>
                <w:szCs w:val="18"/>
              </w:rPr>
              <w:t>Conversion factors</w:t>
            </w:r>
          </w:p>
        </w:tc>
      </w:tr>
      <w:tr w:rsidR="00010E2E" w:rsidRPr="0099789B" w14:paraId="265439CD" w14:textId="77777777">
        <w:tc>
          <w:tcPr>
            <w:tcW w:w="4188" w:type="dxa"/>
            <w:gridSpan w:val="2"/>
          </w:tcPr>
          <w:p w14:paraId="1746E6C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1 Watt</w:t>
            </w:r>
          </w:p>
        </w:tc>
        <w:tc>
          <w:tcPr>
            <w:tcW w:w="3827" w:type="dxa"/>
            <w:gridSpan w:val="2"/>
          </w:tcPr>
          <w:p w14:paraId="1611075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 xml:space="preserve"> = 1 Joule/Sec</w:t>
            </w:r>
          </w:p>
        </w:tc>
      </w:tr>
      <w:tr w:rsidR="00010E2E" w:rsidRPr="0099789B" w14:paraId="1B17BA23" w14:textId="77777777">
        <w:tc>
          <w:tcPr>
            <w:tcW w:w="4188" w:type="dxa"/>
            <w:gridSpan w:val="2"/>
          </w:tcPr>
          <w:p w14:paraId="083A3E19"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3600 Watt-seconds</w:t>
            </w:r>
          </w:p>
        </w:tc>
        <w:tc>
          <w:tcPr>
            <w:tcW w:w="3827" w:type="dxa"/>
            <w:gridSpan w:val="2"/>
          </w:tcPr>
          <w:p w14:paraId="3D6D09A4"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 xml:space="preserve"> = 1 Watt-hour (3600 seconds in one hour)</w:t>
            </w:r>
          </w:p>
        </w:tc>
      </w:tr>
      <w:tr w:rsidR="00010E2E" w:rsidRPr="0099789B" w14:paraId="46EC9493" w14:textId="77777777">
        <w:tc>
          <w:tcPr>
            <w:tcW w:w="4188" w:type="dxa"/>
            <w:gridSpan w:val="2"/>
          </w:tcPr>
          <w:p w14:paraId="784C9738"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1 Watt-hour</w:t>
            </w:r>
          </w:p>
        </w:tc>
        <w:tc>
          <w:tcPr>
            <w:tcW w:w="3827" w:type="dxa"/>
            <w:gridSpan w:val="2"/>
          </w:tcPr>
          <w:p w14:paraId="2D523CA0"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 xml:space="preserve"> = 3600 Joules</w:t>
            </w:r>
          </w:p>
        </w:tc>
      </w:tr>
      <w:tr w:rsidR="00010E2E" w:rsidRPr="0099789B" w14:paraId="0D0AB4AF" w14:textId="77777777">
        <w:tc>
          <w:tcPr>
            <w:tcW w:w="4188" w:type="dxa"/>
            <w:gridSpan w:val="2"/>
          </w:tcPr>
          <w:p w14:paraId="7D0CAC0E"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1000 Watt-hours</w:t>
            </w:r>
          </w:p>
        </w:tc>
        <w:tc>
          <w:tcPr>
            <w:tcW w:w="3827" w:type="dxa"/>
            <w:gridSpan w:val="2"/>
          </w:tcPr>
          <w:p w14:paraId="6A31A16D"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 xml:space="preserve"> = 1Kilowatt hour (kWh)</w:t>
            </w:r>
          </w:p>
        </w:tc>
      </w:tr>
      <w:tr w:rsidR="00010E2E" w:rsidRPr="0099789B" w14:paraId="3934902B" w14:textId="77777777">
        <w:tc>
          <w:tcPr>
            <w:tcW w:w="4188" w:type="dxa"/>
            <w:gridSpan w:val="2"/>
          </w:tcPr>
          <w:p w14:paraId="6EC24822"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1 kWh</w:t>
            </w:r>
          </w:p>
        </w:tc>
        <w:tc>
          <w:tcPr>
            <w:tcW w:w="3827" w:type="dxa"/>
            <w:gridSpan w:val="2"/>
          </w:tcPr>
          <w:p w14:paraId="2E5620C9"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 = 3.6 x 10</w:t>
            </w:r>
            <w:r w:rsidRPr="0099789B">
              <w:rPr>
                <w:rFonts w:ascii="Arial" w:hAnsi="Arial" w:cs="Arial"/>
                <w:sz w:val="18"/>
                <w:szCs w:val="18"/>
                <w:vertAlign w:val="superscript"/>
              </w:rPr>
              <w:t>6</w:t>
            </w:r>
            <w:r w:rsidRPr="0099789B">
              <w:rPr>
                <w:rFonts w:ascii="Arial" w:hAnsi="Arial" w:cs="Arial"/>
                <w:sz w:val="18"/>
                <w:szCs w:val="18"/>
              </w:rPr>
              <w:t xml:space="preserve"> Joules = 3.6 MJ</w:t>
            </w:r>
          </w:p>
        </w:tc>
      </w:tr>
      <w:tr w:rsidR="00010E2E" w:rsidRPr="0099789B" w14:paraId="5A5FC060" w14:textId="77777777">
        <w:tc>
          <w:tcPr>
            <w:tcW w:w="4188" w:type="dxa"/>
            <w:gridSpan w:val="2"/>
          </w:tcPr>
          <w:p w14:paraId="308B9099"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 xml:space="preserve">1 </w:t>
            </w:r>
            <w:r w:rsidRPr="0099789B">
              <w:rPr>
                <w:rFonts w:ascii="Arial" w:hAnsi="Arial" w:cs="Arial"/>
                <w:sz w:val="18"/>
                <w:szCs w:val="18"/>
              </w:rPr>
              <w:t>k</w:t>
            </w:r>
            <w:r w:rsidRPr="0099789B">
              <w:rPr>
                <w:rFonts w:ascii="Arial" w:hAnsi="Arial" w:cs="Arial"/>
                <w:caps/>
                <w:sz w:val="18"/>
                <w:szCs w:val="18"/>
              </w:rPr>
              <w:t>w</w:t>
            </w:r>
            <w:r w:rsidRPr="0099789B">
              <w:rPr>
                <w:rFonts w:ascii="Arial" w:hAnsi="Arial" w:cs="Arial"/>
                <w:sz w:val="18"/>
                <w:szCs w:val="18"/>
              </w:rPr>
              <w:t>h</w:t>
            </w:r>
          </w:p>
        </w:tc>
        <w:tc>
          <w:tcPr>
            <w:tcW w:w="3827" w:type="dxa"/>
            <w:gridSpan w:val="2"/>
          </w:tcPr>
          <w:p w14:paraId="7537024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 = 3.6 x 10</w:t>
            </w:r>
            <w:r w:rsidRPr="0099789B">
              <w:rPr>
                <w:rFonts w:ascii="Arial" w:hAnsi="Arial" w:cs="Arial"/>
                <w:sz w:val="18"/>
                <w:szCs w:val="18"/>
                <w:vertAlign w:val="superscript"/>
              </w:rPr>
              <w:t>-3</w:t>
            </w:r>
            <w:r w:rsidRPr="0099789B">
              <w:rPr>
                <w:rFonts w:ascii="Arial" w:hAnsi="Arial" w:cs="Arial"/>
                <w:sz w:val="18"/>
                <w:szCs w:val="18"/>
              </w:rPr>
              <w:t xml:space="preserve"> GJ</w:t>
            </w:r>
          </w:p>
        </w:tc>
      </w:tr>
      <w:tr w:rsidR="00010E2E" w:rsidRPr="0099789B" w14:paraId="730DA3CF" w14:textId="77777777">
        <w:tc>
          <w:tcPr>
            <w:tcW w:w="4188" w:type="dxa"/>
            <w:gridSpan w:val="2"/>
          </w:tcPr>
          <w:p w14:paraId="26640781"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 GJ</w:t>
            </w:r>
          </w:p>
        </w:tc>
        <w:tc>
          <w:tcPr>
            <w:tcW w:w="3827" w:type="dxa"/>
            <w:gridSpan w:val="2"/>
          </w:tcPr>
          <w:p w14:paraId="6680B78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caps/>
                <w:sz w:val="18"/>
                <w:szCs w:val="18"/>
              </w:rPr>
              <w:t xml:space="preserve"> = 278 </w:t>
            </w:r>
            <w:r w:rsidRPr="0099789B">
              <w:rPr>
                <w:rFonts w:ascii="Arial" w:hAnsi="Arial" w:cs="Arial"/>
                <w:sz w:val="18"/>
                <w:szCs w:val="18"/>
              </w:rPr>
              <w:t>k</w:t>
            </w:r>
            <w:r w:rsidRPr="0099789B">
              <w:rPr>
                <w:rFonts w:ascii="Arial" w:hAnsi="Arial" w:cs="Arial"/>
                <w:caps/>
                <w:sz w:val="18"/>
                <w:szCs w:val="18"/>
              </w:rPr>
              <w:t>W</w:t>
            </w:r>
            <w:r w:rsidRPr="0099789B">
              <w:rPr>
                <w:rFonts w:ascii="Arial" w:hAnsi="Arial" w:cs="Arial"/>
                <w:sz w:val="18"/>
                <w:szCs w:val="18"/>
              </w:rPr>
              <w:t>h</w:t>
            </w:r>
          </w:p>
        </w:tc>
      </w:tr>
      <w:tr w:rsidR="00010E2E" w:rsidRPr="0099789B" w14:paraId="4A6AF106" w14:textId="77777777">
        <w:tc>
          <w:tcPr>
            <w:tcW w:w="4188" w:type="dxa"/>
            <w:gridSpan w:val="2"/>
          </w:tcPr>
          <w:p w14:paraId="6D52405F"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1 PJ</w:t>
            </w:r>
          </w:p>
        </w:tc>
        <w:tc>
          <w:tcPr>
            <w:tcW w:w="3827" w:type="dxa"/>
            <w:gridSpan w:val="2"/>
          </w:tcPr>
          <w:p w14:paraId="077C663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caps/>
                <w:sz w:val="18"/>
                <w:szCs w:val="18"/>
              </w:rPr>
              <w:t xml:space="preserve"> = 278 </w:t>
            </w:r>
            <w:r w:rsidRPr="0099789B">
              <w:rPr>
                <w:rFonts w:ascii="Arial" w:hAnsi="Arial" w:cs="Arial"/>
                <w:sz w:val="18"/>
                <w:szCs w:val="18"/>
              </w:rPr>
              <w:t>x 10</w:t>
            </w:r>
            <w:r w:rsidRPr="0099789B">
              <w:rPr>
                <w:rFonts w:ascii="Arial" w:hAnsi="Arial" w:cs="Arial"/>
                <w:sz w:val="18"/>
                <w:szCs w:val="18"/>
                <w:vertAlign w:val="superscript"/>
              </w:rPr>
              <w:t>6</w:t>
            </w:r>
            <w:r w:rsidRPr="0099789B">
              <w:rPr>
                <w:rFonts w:ascii="Arial" w:hAnsi="Arial" w:cs="Arial"/>
                <w:sz w:val="18"/>
                <w:szCs w:val="18"/>
              </w:rPr>
              <w:t xml:space="preserve"> k</w:t>
            </w:r>
            <w:r w:rsidRPr="0099789B">
              <w:rPr>
                <w:rFonts w:ascii="Arial" w:hAnsi="Arial" w:cs="Arial"/>
                <w:caps/>
                <w:sz w:val="18"/>
                <w:szCs w:val="18"/>
              </w:rPr>
              <w:t>W</w:t>
            </w:r>
            <w:r w:rsidRPr="0099789B">
              <w:rPr>
                <w:rFonts w:ascii="Arial" w:hAnsi="Arial" w:cs="Arial"/>
                <w:sz w:val="18"/>
                <w:szCs w:val="18"/>
              </w:rPr>
              <w:t xml:space="preserve">h </w:t>
            </w:r>
            <w:r w:rsidRPr="0099789B">
              <w:rPr>
                <w:rFonts w:ascii="Arial" w:hAnsi="Arial" w:cs="Arial"/>
                <w:caps/>
                <w:sz w:val="18"/>
                <w:szCs w:val="18"/>
              </w:rPr>
              <w:t xml:space="preserve">= 278 </w:t>
            </w:r>
            <w:r w:rsidRPr="0099789B">
              <w:rPr>
                <w:rFonts w:ascii="Arial" w:hAnsi="Arial" w:cs="Arial"/>
                <w:sz w:val="18"/>
                <w:szCs w:val="18"/>
              </w:rPr>
              <w:t>G</w:t>
            </w:r>
            <w:r w:rsidRPr="0099789B">
              <w:rPr>
                <w:rFonts w:ascii="Arial" w:hAnsi="Arial" w:cs="Arial"/>
                <w:caps/>
                <w:sz w:val="18"/>
                <w:szCs w:val="18"/>
              </w:rPr>
              <w:t>W</w:t>
            </w:r>
            <w:r w:rsidRPr="0099789B">
              <w:rPr>
                <w:rFonts w:ascii="Arial" w:hAnsi="Arial" w:cs="Arial"/>
                <w:sz w:val="18"/>
                <w:szCs w:val="18"/>
              </w:rPr>
              <w:t>h</w:t>
            </w:r>
          </w:p>
        </w:tc>
      </w:tr>
      <w:tr w:rsidR="00010E2E" w:rsidRPr="0099789B" w14:paraId="215E3DDD" w14:textId="77777777">
        <w:tc>
          <w:tcPr>
            <w:tcW w:w="2839" w:type="dxa"/>
            <w:tcBorders>
              <w:right w:val="single" w:sz="6" w:space="0" w:color="auto"/>
            </w:tcBorders>
            <w:shd w:val="pct15" w:color="auto" w:fill="FFFFFF"/>
          </w:tcPr>
          <w:p w14:paraId="03AD5C3C" w14:textId="77777777" w:rsidR="00010E2E" w:rsidRPr="0099789B" w:rsidRDefault="00010E2E">
            <w:pPr>
              <w:pStyle w:val="BodyText"/>
              <w:tabs>
                <w:tab w:val="left" w:pos="0"/>
                <w:tab w:val="left" w:pos="2250"/>
              </w:tabs>
              <w:spacing w:before="120" w:after="0" w:line="312" w:lineRule="auto"/>
              <w:ind w:left="0"/>
              <w:rPr>
                <w:rFonts w:ascii="Arial" w:hAnsi="Arial" w:cs="Arial"/>
                <w:b/>
                <w:bCs/>
                <w:caps/>
                <w:sz w:val="18"/>
                <w:szCs w:val="18"/>
              </w:rPr>
            </w:pPr>
            <w:r w:rsidRPr="0099789B">
              <w:rPr>
                <w:rFonts w:ascii="Arial" w:hAnsi="Arial" w:cs="Arial"/>
                <w:b/>
                <w:bCs/>
                <w:sz w:val="18"/>
                <w:szCs w:val="18"/>
              </w:rPr>
              <w:t>(A) For conversion from first unit to second unit:</w:t>
            </w:r>
          </w:p>
        </w:tc>
        <w:tc>
          <w:tcPr>
            <w:tcW w:w="2690" w:type="dxa"/>
            <w:gridSpan w:val="2"/>
            <w:tcBorders>
              <w:left w:val="single" w:sz="6" w:space="0" w:color="auto"/>
              <w:right w:val="single" w:sz="6" w:space="0" w:color="auto"/>
            </w:tcBorders>
            <w:shd w:val="pct15" w:color="auto" w:fill="FFFFFF"/>
          </w:tcPr>
          <w:p w14:paraId="2CB8103D" w14:textId="77777777" w:rsidR="00010E2E" w:rsidRPr="0099789B" w:rsidRDefault="00010E2E">
            <w:pPr>
              <w:pStyle w:val="BodyText"/>
              <w:tabs>
                <w:tab w:val="left" w:pos="0"/>
                <w:tab w:val="left" w:pos="2250"/>
              </w:tabs>
              <w:spacing w:before="120" w:after="0" w:line="312" w:lineRule="auto"/>
              <w:ind w:left="0"/>
              <w:rPr>
                <w:rFonts w:ascii="Arial" w:hAnsi="Arial" w:cs="Arial"/>
                <w:b/>
                <w:bCs/>
                <w:caps/>
                <w:sz w:val="18"/>
                <w:szCs w:val="18"/>
              </w:rPr>
            </w:pPr>
            <w:r w:rsidRPr="0099789B">
              <w:rPr>
                <w:rFonts w:ascii="Arial" w:hAnsi="Arial" w:cs="Arial"/>
                <w:b/>
                <w:bCs/>
                <w:sz w:val="18"/>
                <w:szCs w:val="18"/>
              </w:rPr>
              <w:t>(B) Multiply quantity in first unit by conversion factor:</w:t>
            </w:r>
          </w:p>
        </w:tc>
        <w:tc>
          <w:tcPr>
            <w:tcW w:w="2486" w:type="dxa"/>
            <w:tcBorders>
              <w:left w:val="single" w:sz="6" w:space="0" w:color="auto"/>
            </w:tcBorders>
            <w:shd w:val="pct15" w:color="auto" w:fill="FFFFFF"/>
          </w:tcPr>
          <w:p w14:paraId="2C53AE9B" w14:textId="77777777" w:rsidR="00010E2E" w:rsidRPr="0099789B" w:rsidRDefault="00010E2E">
            <w:pPr>
              <w:pStyle w:val="BodyText"/>
              <w:tabs>
                <w:tab w:val="left" w:pos="0"/>
                <w:tab w:val="left" w:pos="2250"/>
              </w:tabs>
              <w:spacing w:before="120" w:after="0" w:line="312" w:lineRule="auto"/>
              <w:ind w:left="0"/>
              <w:rPr>
                <w:rFonts w:ascii="Arial" w:hAnsi="Arial" w:cs="Arial"/>
                <w:b/>
                <w:bCs/>
                <w:caps/>
                <w:sz w:val="18"/>
                <w:szCs w:val="18"/>
              </w:rPr>
            </w:pPr>
            <w:r w:rsidRPr="0099789B">
              <w:rPr>
                <w:rFonts w:ascii="Arial" w:hAnsi="Arial" w:cs="Arial"/>
                <w:b/>
                <w:bCs/>
                <w:sz w:val="18"/>
                <w:szCs w:val="18"/>
              </w:rPr>
              <w:t>(C) To calculate quantity in second unit:</w:t>
            </w:r>
          </w:p>
        </w:tc>
      </w:tr>
      <w:tr w:rsidR="00010E2E" w:rsidRPr="0099789B" w14:paraId="76DA2934" w14:textId="77777777">
        <w:tc>
          <w:tcPr>
            <w:tcW w:w="2839" w:type="dxa"/>
          </w:tcPr>
          <w:p w14:paraId="3777FAB0"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kWh to J</w:t>
            </w:r>
          </w:p>
        </w:tc>
        <w:tc>
          <w:tcPr>
            <w:tcW w:w="2690" w:type="dxa"/>
            <w:gridSpan w:val="2"/>
          </w:tcPr>
          <w:p w14:paraId="10D8FCA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kWh x 3.6 x 10</w:t>
            </w:r>
            <w:r w:rsidRPr="0099789B">
              <w:rPr>
                <w:rFonts w:ascii="Arial" w:hAnsi="Arial" w:cs="Arial"/>
                <w:sz w:val="18"/>
                <w:szCs w:val="18"/>
                <w:vertAlign w:val="superscript"/>
              </w:rPr>
              <w:t>6</w:t>
            </w:r>
          </w:p>
        </w:tc>
        <w:tc>
          <w:tcPr>
            <w:tcW w:w="2486" w:type="dxa"/>
          </w:tcPr>
          <w:p w14:paraId="6F60FD1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Joules</w:t>
            </w:r>
          </w:p>
        </w:tc>
      </w:tr>
      <w:tr w:rsidR="00010E2E" w:rsidRPr="0099789B" w14:paraId="302CF9B9" w14:textId="77777777">
        <w:tc>
          <w:tcPr>
            <w:tcW w:w="2839" w:type="dxa"/>
          </w:tcPr>
          <w:p w14:paraId="2A6BA59B"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caps/>
                <w:sz w:val="18"/>
                <w:szCs w:val="18"/>
              </w:rPr>
              <w:t xml:space="preserve">J </w:t>
            </w:r>
            <w:r w:rsidRPr="0099789B">
              <w:rPr>
                <w:rFonts w:ascii="Arial" w:hAnsi="Arial" w:cs="Arial"/>
                <w:sz w:val="18"/>
                <w:szCs w:val="18"/>
              </w:rPr>
              <w:t>to kWh</w:t>
            </w:r>
          </w:p>
        </w:tc>
        <w:tc>
          <w:tcPr>
            <w:tcW w:w="2690" w:type="dxa"/>
            <w:gridSpan w:val="2"/>
          </w:tcPr>
          <w:p w14:paraId="7EBCEC9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J x 1/3.6 x 10</w:t>
            </w:r>
            <w:r w:rsidRPr="0099789B">
              <w:rPr>
                <w:rFonts w:ascii="Arial" w:hAnsi="Arial" w:cs="Arial"/>
                <w:sz w:val="18"/>
                <w:szCs w:val="18"/>
                <w:vertAlign w:val="superscript"/>
              </w:rPr>
              <w:t>-6</w:t>
            </w:r>
          </w:p>
        </w:tc>
        <w:tc>
          <w:tcPr>
            <w:tcW w:w="2486" w:type="dxa"/>
          </w:tcPr>
          <w:p w14:paraId="30CC7EE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kWh</w:t>
            </w:r>
          </w:p>
        </w:tc>
      </w:tr>
      <w:tr w:rsidR="00010E2E" w:rsidRPr="0099789B" w14:paraId="6FE0E508" w14:textId="77777777">
        <w:tc>
          <w:tcPr>
            <w:tcW w:w="2839" w:type="dxa"/>
          </w:tcPr>
          <w:p w14:paraId="48750293"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kWh to MJ</w:t>
            </w:r>
          </w:p>
        </w:tc>
        <w:tc>
          <w:tcPr>
            <w:tcW w:w="2690" w:type="dxa"/>
            <w:gridSpan w:val="2"/>
          </w:tcPr>
          <w:p w14:paraId="4BF0AF79"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kWh x 3.6</w:t>
            </w:r>
          </w:p>
        </w:tc>
        <w:tc>
          <w:tcPr>
            <w:tcW w:w="2486" w:type="dxa"/>
          </w:tcPr>
          <w:p w14:paraId="6B88884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MJ</w:t>
            </w:r>
          </w:p>
        </w:tc>
      </w:tr>
      <w:tr w:rsidR="00010E2E" w:rsidRPr="0099789B" w14:paraId="651FF518" w14:textId="77777777">
        <w:tc>
          <w:tcPr>
            <w:tcW w:w="2839" w:type="dxa"/>
          </w:tcPr>
          <w:p w14:paraId="21BF4AA3"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MJ to kWh</w:t>
            </w:r>
          </w:p>
        </w:tc>
        <w:tc>
          <w:tcPr>
            <w:tcW w:w="2690" w:type="dxa"/>
            <w:gridSpan w:val="2"/>
          </w:tcPr>
          <w:p w14:paraId="429F03E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MJ x 0.278</w:t>
            </w:r>
          </w:p>
        </w:tc>
        <w:tc>
          <w:tcPr>
            <w:tcW w:w="2486" w:type="dxa"/>
          </w:tcPr>
          <w:p w14:paraId="69650FE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kWh</w:t>
            </w:r>
          </w:p>
        </w:tc>
      </w:tr>
      <w:tr w:rsidR="00010E2E" w:rsidRPr="0099789B" w14:paraId="02CB1E02" w14:textId="77777777">
        <w:tc>
          <w:tcPr>
            <w:tcW w:w="2839" w:type="dxa"/>
          </w:tcPr>
          <w:p w14:paraId="160A944E"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kWh to GJ</w:t>
            </w:r>
          </w:p>
        </w:tc>
        <w:tc>
          <w:tcPr>
            <w:tcW w:w="2690" w:type="dxa"/>
            <w:gridSpan w:val="2"/>
          </w:tcPr>
          <w:p w14:paraId="2EE82E1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kWh x 3.6 x 10</w:t>
            </w:r>
            <w:r w:rsidRPr="0099789B">
              <w:rPr>
                <w:rFonts w:ascii="Arial" w:hAnsi="Arial" w:cs="Arial"/>
                <w:sz w:val="18"/>
                <w:szCs w:val="18"/>
                <w:vertAlign w:val="superscript"/>
              </w:rPr>
              <w:t>-3</w:t>
            </w:r>
          </w:p>
        </w:tc>
        <w:tc>
          <w:tcPr>
            <w:tcW w:w="2486" w:type="dxa"/>
          </w:tcPr>
          <w:p w14:paraId="1C3D9D60"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GJ</w:t>
            </w:r>
          </w:p>
        </w:tc>
      </w:tr>
      <w:tr w:rsidR="00010E2E" w:rsidRPr="0099789B" w14:paraId="362970D5" w14:textId="77777777">
        <w:tc>
          <w:tcPr>
            <w:tcW w:w="2839" w:type="dxa"/>
          </w:tcPr>
          <w:p w14:paraId="454AD3B2"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GJ to kWh</w:t>
            </w:r>
          </w:p>
        </w:tc>
        <w:tc>
          <w:tcPr>
            <w:tcW w:w="2690" w:type="dxa"/>
            <w:gridSpan w:val="2"/>
          </w:tcPr>
          <w:p w14:paraId="62A82A8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GJ x 278</w:t>
            </w:r>
          </w:p>
        </w:tc>
        <w:tc>
          <w:tcPr>
            <w:tcW w:w="2486" w:type="dxa"/>
          </w:tcPr>
          <w:p w14:paraId="68739BB6"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kWh</w:t>
            </w:r>
          </w:p>
        </w:tc>
      </w:tr>
      <w:tr w:rsidR="00010E2E" w:rsidRPr="0099789B" w14:paraId="7AA73FAE" w14:textId="77777777">
        <w:tc>
          <w:tcPr>
            <w:tcW w:w="2839" w:type="dxa"/>
          </w:tcPr>
          <w:p w14:paraId="6EDA5B71"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kWh to PJ</w:t>
            </w:r>
          </w:p>
        </w:tc>
        <w:tc>
          <w:tcPr>
            <w:tcW w:w="2690" w:type="dxa"/>
            <w:gridSpan w:val="2"/>
          </w:tcPr>
          <w:p w14:paraId="49F2E38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kWh x 3.6 x 10</w:t>
            </w:r>
            <w:r w:rsidRPr="0099789B">
              <w:rPr>
                <w:rFonts w:ascii="Arial" w:hAnsi="Arial" w:cs="Arial"/>
                <w:sz w:val="18"/>
                <w:szCs w:val="18"/>
                <w:vertAlign w:val="superscript"/>
              </w:rPr>
              <w:t>-9</w:t>
            </w:r>
          </w:p>
        </w:tc>
        <w:tc>
          <w:tcPr>
            <w:tcW w:w="2486" w:type="dxa"/>
          </w:tcPr>
          <w:p w14:paraId="060EA39C"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PJ</w:t>
            </w:r>
          </w:p>
        </w:tc>
      </w:tr>
      <w:tr w:rsidR="00010E2E" w:rsidRPr="0099789B" w14:paraId="120D8508" w14:textId="77777777">
        <w:tc>
          <w:tcPr>
            <w:tcW w:w="2839" w:type="dxa"/>
          </w:tcPr>
          <w:p w14:paraId="7D42F643"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PJ to kWh</w:t>
            </w:r>
          </w:p>
        </w:tc>
        <w:tc>
          <w:tcPr>
            <w:tcW w:w="2690" w:type="dxa"/>
            <w:gridSpan w:val="2"/>
          </w:tcPr>
          <w:p w14:paraId="0CEE528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PJ x 278 x 10</w:t>
            </w:r>
            <w:r w:rsidRPr="0099789B">
              <w:rPr>
                <w:rFonts w:ascii="Arial" w:hAnsi="Arial" w:cs="Arial"/>
                <w:sz w:val="18"/>
                <w:szCs w:val="18"/>
                <w:vertAlign w:val="superscript"/>
              </w:rPr>
              <w:t>6</w:t>
            </w:r>
          </w:p>
        </w:tc>
        <w:tc>
          <w:tcPr>
            <w:tcW w:w="2486" w:type="dxa"/>
          </w:tcPr>
          <w:p w14:paraId="2DE05444" w14:textId="77777777" w:rsidR="00010E2E" w:rsidRPr="0099789B" w:rsidRDefault="00010E2E">
            <w:pPr>
              <w:pStyle w:val="BodyText"/>
              <w:tabs>
                <w:tab w:val="left" w:pos="0"/>
                <w:tab w:val="left" w:pos="2250"/>
              </w:tabs>
              <w:spacing w:before="120" w:after="0" w:line="312" w:lineRule="auto"/>
              <w:ind w:left="0"/>
              <w:rPr>
                <w:rFonts w:ascii="Arial" w:hAnsi="Arial" w:cs="Arial"/>
                <w:caps/>
                <w:sz w:val="18"/>
                <w:szCs w:val="18"/>
              </w:rPr>
            </w:pPr>
            <w:r w:rsidRPr="0099789B">
              <w:rPr>
                <w:rFonts w:ascii="Arial" w:hAnsi="Arial" w:cs="Arial"/>
                <w:sz w:val="18"/>
                <w:szCs w:val="18"/>
              </w:rPr>
              <w:t>kWh</w:t>
            </w:r>
          </w:p>
        </w:tc>
      </w:tr>
    </w:tbl>
    <w:p w14:paraId="2BB52C98" w14:textId="77777777" w:rsidR="00010E2E" w:rsidRDefault="00010E2E">
      <w:pPr>
        <w:pStyle w:val="Style1"/>
        <w:tabs>
          <w:tab w:val="left" w:pos="0"/>
          <w:tab w:val="left" w:pos="2250"/>
        </w:tabs>
        <w:spacing w:before="120" w:line="312" w:lineRule="auto"/>
        <w:ind w:left="360"/>
        <w:rPr>
          <w:rFonts w:ascii="Arial" w:hAnsi="Arial" w:cs="Arial"/>
          <w:color w:val="auto"/>
          <w:sz w:val="18"/>
          <w:szCs w:val="18"/>
        </w:rPr>
      </w:pPr>
    </w:p>
    <w:p w14:paraId="607C8EE5" w14:textId="77777777" w:rsidR="00D76245" w:rsidRDefault="00491D41" w:rsidP="00C23E3B">
      <w:pPr>
        <w:pStyle w:val="Caption"/>
      </w:pPr>
      <w:bookmarkStart w:id="136" w:name="_Toc391646715"/>
      <w:bookmarkStart w:id="137" w:name="_Toc485728139"/>
      <w:r>
        <w:t xml:space="preserve">Table </w:t>
      </w:r>
      <w:r w:rsidR="00DC52E0">
        <w:fldChar w:fldCharType="begin"/>
      </w:r>
      <w:r>
        <w:instrText xml:space="preserve"> SEQ Table \* ARABIC </w:instrText>
      </w:r>
      <w:r w:rsidR="00DC52E0">
        <w:fldChar w:fldCharType="separate"/>
      </w:r>
      <w:r w:rsidR="004A1330">
        <w:rPr>
          <w:noProof/>
        </w:rPr>
        <w:t>31</w:t>
      </w:r>
      <w:r w:rsidR="00DC52E0">
        <w:fldChar w:fldCharType="end"/>
      </w:r>
      <w:r w:rsidR="00010E2E">
        <w:t>: Municipal solid waste volume to weight conversion factors</w:t>
      </w:r>
      <w:bookmarkEnd w:id="136"/>
      <w:bookmarkEnd w:id="1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gridCol w:w="3827"/>
      </w:tblGrid>
      <w:tr w:rsidR="00010E2E" w14:paraId="4B55CE92" w14:textId="77777777">
        <w:tc>
          <w:tcPr>
            <w:tcW w:w="4188" w:type="dxa"/>
            <w:tcBorders>
              <w:right w:val="single" w:sz="6" w:space="0" w:color="auto"/>
            </w:tcBorders>
            <w:shd w:val="pct15" w:color="auto" w:fill="FFFFFF"/>
          </w:tcPr>
          <w:p w14:paraId="2582D291" w14:textId="77777777" w:rsidR="00010E2E" w:rsidRDefault="00010E2E">
            <w:pPr>
              <w:pStyle w:val="BodyText"/>
              <w:tabs>
                <w:tab w:val="left" w:pos="0"/>
                <w:tab w:val="left" w:pos="2250"/>
              </w:tabs>
              <w:spacing w:before="120" w:after="0" w:line="312" w:lineRule="auto"/>
              <w:ind w:left="0"/>
              <w:rPr>
                <w:rFonts w:ascii="Arial" w:hAnsi="Arial" w:cs="Arial"/>
                <w:b/>
                <w:bCs/>
                <w:caps/>
                <w:sz w:val="18"/>
                <w:szCs w:val="18"/>
              </w:rPr>
            </w:pPr>
            <w:r>
              <w:rPr>
                <w:rFonts w:ascii="Arial" w:hAnsi="Arial" w:cs="Arial"/>
                <w:b/>
                <w:bCs/>
                <w:sz w:val="18"/>
                <w:szCs w:val="18"/>
              </w:rPr>
              <w:t>Material type</w:t>
            </w:r>
          </w:p>
        </w:tc>
        <w:tc>
          <w:tcPr>
            <w:tcW w:w="3827" w:type="dxa"/>
            <w:tcBorders>
              <w:left w:val="single" w:sz="6" w:space="0" w:color="auto"/>
              <w:right w:val="single" w:sz="6" w:space="0" w:color="auto"/>
            </w:tcBorders>
            <w:shd w:val="pct15" w:color="auto" w:fill="FFFFFF"/>
          </w:tcPr>
          <w:p w14:paraId="26D4C351" w14:textId="77777777" w:rsidR="00010E2E" w:rsidRDefault="00010E2E">
            <w:pPr>
              <w:pStyle w:val="BodyText"/>
              <w:tabs>
                <w:tab w:val="left" w:pos="0"/>
                <w:tab w:val="left" w:pos="2250"/>
              </w:tabs>
              <w:spacing w:before="120" w:after="0" w:line="312" w:lineRule="auto"/>
              <w:ind w:left="0"/>
              <w:rPr>
                <w:rFonts w:ascii="Arial" w:hAnsi="Arial" w:cs="Arial"/>
                <w:b/>
                <w:bCs/>
                <w:caps/>
                <w:sz w:val="18"/>
                <w:szCs w:val="18"/>
              </w:rPr>
            </w:pPr>
            <w:r>
              <w:rPr>
                <w:rFonts w:ascii="Arial" w:hAnsi="Arial" w:cs="Arial"/>
                <w:b/>
                <w:bCs/>
                <w:sz w:val="18"/>
                <w:szCs w:val="18"/>
              </w:rPr>
              <w:t>Volume to weight (t/m</w:t>
            </w:r>
            <w:r>
              <w:rPr>
                <w:rFonts w:ascii="Arial" w:hAnsi="Arial" w:cs="Arial"/>
                <w:b/>
                <w:bCs/>
                <w:sz w:val="18"/>
                <w:szCs w:val="18"/>
                <w:vertAlign w:val="superscript"/>
              </w:rPr>
              <w:t>3</w:t>
            </w:r>
            <w:r>
              <w:rPr>
                <w:rFonts w:ascii="Arial" w:hAnsi="Arial" w:cs="Arial"/>
                <w:b/>
                <w:bCs/>
                <w:sz w:val="18"/>
                <w:szCs w:val="18"/>
              </w:rPr>
              <w:t>)</w:t>
            </w:r>
          </w:p>
        </w:tc>
      </w:tr>
      <w:tr w:rsidR="00010E2E" w14:paraId="0613B186" w14:textId="77777777">
        <w:tc>
          <w:tcPr>
            <w:tcW w:w="4188" w:type="dxa"/>
          </w:tcPr>
          <w:p w14:paraId="35E29034"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Paper</w:t>
            </w:r>
          </w:p>
        </w:tc>
        <w:tc>
          <w:tcPr>
            <w:tcW w:w="3827" w:type="dxa"/>
          </w:tcPr>
          <w:p w14:paraId="4FC2FA93"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0.09</w:t>
            </w:r>
          </w:p>
        </w:tc>
      </w:tr>
      <w:tr w:rsidR="00010E2E" w14:paraId="30D6F726" w14:textId="77777777">
        <w:tc>
          <w:tcPr>
            <w:tcW w:w="4188" w:type="dxa"/>
          </w:tcPr>
          <w:p w14:paraId="3C8E062C"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Textiles</w:t>
            </w:r>
          </w:p>
        </w:tc>
        <w:tc>
          <w:tcPr>
            <w:tcW w:w="3827" w:type="dxa"/>
          </w:tcPr>
          <w:p w14:paraId="2F8F8B12"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0.14</w:t>
            </w:r>
          </w:p>
        </w:tc>
      </w:tr>
      <w:tr w:rsidR="00010E2E" w14:paraId="3DBAA5C0" w14:textId="77777777">
        <w:tc>
          <w:tcPr>
            <w:tcW w:w="4188" w:type="dxa"/>
          </w:tcPr>
          <w:p w14:paraId="41D43CD4"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Wood</w:t>
            </w:r>
          </w:p>
        </w:tc>
        <w:tc>
          <w:tcPr>
            <w:tcW w:w="3827" w:type="dxa"/>
          </w:tcPr>
          <w:p w14:paraId="062E6A8F"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0.15</w:t>
            </w:r>
          </w:p>
        </w:tc>
      </w:tr>
      <w:tr w:rsidR="00010E2E" w14:paraId="0F944B05" w14:textId="77777777">
        <w:tc>
          <w:tcPr>
            <w:tcW w:w="4188" w:type="dxa"/>
          </w:tcPr>
          <w:p w14:paraId="3C757A43"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Garden</w:t>
            </w:r>
          </w:p>
        </w:tc>
        <w:tc>
          <w:tcPr>
            <w:tcW w:w="3827" w:type="dxa"/>
          </w:tcPr>
          <w:p w14:paraId="01E02912"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0.24</w:t>
            </w:r>
          </w:p>
        </w:tc>
      </w:tr>
      <w:tr w:rsidR="00010E2E" w14:paraId="066C4AFB" w14:textId="77777777">
        <w:tc>
          <w:tcPr>
            <w:tcW w:w="4188" w:type="dxa"/>
          </w:tcPr>
          <w:p w14:paraId="470EAA21" w14:textId="77777777" w:rsidR="00010E2E" w:rsidRDefault="00010E2E">
            <w:pPr>
              <w:pStyle w:val="BodyText"/>
              <w:tabs>
                <w:tab w:val="left" w:pos="0"/>
                <w:tab w:val="left" w:pos="2250"/>
              </w:tabs>
              <w:spacing w:before="120" w:after="0" w:line="312" w:lineRule="auto"/>
              <w:ind w:left="0"/>
              <w:rPr>
                <w:rFonts w:ascii="Arial" w:hAnsi="Arial" w:cs="Arial"/>
                <w:caps/>
                <w:sz w:val="18"/>
                <w:szCs w:val="18"/>
              </w:rPr>
            </w:pPr>
            <w:r>
              <w:rPr>
                <w:rFonts w:ascii="Arial" w:hAnsi="Arial" w:cs="Arial"/>
                <w:sz w:val="18"/>
                <w:szCs w:val="18"/>
              </w:rPr>
              <w:t>Food</w:t>
            </w:r>
          </w:p>
        </w:tc>
        <w:tc>
          <w:tcPr>
            <w:tcW w:w="3827" w:type="dxa"/>
          </w:tcPr>
          <w:p w14:paraId="18A17E05"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0.50</w:t>
            </w:r>
          </w:p>
        </w:tc>
      </w:tr>
      <w:tr w:rsidR="00010E2E" w14:paraId="4A37E1EB" w14:textId="77777777">
        <w:tc>
          <w:tcPr>
            <w:tcW w:w="4188" w:type="dxa"/>
          </w:tcPr>
          <w:p w14:paraId="03852567"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Sludge (wet)</w:t>
            </w:r>
          </w:p>
        </w:tc>
        <w:tc>
          <w:tcPr>
            <w:tcW w:w="3827" w:type="dxa"/>
            <w:vAlign w:val="bottom"/>
          </w:tcPr>
          <w:p w14:paraId="25F885F5"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0.72</w:t>
            </w:r>
          </w:p>
        </w:tc>
      </w:tr>
      <w:tr w:rsidR="00010E2E" w14:paraId="3A09B506" w14:textId="77777777">
        <w:tc>
          <w:tcPr>
            <w:tcW w:w="4188" w:type="dxa"/>
          </w:tcPr>
          <w:p w14:paraId="5CE2CD03"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Nappies</w:t>
            </w:r>
          </w:p>
        </w:tc>
        <w:tc>
          <w:tcPr>
            <w:tcW w:w="3827" w:type="dxa"/>
            <w:vAlign w:val="bottom"/>
          </w:tcPr>
          <w:p w14:paraId="03DFC15D"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0.39</w:t>
            </w:r>
          </w:p>
        </w:tc>
      </w:tr>
      <w:tr w:rsidR="00010E2E" w14:paraId="4314567E" w14:textId="77777777">
        <w:tc>
          <w:tcPr>
            <w:tcW w:w="4188" w:type="dxa"/>
          </w:tcPr>
          <w:p w14:paraId="21726F6A"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Rubber and leather</w:t>
            </w:r>
          </w:p>
        </w:tc>
        <w:tc>
          <w:tcPr>
            <w:tcW w:w="3827" w:type="dxa"/>
            <w:vAlign w:val="bottom"/>
          </w:tcPr>
          <w:p w14:paraId="3E28ECE1"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0.14</w:t>
            </w:r>
          </w:p>
        </w:tc>
      </w:tr>
    </w:tbl>
    <w:p w14:paraId="7E47090B" w14:textId="77777777" w:rsidR="00010E2E" w:rsidRDefault="00010E2E">
      <w:pPr>
        <w:pStyle w:val="BodyText"/>
        <w:tabs>
          <w:tab w:val="left" w:pos="0"/>
          <w:tab w:val="left" w:pos="2250"/>
        </w:tabs>
        <w:spacing w:before="120" w:after="0" w:line="312" w:lineRule="auto"/>
        <w:ind w:left="0"/>
        <w:rPr>
          <w:rFonts w:ascii="Arial" w:hAnsi="Arial" w:cs="Arial"/>
        </w:rPr>
      </w:pPr>
    </w:p>
    <w:p w14:paraId="0632F312" w14:textId="77777777" w:rsidR="0035230B" w:rsidRDefault="0035230B">
      <w:pPr>
        <w:pStyle w:val="BodyText"/>
        <w:tabs>
          <w:tab w:val="left" w:pos="0"/>
          <w:tab w:val="left" w:pos="2250"/>
        </w:tabs>
        <w:spacing w:before="120" w:after="0" w:line="312" w:lineRule="auto"/>
        <w:ind w:left="0"/>
        <w:rPr>
          <w:rFonts w:ascii="Arial" w:hAnsi="Arial" w:cs="Arial"/>
        </w:rPr>
      </w:pPr>
    </w:p>
    <w:p w14:paraId="6BA3A79E" w14:textId="77777777" w:rsidR="00010E2E" w:rsidRDefault="00010E2E">
      <w:pPr>
        <w:pStyle w:val="BodyText"/>
        <w:tabs>
          <w:tab w:val="left" w:pos="0"/>
          <w:tab w:val="left" w:pos="2250"/>
        </w:tabs>
        <w:spacing w:before="120" w:after="0" w:line="312" w:lineRule="auto"/>
        <w:ind w:left="0"/>
        <w:rPr>
          <w:rFonts w:ascii="Arial" w:hAnsi="Arial" w:cs="Arial"/>
        </w:rPr>
      </w:pPr>
    </w:p>
    <w:p w14:paraId="00624D71" w14:textId="77777777" w:rsidR="00B34AA4" w:rsidRDefault="00B34AA4">
      <w:pPr>
        <w:pStyle w:val="BodyText"/>
        <w:tabs>
          <w:tab w:val="left" w:pos="0"/>
          <w:tab w:val="left" w:pos="2250"/>
        </w:tabs>
        <w:spacing w:before="120" w:after="0" w:line="312" w:lineRule="auto"/>
        <w:ind w:left="0"/>
        <w:rPr>
          <w:rFonts w:ascii="Arial" w:hAnsi="Arial" w:cs="Arial"/>
        </w:rPr>
      </w:pPr>
    </w:p>
    <w:p w14:paraId="56419109" w14:textId="77777777" w:rsidR="00B34AA4" w:rsidRDefault="00B34AA4">
      <w:pPr>
        <w:pStyle w:val="BodyText"/>
        <w:tabs>
          <w:tab w:val="left" w:pos="0"/>
          <w:tab w:val="left" w:pos="2250"/>
        </w:tabs>
        <w:spacing w:before="120" w:after="0" w:line="312" w:lineRule="auto"/>
        <w:ind w:left="0"/>
        <w:rPr>
          <w:rFonts w:ascii="Arial" w:hAnsi="Arial" w:cs="Arial"/>
        </w:rPr>
      </w:pPr>
    </w:p>
    <w:p w14:paraId="2C65EDD3" w14:textId="77777777" w:rsidR="00010E2E" w:rsidRDefault="00010E2E">
      <w:pPr>
        <w:pStyle w:val="Heading1"/>
        <w:numPr>
          <w:ilvl w:val="0"/>
          <w:numId w:val="0"/>
        </w:numPr>
        <w:tabs>
          <w:tab w:val="left" w:pos="0"/>
          <w:tab w:val="left" w:pos="2250"/>
        </w:tabs>
        <w:spacing w:before="120" w:after="0" w:line="312" w:lineRule="auto"/>
        <w:rPr>
          <w:rFonts w:ascii="Arial" w:hAnsi="Arial" w:cs="Arial"/>
        </w:rPr>
      </w:pPr>
      <w:bookmarkStart w:id="138" w:name="_Toc391646684"/>
      <w:r>
        <w:rPr>
          <w:rFonts w:ascii="Arial" w:hAnsi="Arial" w:cs="Arial"/>
        </w:rPr>
        <w:t>Appendix 3   Carbon content factors for fuels</w:t>
      </w:r>
      <w:bookmarkEnd w:id="138"/>
    </w:p>
    <w:p w14:paraId="5D617A90" w14:textId="77777777" w:rsidR="00010E2E" w:rsidRDefault="00010E2E">
      <w:pPr>
        <w:pStyle w:val="BodyText"/>
        <w:tabs>
          <w:tab w:val="left" w:pos="0"/>
          <w:tab w:val="left" w:pos="2250"/>
        </w:tabs>
        <w:spacing w:before="120" w:after="0" w:line="312" w:lineRule="auto"/>
        <w:ind w:left="0"/>
        <w:rPr>
          <w:rFonts w:ascii="Arial" w:hAnsi="Arial" w:cs="Arial"/>
        </w:rPr>
      </w:pPr>
    </w:p>
    <w:p w14:paraId="7FA7C804" w14:textId="77777777" w:rsidR="00010E2E" w:rsidRPr="002C0599" w:rsidRDefault="00010E2E">
      <w:pPr>
        <w:pStyle w:val="Note"/>
        <w:ind w:left="0"/>
        <w:rPr>
          <w:rFonts w:ascii="Arial" w:hAnsi="Arial" w:cs="Arial"/>
        </w:rPr>
      </w:pPr>
      <w:r w:rsidRPr="002C0599">
        <w:rPr>
          <w:rFonts w:ascii="Arial" w:hAnsi="Arial" w:cs="Arial"/>
          <w:i/>
        </w:rPr>
        <w:t>Note 1   </w:t>
      </w:r>
      <w:r w:rsidRPr="002C0599">
        <w:rPr>
          <w:rFonts w:ascii="Arial" w:hAnsi="Arial" w:cs="Arial"/>
        </w:rPr>
        <w:t>Under the 2006 IPCC Guidelines, the emission factor for CO</w:t>
      </w:r>
      <w:r w:rsidRPr="002C0599">
        <w:rPr>
          <w:rStyle w:val="Subscript"/>
          <w:rFonts w:ascii="Arial" w:hAnsi="Arial" w:cs="Arial"/>
        </w:rPr>
        <w:t>2</w:t>
      </w:r>
      <w:r w:rsidRPr="002C0599">
        <w:rPr>
          <w:rFonts w:ascii="Arial" w:hAnsi="Arial" w:cs="Arial"/>
        </w:rPr>
        <w:t xml:space="preserve"> released from combustion of biogenic carbon fuels is zero.</w:t>
      </w:r>
    </w:p>
    <w:p w14:paraId="62B13C42" w14:textId="77777777" w:rsidR="00010E2E" w:rsidRPr="002C0599" w:rsidRDefault="00010E2E">
      <w:pPr>
        <w:pStyle w:val="Note"/>
        <w:ind w:left="0"/>
        <w:rPr>
          <w:rFonts w:ascii="Arial" w:hAnsi="Arial" w:cs="Arial"/>
        </w:rPr>
      </w:pPr>
      <w:r w:rsidRPr="002C0599">
        <w:rPr>
          <w:rFonts w:ascii="Arial" w:hAnsi="Arial" w:cs="Arial"/>
          <w:i/>
        </w:rPr>
        <w:t>Note 2   </w:t>
      </w:r>
      <w:r w:rsidRPr="002C0599">
        <w:rPr>
          <w:rFonts w:ascii="Arial" w:hAnsi="Arial" w:cs="Arial"/>
        </w:rPr>
        <w:t>The carbon content factors in this Schedule do not include relevant oxidation factors.</w:t>
      </w:r>
    </w:p>
    <w:p w14:paraId="4461A517" w14:textId="77777777" w:rsidR="00D76245" w:rsidRDefault="00D76245" w:rsidP="00C23E3B">
      <w:pPr>
        <w:pStyle w:val="Caption"/>
        <w:rPr>
          <w:highlight w:val="yellow"/>
        </w:rPr>
      </w:pPr>
    </w:p>
    <w:p w14:paraId="71073985" w14:textId="77777777" w:rsidR="00D76245" w:rsidRDefault="00491D41" w:rsidP="00C23E3B">
      <w:pPr>
        <w:pStyle w:val="Caption"/>
      </w:pPr>
      <w:bookmarkStart w:id="139" w:name="_Toc391646716"/>
      <w:bookmarkStart w:id="140" w:name="_Toc485728140"/>
      <w:r>
        <w:t xml:space="preserve">Table </w:t>
      </w:r>
      <w:r w:rsidR="00DC52E0">
        <w:fldChar w:fldCharType="begin"/>
      </w:r>
      <w:r>
        <w:instrText xml:space="preserve"> SEQ Table \* ARABIC </w:instrText>
      </w:r>
      <w:r w:rsidR="00DC52E0">
        <w:fldChar w:fldCharType="separate"/>
      </w:r>
      <w:r w:rsidR="004A1330">
        <w:rPr>
          <w:noProof/>
        </w:rPr>
        <w:t>32</w:t>
      </w:r>
      <w:r w:rsidR="00DC52E0">
        <w:fldChar w:fldCharType="end"/>
      </w:r>
      <w:r w:rsidR="00010E2E">
        <w:t>: Carbon content factors - Solid fuels and certain coal based products</w:t>
      </w:r>
      <w:bookmarkEnd w:id="139"/>
      <w:bookmarkEnd w:id="140"/>
      <w:r w:rsidR="00010E2E">
        <w:t xml:space="preserve">      </w:t>
      </w:r>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5772"/>
        <w:gridCol w:w="1941"/>
      </w:tblGrid>
      <w:tr w:rsidR="00010E2E" w:rsidRPr="0099789B" w14:paraId="59BE0383" w14:textId="77777777">
        <w:trPr>
          <w:cantSplit/>
          <w:tblHeader/>
        </w:trPr>
        <w:tc>
          <w:tcPr>
            <w:tcW w:w="6360" w:type="dxa"/>
            <w:gridSpan w:val="2"/>
            <w:shd w:val="clear" w:color="auto" w:fill="D9D9D9"/>
          </w:tcPr>
          <w:p w14:paraId="3D369F2C" w14:textId="77777777" w:rsidR="00010E2E" w:rsidRPr="0099789B" w:rsidRDefault="00010E2E">
            <w:pPr>
              <w:pStyle w:val="TableCentre"/>
              <w:jc w:val="left"/>
              <w:rPr>
                <w:rStyle w:val="Strong"/>
                <w:rFonts w:cs="Arial"/>
                <w:sz w:val="18"/>
                <w:szCs w:val="18"/>
              </w:rPr>
            </w:pPr>
            <w:r w:rsidRPr="0099789B">
              <w:rPr>
                <w:rStyle w:val="Strong"/>
                <w:rFonts w:cs="Arial"/>
                <w:sz w:val="18"/>
                <w:szCs w:val="18"/>
              </w:rPr>
              <w:t>Fuel type</w:t>
            </w:r>
          </w:p>
        </w:tc>
        <w:tc>
          <w:tcPr>
            <w:tcW w:w="1941" w:type="dxa"/>
            <w:shd w:val="clear" w:color="auto" w:fill="D9D9D9"/>
          </w:tcPr>
          <w:p w14:paraId="73853E90" w14:textId="77777777" w:rsidR="00010E2E" w:rsidRPr="0099789B" w:rsidRDefault="00010E2E">
            <w:pPr>
              <w:pStyle w:val="Heading1Like"/>
              <w:spacing w:before="60" w:after="0"/>
              <w:jc w:val="center"/>
              <w:rPr>
                <w:rFonts w:ascii="Arial" w:hAnsi="Arial"/>
                <w:sz w:val="18"/>
                <w:szCs w:val="18"/>
              </w:rPr>
            </w:pPr>
            <w:r w:rsidRPr="0099789B">
              <w:rPr>
                <w:rFonts w:ascii="Arial" w:hAnsi="Arial"/>
                <w:caps w:val="0"/>
                <w:sz w:val="18"/>
                <w:szCs w:val="18"/>
              </w:rPr>
              <w:t>Carbon content factor</w:t>
            </w:r>
            <w:r w:rsidRPr="0099789B">
              <w:rPr>
                <w:rFonts w:ascii="Arial" w:hAnsi="Arial"/>
                <w:caps w:val="0"/>
                <w:sz w:val="18"/>
                <w:szCs w:val="18"/>
              </w:rPr>
              <w:br/>
              <w:t>tC/t fuel</w:t>
            </w:r>
          </w:p>
        </w:tc>
      </w:tr>
      <w:tr w:rsidR="00010E2E" w:rsidRPr="0099789B" w14:paraId="43B5D615" w14:textId="77777777">
        <w:trPr>
          <w:cantSplit/>
          <w:trHeight w:val="20"/>
        </w:trPr>
        <w:tc>
          <w:tcPr>
            <w:tcW w:w="8301" w:type="dxa"/>
            <w:gridSpan w:val="3"/>
          </w:tcPr>
          <w:p w14:paraId="6999935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Solid fossil fuels</w:t>
            </w:r>
          </w:p>
        </w:tc>
      </w:tr>
      <w:tr w:rsidR="00010E2E" w:rsidRPr="0099789B" w14:paraId="41A06FB8" w14:textId="77777777">
        <w:trPr>
          <w:cantSplit/>
          <w:trHeight w:val="20"/>
        </w:trPr>
        <w:tc>
          <w:tcPr>
            <w:tcW w:w="588" w:type="dxa"/>
            <w:tcBorders>
              <w:right w:val="single" w:sz="4" w:space="0" w:color="FFFFFF"/>
            </w:tcBorders>
          </w:tcPr>
          <w:p w14:paraId="31E2B1E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0D0CA2E" w14:textId="77777777" w:rsidR="00010E2E" w:rsidRPr="0099789B" w:rsidRDefault="00217515">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Bituminous coal</w:t>
            </w:r>
          </w:p>
        </w:tc>
        <w:tc>
          <w:tcPr>
            <w:tcW w:w="1941" w:type="dxa"/>
          </w:tcPr>
          <w:p w14:paraId="44E934EE"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0.663</w:t>
            </w:r>
          </w:p>
        </w:tc>
      </w:tr>
      <w:tr w:rsidR="000832C4" w:rsidRPr="0099789B" w14:paraId="3693BA18" w14:textId="77777777">
        <w:trPr>
          <w:cantSplit/>
          <w:trHeight w:val="20"/>
        </w:trPr>
        <w:tc>
          <w:tcPr>
            <w:tcW w:w="588" w:type="dxa"/>
            <w:tcBorders>
              <w:right w:val="single" w:sz="4" w:space="0" w:color="FFFFFF"/>
            </w:tcBorders>
          </w:tcPr>
          <w:p w14:paraId="42EAB6D7" w14:textId="77777777" w:rsidR="000832C4" w:rsidRPr="0099789B" w:rsidRDefault="000832C4">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1753D82" w14:textId="77777777" w:rsidR="000832C4" w:rsidRPr="0099789B" w:rsidRDefault="000832C4">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Sub-bituminous coal</w:t>
            </w:r>
          </w:p>
        </w:tc>
        <w:tc>
          <w:tcPr>
            <w:tcW w:w="1941" w:type="dxa"/>
          </w:tcPr>
          <w:p w14:paraId="49C5712D" w14:textId="77777777" w:rsidR="000832C4" w:rsidRPr="0099789B" w:rsidRDefault="000832C4"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0.51</w:t>
            </w:r>
            <w:r w:rsidR="009451DC">
              <w:rPr>
                <w:rFonts w:ascii="Arial" w:hAnsi="Arial" w:cs="Arial"/>
                <w:sz w:val="18"/>
                <w:szCs w:val="18"/>
              </w:rPr>
              <w:t>5</w:t>
            </w:r>
          </w:p>
        </w:tc>
      </w:tr>
      <w:tr w:rsidR="000832C4" w:rsidRPr="0099789B" w14:paraId="0D9F32D7" w14:textId="77777777">
        <w:trPr>
          <w:cantSplit/>
          <w:trHeight w:val="20"/>
        </w:trPr>
        <w:tc>
          <w:tcPr>
            <w:tcW w:w="588" w:type="dxa"/>
            <w:tcBorders>
              <w:right w:val="single" w:sz="4" w:space="0" w:color="FFFFFF"/>
            </w:tcBorders>
          </w:tcPr>
          <w:p w14:paraId="5C56F007" w14:textId="77777777" w:rsidR="000832C4" w:rsidRPr="0099789B" w:rsidRDefault="000832C4">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E43170F" w14:textId="77777777" w:rsidR="000832C4" w:rsidRPr="0099789B" w:rsidRDefault="000832C4">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Anthracite</w:t>
            </w:r>
          </w:p>
        </w:tc>
        <w:tc>
          <w:tcPr>
            <w:tcW w:w="1941" w:type="dxa"/>
          </w:tcPr>
          <w:p w14:paraId="3ED85E1C" w14:textId="77777777" w:rsidR="000832C4" w:rsidRPr="0099789B" w:rsidRDefault="000832C4"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0.712</w:t>
            </w:r>
          </w:p>
        </w:tc>
      </w:tr>
      <w:tr w:rsidR="00010E2E" w:rsidRPr="0099789B" w14:paraId="1F349935" w14:textId="77777777">
        <w:trPr>
          <w:cantSplit/>
          <w:trHeight w:val="20"/>
        </w:trPr>
        <w:tc>
          <w:tcPr>
            <w:tcW w:w="588" w:type="dxa"/>
            <w:tcBorders>
              <w:right w:val="single" w:sz="4" w:space="0" w:color="FFFFFF"/>
            </w:tcBorders>
          </w:tcPr>
          <w:p w14:paraId="2F6E0D5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C02950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Brown coal</w:t>
            </w:r>
          </w:p>
        </w:tc>
        <w:tc>
          <w:tcPr>
            <w:tcW w:w="1941" w:type="dxa"/>
          </w:tcPr>
          <w:p w14:paraId="7A1BFFE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0.260</w:t>
            </w:r>
          </w:p>
        </w:tc>
      </w:tr>
      <w:tr w:rsidR="00010E2E" w:rsidRPr="0099789B" w14:paraId="23FD407F" w14:textId="77777777">
        <w:trPr>
          <w:cantSplit/>
          <w:trHeight w:val="20"/>
        </w:trPr>
        <w:tc>
          <w:tcPr>
            <w:tcW w:w="588" w:type="dxa"/>
            <w:tcBorders>
              <w:right w:val="single" w:sz="4" w:space="0" w:color="FFFFFF"/>
            </w:tcBorders>
          </w:tcPr>
          <w:p w14:paraId="3FE655E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27A5BF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Coking coal </w:t>
            </w:r>
          </w:p>
        </w:tc>
        <w:tc>
          <w:tcPr>
            <w:tcW w:w="1941" w:type="dxa"/>
          </w:tcPr>
          <w:p w14:paraId="2B277697"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0.752</w:t>
            </w:r>
          </w:p>
        </w:tc>
      </w:tr>
      <w:tr w:rsidR="00010E2E" w:rsidRPr="0099789B" w14:paraId="27ADC815" w14:textId="77777777">
        <w:trPr>
          <w:cantSplit/>
          <w:trHeight w:val="20"/>
        </w:trPr>
        <w:tc>
          <w:tcPr>
            <w:tcW w:w="588" w:type="dxa"/>
            <w:tcBorders>
              <w:right w:val="single" w:sz="4" w:space="0" w:color="FFFFFF"/>
            </w:tcBorders>
          </w:tcPr>
          <w:p w14:paraId="45A0171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9A3783F" w14:textId="77777777" w:rsidR="00010E2E" w:rsidRPr="0099789B" w:rsidRDefault="009D0B79">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w:t>
            </w:r>
            <w:r w:rsidR="00010E2E" w:rsidRPr="0099789B">
              <w:rPr>
                <w:rFonts w:ascii="Arial" w:hAnsi="Arial" w:cs="Arial"/>
                <w:sz w:val="18"/>
                <w:szCs w:val="18"/>
              </w:rPr>
              <w:t>oal briquettes</w:t>
            </w:r>
          </w:p>
        </w:tc>
        <w:tc>
          <w:tcPr>
            <w:tcW w:w="1941" w:type="dxa"/>
          </w:tcPr>
          <w:p w14:paraId="7F48D20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0.574</w:t>
            </w:r>
          </w:p>
        </w:tc>
      </w:tr>
      <w:tr w:rsidR="00010E2E" w:rsidRPr="0099789B" w14:paraId="00FA7B58" w14:textId="77777777">
        <w:trPr>
          <w:cantSplit/>
          <w:trHeight w:val="20"/>
        </w:trPr>
        <w:tc>
          <w:tcPr>
            <w:tcW w:w="588" w:type="dxa"/>
            <w:tcBorders>
              <w:right w:val="single" w:sz="4" w:space="0" w:color="FFFFFF"/>
            </w:tcBorders>
          </w:tcPr>
          <w:p w14:paraId="50E1A55F"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B91FBE2" w14:textId="77777777" w:rsidR="00010E2E" w:rsidRPr="0099789B" w:rsidRDefault="009D0B79">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Coal</w:t>
            </w:r>
            <w:r w:rsidR="00010E2E" w:rsidRPr="0099789B">
              <w:rPr>
                <w:rFonts w:ascii="Arial" w:hAnsi="Arial" w:cs="Arial"/>
                <w:sz w:val="18"/>
                <w:szCs w:val="18"/>
              </w:rPr>
              <w:t xml:space="preserve"> coke</w:t>
            </w:r>
          </w:p>
        </w:tc>
        <w:tc>
          <w:tcPr>
            <w:tcW w:w="1941" w:type="dxa"/>
          </w:tcPr>
          <w:p w14:paraId="2A790D28"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0.789</w:t>
            </w:r>
          </w:p>
        </w:tc>
      </w:tr>
      <w:tr w:rsidR="00010E2E" w:rsidRPr="0099789B" w14:paraId="65C41BE1" w14:textId="77777777">
        <w:trPr>
          <w:cantSplit/>
          <w:trHeight w:val="20"/>
        </w:trPr>
        <w:tc>
          <w:tcPr>
            <w:tcW w:w="588" w:type="dxa"/>
            <w:tcBorders>
              <w:right w:val="single" w:sz="4" w:space="0" w:color="FFFFFF"/>
            </w:tcBorders>
          </w:tcPr>
          <w:p w14:paraId="245AA13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3E7379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Coal tar</w:t>
            </w:r>
          </w:p>
        </w:tc>
        <w:tc>
          <w:tcPr>
            <w:tcW w:w="1941" w:type="dxa"/>
          </w:tcPr>
          <w:p w14:paraId="184D3A59"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0.837</w:t>
            </w:r>
          </w:p>
        </w:tc>
      </w:tr>
      <w:tr w:rsidR="00010E2E" w:rsidRPr="0099789B" w14:paraId="6CA0230F" w14:textId="77777777">
        <w:trPr>
          <w:cantSplit/>
          <w:trHeight w:val="20"/>
        </w:trPr>
        <w:tc>
          <w:tcPr>
            <w:tcW w:w="588" w:type="dxa"/>
            <w:tcBorders>
              <w:right w:val="single" w:sz="4" w:space="0" w:color="FFFFFF"/>
            </w:tcBorders>
          </w:tcPr>
          <w:p w14:paraId="2F6E85B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3E0D9F4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Solid fossil fuels other than those mentioned above</w:t>
            </w:r>
          </w:p>
        </w:tc>
        <w:tc>
          <w:tcPr>
            <w:tcW w:w="1941" w:type="dxa"/>
          </w:tcPr>
          <w:p w14:paraId="2BA4CED9"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0.574</w:t>
            </w:r>
          </w:p>
        </w:tc>
      </w:tr>
      <w:tr w:rsidR="00010E2E" w:rsidRPr="0099789B" w14:paraId="5431AFB0" w14:textId="77777777">
        <w:trPr>
          <w:cantSplit/>
          <w:trHeight w:val="20"/>
        </w:trPr>
        <w:tc>
          <w:tcPr>
            <w:tcW w:w="8301" w:type="dxa"/>
            <w:gridSpan w:val="3"/>
          </w:tcPr>
          <w:p w14:paraId="566DFA8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Fuels derived from recycled materials</w:t>
            </w:r>
          </w:p>
        </w:tc>
      </w:tr>
      <w:tr w:rsidR="00010E2E" w:rsidRPr="0099789B" w14:paraId="6A34601D" w14:textId="77777777">
        <w:trPr>
          <w:cantSplit/>
          <w:trHeight w:val="20"/>
        </w:trPr>
        <w:tc>
          <w:tcPr>
            <w:tcW w:w="588" w:type="dxa"/>
            <w:tcBorders>
              <w:right w:val="single" w:sz="4" w:space="0" w:color="FFFFFF"/>
            </w:tcBorders>
          </w:tcPr>
          <w:p w14:paraId="112DE32F"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871394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Industrial materials and tyres that are derived from fossil fuels, if recycled and combusted to produce heat or electricity</w:t>
            </w:r>
          </w:p>
        </w:tc>
        <w:tc>
          <w:tcPr>
            <w:tcW w:w="1941" w:type="dxa"/>
          </w:tcPr>
          <w:p w14:paraId="1AAFED6E"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0.585</w:t>
            </w:r>
          </w:p>
        </w:tc>
      </w:tr>
      <w:tr w:rsidR="00010E2E" w:rsidRPr="0099789B" w14:paraId="0D964505" w14:textId="77777777">
        <w:trPr>
          <w:cantSplit/>
          <w:trHeight w:val="20"/>
        </w:trPr>
        <w:tc>
          <w:tcPr>
            <w:tcW w:w="588" w:type="dxa"/>
            <w:tcBorders>
              <w:right w:val="single" w:sz="4" w:space="0" w:color="FFFFFF"/>
            </w:tcBorders>
          </w:tcPr>
          <w:p w14:paraId="7658197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CD6D24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Non</w:t>
            </w:r>
            <w:r w:rsidRPr="0099789B">
              <w:rPr>
                <w:rFonts w:ascii="Arial" w:hAnsi="Arial" w:cs="Arial"/>
                <w:sz w:val="18"/>
                <w:szCs w:val="18"/>
              </w:rPr>
              <w:noBreakHyphen/>
              <w:t>biomass municipal materials, if recycled and combusted to produce heat or electricity</w:t>
            </w:r>
          </w:p>
        </w:tc>
        <w:tc>
          <w:tcPr>
            <w:tcW w:w="1941" w:type="dxa"/>
          </w:tcPr>
          <w:p w14:paraId="484D25F0"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0.250</w:t>
            </w:r>
          </w:p>
          <w:p w14:paraId="52B53A9C"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p>
        </w:tc>
      </w:tr>
      <w:tr w:rsidR="00010E2E" w:rsidRPr="0099789B" w14:paraId="088EF9AB" w14:textId="77777777">
        <w:trPr>
          <w:cantSplit/>
          <w:trHeight w:val="20"/>
        </w:trPr>
        <w:tc>
          <w:tcPr>
            <w:tcW w:w="8301" w:type="dxa"/>
            <w:gridSpan w:val="3"/>
          </w:tcPr>
          <w:p w14:paraId="58E29C3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Primary solid biomass fuels</w:t>
            </w:r>
          </w:p>
        </w:tc>
      </w:tr>
      <w:tr w:rsidR="00010E2E" w:rsidRPr="0099789B" w14:paraId="2DA1C177" w14:textId="77777777">
        <w:trPr>
          <w:cantSplit/>
          <w:trHeight w:val="20"/>
        </w:trPr>
        <w:tc>
          <w:tcPr>
            <w:tcW w:w="588" w:type="dxa"/>
            <w:tcBorders>
              <w:right w:val="single" w:sz="4" w:space="0" w:color="FFFFFF"/>
            </w:tcBorders>
          </w:tcPr>
          <w:p w14:paraId="700CBDE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33DD59C0"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Dry wood </w:t>
            </w:r>
          </w:p>
        </w:tc>
        <w:tc>
          <w:tcPr>
            <w:tcW w:w="1941" w:type="dxa"/>
          </w:tcPr>
          <w:p w14:paraId="4DC8DBB6"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250883DC" w14:textId="77777777">
        <w:trPr>
          <w:cantSplit/>
          <w:trHeight w:val="20"/>
        </w:trPr>
        <w:tc>
          <w:tcPr>
            <w:tcW w:w="588" w:type="dxa"/>
            <w:tcBorders>
              <w:right w:val="single" w:sz="4" w:space="0" w:color="FFFFFF"/>
            </w:tcBorders>
          </w:tcPr>
          <w:p w14:paraId="3187BEB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3FACF73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Green and air dried wood</w:t>
            </w:r>
          </w:p>
        </w:tc>
        <w:tc>
          <w:tcPr>
            <w:tcW w:w="1941" w:type="dxa"/>
          </w:tcPr>
          <w:p w14:paraId="69957077"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0C273C93" w14:textId="77777777">
        <w:trPr>
          <w:cantSplit/>
          <w:trHeight w:val="20"/>
        </w:trPr>
        <w:tc>
          <w:tcPr>
            <w:tcW w:w="588" w:type="dxa"/>
            <w:tcBorders>
              <w:right w:val="single" w:sz="4" w:space="0" w:color="FFFFFF"/>
            </w:tcBorders>
          </w:tcPr>
          <w:p w14:paraId="52B767B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112945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Sulphite lyes</w:t>
            </w:r>
          </w:p>
        </w:tc>
        <w:tc>
          <w:tcPr>
            <w:tcW w:w="1941" w:type="dxa"/>
          </w:tcPr>
          <w:p w14:paraId="20D0FA8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3DF47D7B" w14:textId="77777777">
        <w:trPr>
          <w:cantSplit/>
          <w:trHeight w:val="20"/>
        </w:trPr>
        <w:tc>
          <w:tcPr>
            <w:tcW w:w="588" w:type="dxa"/>
            <w:tcBorders>
              <w:right w:val="single" w:sz="4" w:space="0" w:color="FFFFFF"/>
            </w:tcBorders>
          </w:tcPr>
          <w:p w14:paraId="584B83B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4097CD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Bagasse</w:t>
            </w:r>
          </w:p>
        </w:tc>
        <w:tc>
          <w:tcPr>
            <w:tcW w:w="1941" w:type="dxa"/>
          </w:tcPr>
          <w:p w14:paraId="5B073120"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0FAF4E2C" w14:textId="77777777">
        <w:trPr>
          <w:cantSplit/>
          <w:trHeight w:val="20"/>
        </w:trPr>
        <w:tc>
          <w:tcPr>
            <w:tcW w:w="588" w:type="dxa"/>
            <w:tcBorders>
              <w:right w:val="single" w:sz="4" w:space="0" w:color="FFFFFF"/>
            </w:tcBorders>
          </w:tcPr>
          <w:p w14:paraId="677E9DE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F7C153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Biomass municipal and industrial materials, if recycled and combusted to produce heat or electricity</w:t>
            </w:r>
          </w:p>
        </w:tc>
        <w:tc>
          <w:tcPr>
            <w:tcW w:w="1941" w:type="dxa"/>
          </w:tcPr>
          <w:p w14:paraId="56477DBB"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5DB2F4EA" w14:textId="77777777">
        <w:trPr>
          <w:cantSplit/>
          <w:trHeight w:val="20"/>
        </w:trPr>
        <w:tc>
          <w:tcPr>
            <w:tcW w:w="588" w:type="dxa"/>
            <w:tcBorders>
              <w:right w:val="single" w:sz="4" w:space="0" w:color="FFFFFF"/>
            </w:tcBorders>
          </w:tcPr>
          <w:p w14:paraId="53569C4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3CB6A67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Charcoal </w:t>
            </w:r>
          </w:p>
        </w:tc>
        <w:tc>
          <w:tcPr>
            <w:tcW w:w="1941" w:type="dxa"/>
          </w:tcPr>
          <w:p w14:paraId="461CE611"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51A53A64" w14:textId="77777777">
        <w:trPr>
          <w:cantSplit/>
          <w:trHeight w:val="20"/>
        </w:trPr>
        <w:tc>
          <w:tcPr>
            <w:tcW w:w="588" w:type="dxa"/>
            <w:tcBorders>
              <w:right w:val="single" w:sz="4" w:space="0" w:color="FFFFFF"/>
            </w:tcBorders>
          </w:tcPr>
          <w:p w14:paraId="356A8D9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3C60EB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Primary solid biomass fuels other than those mentioned above</w:t>
            </w:r>
          </w:p>
        </w:tc>
        <w:tc>
          <w:tcPr>
            <w:tcW w:w="1941" w:type="dxa"/>
          </w:tcPr>
          <w:p w14:paraId="702EE21C"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bl>
    <w:p w14:paraId="4ABDEFA9" w14:textId="77777777" w:rsidR="00554938" w:rsidRDefault="00554938" w:rsidP="00554938">
      <w:pPr>
        <w:pStyle w:val="TableNote"/>
        <w:rPr>
          <w:szCs w:val="16"/>
        </w:rPr>
      </w:pPr>
      <w:r>
        <w:t xml:space="preserve">Source: </w:t>
      </w:r>
      <w:r>
        <w:rPr>
          <w:szCs w:val="16"/>
        </w:rPr>
        <w:t>National Greenhouse and Energy Reporting (Measurement) Determination 20</w:t>
      </w:r>
      <w:r w:rsidR="003E2C15">
        <w:rPr>
          <w:szCs w:val="16"/>
        </w:rPr>
        <w:t>08</w:t>
      </w:r>
      <w:r>
        <w:rPr>
          <w:szCs w:val="16"/>
        </w:rPr>
        <w:t xml:space="preserve"> </w:t>
      </w:r>
      <w:r w:rsidR="001A7BA5">
        <w:rPr>
          <w:szCs w:val="16"/>
        </w:rPr>
        <w:t>(Schedule 3, Part 1</w:t>
      </w:r>
      <w:r>
        <w:rPr>
          <w:szCs w:val="16"/>
        </w:rPr>
        <w:t>).</w:t>
      </w:r>
    </w:p>
    <w:p w14:paraId="739FFE5C" w14:textId="77777777" w:rsidR="00D76245" w:rsidRDefault="00D76245" w:rsidP="00C23E3B">
      <w:pPr>
        <w:pStyle w:val="Caption"/>
      </w:pPr>
    </w:p>
    <w:p w14:paraId="5BEDF2B3" w14:textId="77777777" w:rsidR="00D76245" w:rsidRDefault="00226707" w:rsidP="00C23E3B">
      <w:pPr>
        <w:pStyle w:val="Caption"/>
      </w:pPr>
      <w:r>
        <w:br w:type="page"/>
      </w:r>
      <w:bookmarkStart w:id="141" w:name="_Toc391646717"/>
      <w:bookmarkStart w:id="142" w:name="_Toc485728141"/>
      <w:r w:rsidR="00491D41">
        <w:t xml:space="preserve">Table </w:t>
      </w:r>
      <w:r w:rsidR="00DC52E0">
        <w:fldChar w:fldCharType="begin"/>
      </w:r>
      <w:r w:rsidR="00491D41">
        <w:instrText xml:space="preserve"> SEQ Table \* ARABIC </w:instrText>
      </w:r>
      <w:r w:rsidR="00DC52E0">
        <w:fldChar w:fldCharType="separate"/>
      </w:r>
      <w:r w:rsidR="004A1330">
        <w:rPr>
          <w:noProof/>
        </w:rPr>
        <w:t>33</w:t>
      </w:r>
      <w:r w:rsidR="00DC52E0">
        <w:fldChar w:fldCharType="end"/>
      </w:r>
      <w:r w:rsidR="00010E2E">
        <w:t>: Carbon content factors - Gaseous fuels</w:t>
      </w:r>
      <w:bookmarkEnd w:id="141"/>
      <w:bookmarkEnd w:id="142"/>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5772"/>
        <w:gridCol w:w="1941"/>
      </w:tblGrid>
      <w:tr w:rsidR="00010E2E" w:rsidRPr="0099789B" w14:paraId="741E0558" w14:textId="77777777">
        <w:trPr>
          <w:cantSplit/>
          <w:trHeight w:val="20"/>
          <w:tblHeader/>
        </w:trPr>
        <w:tc>
          <w:tcPr>
            <w:tcW w:w="6360" w:type="dxa"/>
            <w:gridSpan w:val="2"/>
            <w:shd w:val="clear" w:color="auto" w:fill="CCCCCC"/>
          </w:tcPr>
          <w:p w14:paraId="5284B0CA" w14:textId="77777777" w:rsidR="00010E2E" w:rsidRPr="0099789B" w:rsidRDefault="00010E2E">
            <w:pPr>
              <w:pStyle w:val="TableCentre"/>
              <w:keepNext/>
              <w:jc w:val="left"/>
              <w:rPr>
                <w:rStyle w:val="Strong"/>
                <w:rFonts w:cs="Arial"/>
                <w:sz w:val="18"/>
                <w:szCs w:val="18"/>
              </w:rPr>
            </w:pPr>
            <w:r w:rsidRPr="0099789B">
              <w:rPr>
                <w:rStyle w:val="Strong"/>
                <w:rFonts w:cs="Arial"/>
                <w:sz w:val="18"/>
                <w:szCs w:val="18"/>
              </w:rPr>
              <w:t>Fuel type</w:t>
            </w:r>
          </w:p>
        </w:tc>
        <w:tc>
          <w:tcPr>
            <w:tcW w:w="1941" w:type="dxa"/>
            <w:shd w:val="clear" w:color="auto" w:fill="CCCCCC"/>
          </w:tcPr>
          <w:p w14:paraId="477F2793" w14:textId="77777777" w:rsidR="00010E2E" w:rsidRPr="0099789B" w:rsidRDefault="00010E2E">
            <w:pPr>
              <w:pStyle w:val="Heading1Like"/>
              <w:spacing w:before="60" w:after="0"/>
              <w:jc w:val="center"/>
              <w:rPr>
                <w:rFonts w:ascii="Arial" w:hAnsi="Arial"/>
                <w:sz w:val="18"/>
                <w:szCs w:val="18"/>
              </w:rPr>
            </w:pPr>
            <w:r w:rsidRPr="0099789B">
              <w:rPr>
                <w:rFonts w:ascii="Arial" w:hAnsi="Arial"/>
                <w:caps w:val="0"/>
                <w:sz w:val="18"/>
                <w:szCs w:val="18"/>
              </w:rPr>
              <w:t>Carbon content factor</w:t>
            </w:r>
            <w:r w:rsidRPr="0099789B">
              <w:rPr>
                <w:rFonts w:ascii="Arial" w:hAnsi="Arial"/>
                <w:caps w:val="0"/>
                <w:sz w:val="18"/>
                <w:szCs w:val="18"/>
              </w:rPr>
              <w:br/>
              <w:t>(tC/m</w:t>
            </w:r>
            <w:r w:rsidRPr="0099789B">
              <w:rPr>
                <w:rFonts w:ascii="Arial" w:hAnsi="Arial"/>
                <w:caps w:val="0"/>
                <w:sz w:val="18"/>
                <w:szCs w:val="18"/>
                <w:vertAlign w:val="superscript"/>
              </w:rPr>
              <w:t>3</w:t>
            </w:r>
            <w:r w:rsidRPr="0099789B">
              <w:rPr>
                <w:rFonts w:ascii="Arial" w:hAnsi="Arial"/>
                <w:caps w:val="0"/>
                <w:sz w:val="18"/>
                <w:szCs w:val="18"/>
              </w:rPr>
              <w:t xml:space="preserve"> of fuel unless otherwise specified)</w:t>
            </w:r>
          </w:p>
        </w:tc>
      </w:tr>
      <w:tr w:rsidR="00010E2E" w:rsidRPr="0099789B" w14:paraId="6769E1C3" w14:textId="77777777">
        <w:trPr>
          <w:cantSplit/>
          <w:trHeight w:val="20"/>
        </w:trPr>
        <w:tc>
          <w:tcPr>
            <w:tcW w:w="8301" w:type="dxa"/>
            <w:gridSpan w:val="3"/>
          </w:tcPr>
          <w:p w14:paraId="3EC0041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Gaseous fossil fuels</w:t>
            </w:r>
          </w:p>
        </w:tc>
      </w:tr>
      <w:tr w:rsidR="00010E2E" w:rsidRPr="0099789B" w14:paraId="02B73AD5" w14:textId="77777777">
        <w:trPr>
          <w:cantSplit/>
          <w:trHeight w:val="20"/>
        </w:trPr>
        <w:tc>
          <w:tcPr>
            <w:tcW w:w="588" w:type="dxa"/>
            <w:tcBorders>
              <w:right w:val="single" w:sz="4" w:space="0" w:color="FFFFFF"/>
            </w:tcBorders>
          </w:tcPr>
          <w:p w14:paraId="6406D5E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548AD2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Natural gas if distributed in a pipeline</w:t>
            </w:r>
          </w:p>
        </w:tc>
        <w:tc>
          <w:tcPr>
            <w:tcW w:w="1941" w:type="dxa"/>
          </w:tcPr>
          <w:p w14:paraId="0027676C"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5.52 × 10</w:t>
            </w:r>
            <w:r w:rsidRPr="0099789B">
              <w:rPr>
                <w:rFonts w:ascii="Arial" w:hAnsi="Arial" w:cs="Arial"/>
                <w:sz w:val="18"/>
                <w:szCs w:val="18"/>
                <w:vertAlign w:val="superscript"/>
              </w:rPr>
              <w:noBreakHyphen/>
              <w:t>4</w:t>
            </w:r>
          </w:p>
        </w:tc>
      </w:tr>
      <w:tr w:rsidR="00010E2E" w:rsidRPr="0099789B" w14:paraId="573E0AD1" w14:textId="77777777">
        <w:trPr>
          <w:cantSplit/>
          <w:trHeight w:val="20"/>
        </w:trPr>
        <w:tc>
          <w:tcPr>
            <w:tcW w:w="588" w:type="dxa"/>
            <w:tcBorders>
              <w:right w:val="single" w:sz="4" w:space="0" w:color="FFFFFF"/>
            </w:tcBorders>
          </w:tcPr>
          <w:p w14:paraId="4A58B16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799C0B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Coal seam methane that is captured for combustion</w:t>
            </w:r>
          </w:p>
        </w:tc>
        <w:tc>
          <w:tcPr>
            <w:tcW w:w="1941" w:type="dxa"/>
          </w:tcPr>
          <w:p w14:paraId="70827136"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5.</w:t>
            </w:r>
            <w:r w:rsidR="00EA3542">
              <w:rPr>
                <w:rFonts w:ascii="Arial" w:hAnsi="Arial" w:cs="Arial"/>
                <w:sz w:val="18"/>
                <w:szCs w:val="18"/>
              </w:rPr>
              <w:t>52</w:t>
            </w:r>
            <w:r w:rsidRPr="0099789B">
              <w:rPr>
                <w:rFonts w:ascii="Arial" w:hAnsi="Arial" w:cs="Arial"/>
                <w:sz w:val="18"/>
                <w:szCs w:val="18"/>
              </w:rPr>
              <w:t xml:space="preserve"> × 10</w:t>
            </w:r>
            <w:r w:rsidRPr="0099789B">
              <w:rPr>
                <w:rFonts w:ascii="Arial" w:hAnsi="Arial" w:cs="Arial"/>
                <w:sz w:val="18"/>
                <w:szCs w:val="18"/>
                <w:vertAlign w:val="superscript"/>
              </w:rPr>
              <w:noBreakHyphen/>
              <w:t>4</w:t>
            </w:r>
          </w:p>
        </w:tc>
      </w:tr>
      <w:tr w:rsidR="00010E2E" w:rsidRPr="0099789B" w14:paraId="121D061C" w14:textId="77777777">
        <w:trPr>
          <w:cantSplit/>
          <w:trHeight w:val="20"/>
        </w:trPr>
        <w:tc>
          <w:tcPr>
            <w:tcW w:w="588" w:type="dxa"/>
            <w:tcBorders>
              <w:right w:val="single" w:sz="4" w:space="0" w:color="FFFFFF"/>
            </w:tcBorders>
          </w:tcPr>
          <w:p w14:paraId="0231EAD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00AF7B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Coal mine waste gas that is captured for combustion</w:t>
            </w:r>
          </w:p>
        </w:tc>
        <w:tc>
          <w:tcPr>
            <w:tcW w:w="1941" w:type="dxa"/>
          </w:tcPr>
          <w:p w14:paraId="4FCD4D58"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5.34 × 10</w:t>
            </w:r>
            <w:r w:rsidRPr="0099789B">
              <w:rPr>
                <w:rFonts w:ascii="Arial" w:hAnsi="Arial" w:cs="Arial"/>
                <w:sz w:val="18"/>
                <w:szCs w:val="18"/>
                <w:vertAlign w:val="superscript"/>
              </w:rPr>
              <w:noBreakHyphen/>
              <w:t>4</w:t>
            </w:r>
          </w:p>
        </w:tc>
      </w:tr>
      <w:tr w:rsidR="00010E2E" w:rsidRPr="0099789B" w14:paraId="632CC6CC" w14:textId="77777777">
        <w:trPr>
          <w:cantSplit/>
          <w:trHeight w:val="20"/>
        </w:trPr>
        <w:tc>
          <w:tcPr>
            <w:tcW w:w="588" w:type="dxa"/>
            <w:tcBorders>
              <w:right w:val="single" w:sz="4" w:space="0" w:color="FFFFFF"/>
            </w:tcBorders>
          </w:tcPr>
          <w:p w14:paraId="7E800B2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139C79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Compressed natural gas</w:t>
            </w:r>
          </w:p>
        </w:tc>
        <w:tc>
          <w:tcPr>
            <w:tcW w:w="1941" w:type="dxa"/>
          </w:tcPr>
          <w:p w14:paraId="70AACAA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5.52 × 10</w:t>
            </w:r>
            <w:r w:rsidRPr="0099789B">
              <w:rPr>
                <w:rFonts w:ascii="Arial" w:hAnsi="Arial" w:cs="Arial"/>
                <w:sz w:val="18"/>
                <w:szCs w:val="18"/>
                <w:vertAlign w:val="superscript"/>
              </w:rPr>
              <w:noBreakHyphen/>
              <w:t>4</w:t>
            </w:r>
          </w:p>
        </w:tc>
      </w:tr>
      <w:tr w:rsidR="00010E2E" w:rsidRPr="0099789B" w14:paraId="4FFCF29E" w14:textId="77777777">
        <w:trPr>
          <w:cantSplit/>
          <w:trHeight w:val="20"/>
        </w:trPr>
        <w:tc>
          <w:tcPr>
            <w:tcW w:w="588" w:type="dxa"/>
            <w:tcBorders>
              <w:right w:val="single" w:sz="4" w:space="0" w:color="FFFFFF"/>
            </w:tcBorders>
          </w:tcPr>
          <w:p w14:paraId="47D37C6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758D57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Unprocessed natural gas</w:t>
            </w:r>
          </w:p>
        </w:tc>
        <w:tc>
          <w:tcPr>
            <w:tcW w:w="1941" w:type="dxa"/>
          </w:tcPr>
          <w:p w14:paraId="4601D95F"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5.52 × 10</w:t>
            </w:r>
            <w:r w:rsidRPr="0099789B">
              <w:rPr>
                <w:rFonts w:ascii="Arial" w:hAnsi="Arial" w:cs="Arial"/>
                <w:sz w:val="18"/>
                <w:szCs w:val="18"/>
                <w:vertAlign w:val="superscript"/>
              </w:rPr>
              <w:noBreakHyphen/>
              <w:t>4</w:t>
            </w:r>
          </w:p>
        </w:tc>
      </w:tr>
      <w:tr w:rsidR="00010E2E" w:rsidRPr="0099789B" w14:paraId="3BB3440B" w14:textId="77777777">
        <w:trPr>
          <w:cantSplit/>
          <w:trHeight w:val="20"/>
        </w:trPr>
        <w:tc>
          <w:tcPr>
            <w:tcW w:w="588" w:type="dxa"/>
            <w:tcBorders>
              <w:right w:val="single" w:sz="4" w:space="0" w:color="FFFFFF"/>
            </w:tcBorders>
          </w:tcPr>
          <w:p w14:paraId="35F480D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FFEE7E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Ethane</w:t>
            </w:r>
          </w:p>
        </w:tc>
        <w:tc>
          <w:tcPr>
            <w:tcW w:w="1941" w:type="dxa"/>
          </w:tcPr>
          <w:p w14:paraId="71148806" w14:textId="77777777" w:rsidR="00010E2E" w:rsidRPr="0099789B" w:rsidRDefault="004C132B"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9.70</w:t>
            </w:r>
            <w:r w:rsidR="00010E2E" w:rsidRPr="0099789B">
              <w:rPr>
                <w:rFonts w:ascii="Arial" w:hAnsi="Arial" w:cs="Arial"/>
                <w:sz w:val="18"/>
                <w:szCs w:val="18"/>
              </w:rPr>
              <w:t xml:space="preserve"> × 10</w:t>
            </w:r>
            <w:r w:rsidR="00010E2E" w:rsidRPr="0099789B">
              <w:rPr>
                <w:rFonts w:ascii="Arial" w:hAnsi="Arial" w:cs="Arial"/>
                <w:sz w:val="18"/>
                <w:szCs w:val="18"/>
                <w:vertAlign w:val="superscript"/>
              </w:rPr>
              <w:noBreakHyphen/>
              <w:t>4</w:t>
            </w:r>
          </w:p>
        </w:tc>
      </w:tr>
      <w:tr w:rsidR="00010E2E" w:rsidRPr="0099789B" w14:paraId="2018F1FD" w14:textId="77777777">
        <w:trPr>
          <w:cantSplit/>
          <w:trHeight w:val="20"/>
        </w:trPr>
        <w:tc>
          <w:tcPr>
            <w:tcW w:w="588" w:type="dxa"/>
            <w:tcBorders>
              <w:right w:val="single" w:sz="4" w:space="0" w:color="FFFFFF"/>
            </w:tcBorders>
          </w:tcPr>
          <w:p w14:paraId="6746293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9A73CC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Coke oven gas</w:t>
            </w:r>
          </w:p>
        </w:tc>
        <w:tc>
          <w:tcPr>
            <w:tcW w:w="1941" w:type="dxa"/>
          </w:tcPr>
          <w:p w14:paraId="6FD3816C"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1.83 × 10</w:t>
            </w:r>
            <w:r w:rsidRPr="0099789B">
              <w:rPr>
                <w:rFonts w:ascii="Arial" w:hAnsi="Arial" w:cs="Arial"/>
                <w:sz w:val="18"/>
                <w:szCs w:val="18"/>
                <w:vertAlign w:val="superscript"/>
              </w:rPr>
              <w:noBreakHyphen/>
              <w:t>4</w:t>
            </w:r>
          </w:p>
        </w:tc>
      </w:tr>
      <w:tr w:rsidR="00010E2E" w:rsidRPr="0099789B" w14:paraId="119DED1B" w14:textId="77777777">
        <w:trPr>
          <w:cantSplit/>
          <w:trHeight w:val="20"/>
        </w:trPr>
        <w:tc>
          <w:tcPr>
            <w:tcW w:w="588" w:type="dxa"/>
            <w:tcBorders>
              <w:right w:val="single" w:sz="4" w:space="0" w:color="FFFFFF"/>
            </w:tcBorders>
          </w:tcPr>
          <w:p w14:paraId="7808442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02BBD2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Blast furnace gas</w:t>
            </w:r>
          </w:p>
        </w:tc>
        <w:tc>
          <w:tcPr>
            <w:tcW w:w="1941" w:type="dxa"/>
          </w:tcPr>
          <w:p w14:paraId="59043624"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2.55 × 10</w:t>
            </w:r>
            <w:r w:rsidRPr="0099789B">
              <w:rPr>
                <w:rFonts w:ascii="Arial" w:hAnsi="Arial" w:cs="Arial"/>
                <w:sz w:val="18"/>
                <w:szCs w:val="18"/>
                <w:vertAlign w:val="superscript"/>
              </w:rPr>
              <w:noBreakHyphen/>
              <w:t>4</w:t>
            </w:r>
          </w:p>
        </w:tc>
      </w:tr>
      <w:tr w:rsidR="00010E2E" w:rsidRPr="0099789B" w14:paraId="38B0CF21" w14:textId="77777777">
        <w:trPr>
          <w:cantSplit/>
          <w:trHeight w:val="20"/>
        </w:trPr>
        <w:tc>
          <w:tcPr>
            <w:tcW w:w="588" w:type="dxa"/>
            <w:tcBorders>
              <w:right w:val="single" w:sz="4" w:space="0" w:color="FFFFFF"/>
            </w:tcBorders>
          </w:tcPr>
          <w:p w14:paraId="729DD91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C9ED8C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Town gas</w:t>
            </w:r>
          </w:p>
        </w:tc>
        <w:tc>
          <w:tcPr>
            <w:tcW w:w="1941" w:type="dxa"/>
          </w:tcPr>
          <w:p w14:paraId="64EED00F"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6.41 × 10</w:t>
            </w:r>
            <w:r w:rsidRPr="0099789B">
              <w:rPr>
                <w:rFonts w:ascii="Arial" w:hAnsi="Arial" w:cs="Arial"/>
                <w:sz w:val="18"/>
                <w:szCs w:val="18"/>
                <w:vertAlign w:val="superscript"/>
              </w:rPr>
              <w:noBreakHyphen/>
              <w:t>4</w:t>
            </w:r>
          </w:p>
        </w:tc>
      </w:tr>
      <w:tr w:rsidR="00010E2E" w:rsidRPr="0099789B" w14:paraId="4E39E332" w14:textId="77777777">
        <w:trPr>
          <w:cantSplit/>
          <w:trHeight w:val="20"/>
        </w:trPr>
        <w:tc>
          <w:tcPr>
            <w:tcW w:w="588" w:type="dxa"/>
            <w:tcBorders>
              <w:right w:val="single" w:sz="4" w:space="0" w:color="FFFFFF"/>
            </w:tcBorders>
          </w:tcPr>
          <w:p w14:paraId="7206EC3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EA1FCC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Liquefied natural gas</w:t>
            </w:r>
          </w:p>
        </w:tc>
        <w:tc>
          <w:tcPr>
            <w:tcW w:w="1941" w:type="dxa"/>
          </w:tcPr>
          <w:p w14:paraId="776A9097"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0.355 tC/kL of fuel</w:t>
            </w:r>
          </w:p>
        </w:tc>
      </w:tr>
      <w:tr w:rsidR="00010E2E" w:rsidRPr="0099789B" w14:paraId="1B5C222A" w14:textId="77777777">
        <w:trPr>
          <w:cantSplit/>
          <w:trHeight w:val="20"/>
        </w:trPr>
        <w:tc>
          <w:tcPr>
            <w:tcW w:w="588" w:type="dxa"/>
            <w:tcBorders>
              <w:right w:val="single" w:sz="4" w:space="0" w:color="FFFFFF"/>
            </w:tcBorders>
          </w:tcPr>
          <w:p w14:paraId="1DCDD63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C9F1E9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Gaseous fossil fuels other than those mentioned above</w:t>
            </w:r>
          </w:p>
        </w:tc>
        <w:tc>
          <w:tcPr>
            <w:tcW w:w="1941" w:type="dxa"/>
          </w:tcPr>
          <w:p w14:paraId="7F668729"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5.52 × 10</w:t>
            </w:r>
            <w:r w:rsidRPr="0099789B">
              <w:rPr>
                <w:rFonts w:ascii="Arial" w:hAnsi="Arial" w:cs="Arial"/>
                <w:sz w:val="18"/>
                <w:szCs w:val="18"/>
                <w:vertAlign w:val="superscript"/>
              </w:rPr>
              <w:noBreakHyphen/>
              <w:t>4</w:t>
            </w:r>
          </w:p>
        </w:tc>
      </w:tr>
      <w:tr w:rsidR="00010E2E" w:rsidRPr="0099789B" w14:paraId="2139B5B6" w14:textId="77777777">
        <w:trPr>
          <w:cantSplit/>
          <w:trHeight w:val="20"/>
        </w:trPr>
        <w:tc>
          <w:tcPr>
            <w:tcW w:w="8301" w:type="dxa"/>
            <w:gridSpan w:val="3"/>
          </w:tcPr>
          <w:p w14:paraId="389758E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Biogas captured for combustion</w:t>
            </w:r>
          </w:p>
        </w:tc>
      </w:tr>
      <w:tr w:rsidR="00010E2E" w:rsidRPr="0099789B" w14:paraId="0337B0DE" w14:textId="77777777">
        <w:trPr>
          <w:cantSplit/>
          <w:trHeight w:val="20"/>
        </w:trPr>
        <w:tc>
          <w:tcPr>
            <w:tcW w:w="588" w:type="dxa"/>
            <w:tcBorders>
              <w:right w:val="single" w:sz="4" w:space="0" w:color="FFFFFF"/>
            </w:tcBorders>
          </w:tcPr>
          <w:p w14:paraId="3DFCD84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80177A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Landfill biogas (methane) that is captured for combustion</w:t>
            </w:r>
          </w:p>
        </w:tc>
        <w:tc>
          <w:tcPr>
            <w:tcW w:w="1941" w:type="dxa"/>
          </w:tcPr>
          <w:p w14:paraId="5B5912EB"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30F1FDB6" w14:textId="77777777">
        <w:trPr>
          <w:cantSplit/>
          <w:trHeight w:val="20"/>
        </w:trPr>
        <w:tc>
          <w:tcPr>
            <w:tcW w:w="588" w:type="dxa"/>
            <w:tcBorders>
              <w:right w:val="single" w:sz="4" w:space="0" w:color="FFFFFF"/>
            </w:tcBorders>
          </w:tcPr>
          <w:p w14:paraId="0A88F2E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2DBD2A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Sludge biogas (methane) that is captured for combustion </w:t>
            </w:r>
          </w:p>
        </w:tc>
        <w:tc>
          <w:tcPr>
            <w:tcW w:w="1941" w:type="dxa"/>
          </w:tcPr>
          <w:p w14:paraId="062E1540"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66B7801B" w14:textId="77777777">
        <w:trPr>
          <w:cantSplit/>
          <w:trHeight w:val="20"/>
        </w:trPr>
        <w:tc>
          <w:tcPr>
            <w:tcW w:w="588" w:type="dxa"/>
            <w:tcBorders>
              <w:right w:val="single" w:sz="4" w:space="0" w:color="FFFFFF"/>
            </w:tcBorders>
          </w:tcPr>
          <w:p w14:paraId="4E9EF13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29839A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A biogas (methane) that is captured for combustion, other than those mentioned above</w:t>
            </w:r>
          </w:p>
        </w:tc>
        <w:tc>
          <w:tcPr>
            <w:tcW w:w="1941" w:type="dxa"/>
          </w:tcPr>
          <w:p w14:paraId="64E956E5"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bl>
    <w:p w14:paraId="28BA81BF" w14:textId="77777777" w:rsidR="001A7BA5" w:rsidRDefault="00554938" w:rsidP="001A7BA5">
      <w:pPr>
        <w:pStyle w:val="TableNote"/>
        <w:rPr>
          <w:szCs w:val="16"/>
        </w:rPr>
      </w:pPr>
      <w:r>
        <w:t xml:space="preserve">Source: </w:t>
      </w:r>
      <w:r>
        <w:rPr>
          <w:szCs w:val="16"/>
        </w:rPr>
        <w:t>National Greenhouse and Energy Reporting (Measurement) Determination 200</w:t>
      </w:r>
      <w:r w:rsidR="00D179DC">
        <w:rPr>
          <w:szCs w:val="16"/>
        </w:rPr>
        <w:t>8</w:t>
      </w:r>
      <w:r>
        <w:rPr>
          <w:szCs w:val="16"/>
        </w:rPr>
        <w:t xml:space="preserve"> </w:t>
      </w:r>
      <w:r w:rsidR="001A7BA5">
        <w:rPr>
          <w:szCs w:val="16"/>
        </w:rPr>
        <w:t>(Schedule 3, Part 2).</w:t>
      </w:r>
    </w:p>
    <w:p w14:paraId="1610527B" w14:textId="77777777" w:rsidR="00554938" w:rsidRDefault="00554938" w:rsidP="00554938">
      <w:pPr>
        <w:pStyle w:val="TableNote"/>
      </w:pPr>
      <w:r>
        <w:rPr>
          <w:szCs w:val="16"/>
        </w:rPr>
        <w:t>.</w:t>
      </w:r>
    </w:p>
    <w:p w14:paraId="0B390736" w14:textId="77777777" w:rsidR="00D76245" w:rsidRDefault="00491D41" w:rsidP="00C23E3B">
      <w:pPr>
        <w:pStyle w:val="Caption"/>
      </w:pPr>
      <w:bookmarkStart w:id="143" w:name="_Toc391646718"/>
      <w:bookmarkStart w:id="144" w:name="_Toc485728142"/>
      <w:r>
        <w:t xml:space="preserve">Table </w:t>
      </w:r>
      <w:r w:rsidR="00DC52E0">
        <w:fldChar w:fldCharType="begin"/>
      </w:r>
      <w:r>
        <w:instrText xml:space="preserve"> SEQ Table \* ARABIC </w:instrText>
      </w:r>
      <w:r w:rsidR="00DC52E0">
        <w:fldChar w:fldCharType="separate"/>
      </w:r>
      <w:r w:rsidR="004A1330">
        <w:rPr>
          <w:noProof/>
        </w:rPr>
        <w:t>34</w:t>
      </w:r>
      <w:r w:rsidR="00DC52E0">
        <w:fldChar w:fldCharType="end"/>
      </w:r>
      <w:r w:rsidR="00010E2E">
        <w:t>: Carbon content factors - Liquid fuels and certain petroleum based products</w:t>
      </w:r>
      <w:bookmarkEnd w:id="143"/>
      <w:bookmarkEnd w:id="144"/>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5772"/>
        <w:gridCol w:w="1941"/>
      </w:tblGrid>
      <w:tr w:rsidR="00010E2E" w:rsidRPr="0099789B" w14:paraId="3F31F99A" w14:textId="77777777">
        <w:trPr>
          <w:cantSplit/>
          <w:trHeight w:val="20"/>
          <w:tblHeader/>
        </w:trPr>
        <w:tc>
          <w:tcPr>
            <w:tcW w:w="6360" w:type="dxa"/>
            <w:gridSpan w:val="2"/>
            <w:shd w:val="clear" w:color="auto" w:fill="D9D9D9"/>
          </w:tcPr>
          <w:p w14:paraId="25D663E2" w14:textId="77777777" w:rsidR="00010E2E" w:rsidRPr="0099789B" w:rsidRDefault="00010E2E">
            <w:pPr>
              <w:pStyle w:val="TableCentre"/>
              <w:jc w:val="left"/>
              <w:rPr>
                <w:rStyle w:val="Strong"/>
                <w:rFonts w:cs="Arial"/>
                <w:sz w:val="18"/>
                <w:szCs w:val="18"/>
              </w:rPr>
            </w:pPr>
            <w:r w:rsidRPr="0099789B">
              <w:rPr>
                <w:rStyle w:val="Strong"/>
                <w:rFonts w:cs="Arial"/>
                <w:sz w:val="18"/>
                <w:szCs w:val="18"/>
              </w:rPr>
              <w:t>Fuel type</w:t>
            </w:r>
          </w:p>
        </w:tc>
        <w:tc>
          <w:tcPr>
            <w:tcW w:w="1941" w:type="dxa"/>
            <w:shd w:val="clear" w:color="auto" w:fill="D9D9D9"/>
          </w:tcPr>
          <w:p w14:paraId="2CC29099" w14:textId="77777777" w:rsidR="00010E2E" w:rsidRPr="0099789B" w:rsidRDefault="00010E2E">
            <w:pPr>
              <w:pStyle w:val="Heading1Like"/>
              <w:spacing w:before="60" w:after="0"/>
              <w:jc w:val="center"/>
              <w:rPr>
                <w:rFonts w:ascii="Arial" w:hAnsi="Arial"/>
                <w:sz w:val="18"/>
                <w:szCs w:val="18"/>
              </w:rPr>
            </w:pPr>
            <w:r w:rsidRPr="0099789B">
              <w:rPr>
                <w:rFonts w:ascii="Arial" w:hAnsi="Arial"/>
                <w:caps w:val="0"/>
                <w:sz w:val="18"/>
                <w:szCs w:val="18"/>
              </w:rPr>
              <w:t>Carbon content factor</w:t>
            </w:r>
            <w:r w:rsidRPr="0099789B">
              <w:rPr>
                <w:rFonts w:ascii="Arial" w:hAnsi="Arial"/>
                <w:caps w:val="0"/>
                <w:sz w:val="18"/>
                <w:szCs w:val="18"/>
              </w:rPr>
              <w:br/>
              <w:t>(tC/kL of fuel</w:t>
            </w:r>
            <w:r w:rsidRPr="0099789B">
              <w:rPr>
                <w:rFonts w:ascii="Arial" w:hAnsi="Arial"/>
                <w:caps w:val="0"/>
                <w:sz w:val="18"/>
                <w:szCs w:val="18"/>
              </w:rPr>
              <w:br/>
              <w:t>unless otherwise specified)</w:t>
            </w:r>
          </w:p>
        </w:tc>
      </w:tr>
      <w:tr w:rsidR="00010E2E" w:rsidRPr="0099789B" w14:paraId="138F0C31" w14:textId="77777777">
        <w:trPr>
          <w:cantSplit/>
          <w:trHeight w:val="20"/>
        </w:trPr>
        <w:tc>
          <w:tcPr>
            <w:tcW w:w="8301" w:type="dxa"/>
            <w:gridSpan w:val="3"/>
          </w:tcPr>
          <w:p w14:paraId="7B414F60"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Petroleum based oils and petroleum based greases</w:t>
            </w:r>
          </w:p>
        </w:tc>
      </w:tr>
      <w:tr w:rsidR="00010E2E" w:rsidRPr="0099789B" w14:paraId="6EEA6443" w14:textId="77777777">
        <w:trPr>
          <w:cantSplit/>
          <w:trHeight w:val="20"/>
        </w:trPr>
        <w:tc>
          <w:tcPr>
            <w:tcW w:w="588" w:type="dxa"/>
            <w:tcBorders>
              <w:right w:val="single" w:sz="4" w:space="0" w:color="FFFFFF"/>
            </w:tcBorders>
          </w:tcPr>
          <w:p w14:paraId="71D3601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519ECE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Petroleum based oils (other than petroleum based oils used as fuel, eg lubricants)</w:t>
            </w:r>
          </w:p>
        </w:tc>
        <w:tc>
          <w:tcPr>
            <w:tcW w:w="1941" w:type="dxa"/>
          </w:tcPr>
          <w:p w14:paraId="5EA15944"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0.737</w:t>
            </w:r>
          </w:p>
        </w:tc>
      </w:tr>
      <w:tr w:rsidR="00010E2E" w:rsidRPr="0099789B" w14:paraId="48D8A651" w14:textId="77777777">
        <w:trPr>
          <w:cantSplit/>
          <w:trHeight w:val="20"/>
        </w:trPr>
        <w:tc>
          <w:tcPr>
            <w:tcW w:w="588" w:type="dxa"/>
            <w:tcBorders>
              <w:right w:val="single" w:sz="4" w:space="0" w:color="FFFFFF"/>
            </w:tcBorders>
          </w:tcPr>
          <w:p w14:paraId="3115410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76C3F3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Petroleum based greases</w:t>
            </w:r>
          </w:p>
        </w:tc>
        <w:tc>
          <w:tcPr>
            <w:tcW w:w="1941" w:type="dxa"/>
          </w:tcPr>
          <w:p w14:paraId="2EC14DF6"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0.737</w:t>
            </w:r>
          </w:p>
        </w:tc>
      </w:tr>
      <w:tr w:rsidR="00010E2E" w:rsidRPr="0099789B" w14:paraId="264A6DEC" w14:textId="77777777">
        <w:trPr>
          <w:cantSplit/>
          <w:trHeight w:val="20"/>
        </w:trPr>
        <w:tc>
          <w:tcPr>
            <w:tcW w:w="8301" w:type="dxa"/>
            <w:gridSpan w:val="3"/>
          </w:tcPr>
          <w:p w14:paraId="3A7143FF"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Petroleum based products other than petroleum based oils and petroleum based greases</w:t>
            </w:r>
          </w:p>
        </w:tc>
      </w:tr>
      <w:tr w:rsidR="00010E2E" w:rsidRPr="0099789B" w14:paraId="28FD392F" w14:textId="77777777">
        <w:trPr>
          <w:cantSplit/>
          <w:trHeight w:val="20"/>
        </w:trPr>
        <w:tc>
          <w:tcPr>
            <w:tcW w:w="588" w:type="dxa"/>
            <w:tcBorders>
              <w:right w:val="single" w:sz="4" w:space="0" w:color="FFFFFF"/>
            </w:tcBorders>
          </w:tcPr>
          <w:p w14:paraId="1067B9E0"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652704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Crude oil including crude oil condensates</w:t>
            </w:r>
          </w:p>
        </w:tc>
        <w:tc>
          <w:tcPr>
            <w:tcW w:w="1941" w:type="dxa"/>
          </w:tcPr>
          <w:p w14:paraId="53A9826C"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0.861 tC/t fuel</w:t>
            </w:r>
          </w:p>
        </w:tc>
      </w:tr>
      <w:tr w:rsidR="00010E2E" w:rsidRPr="0099789B" w14:paraId="4605A981" w14:textId="77777777">
        <w:trPr>
          <w:cantSplit/>
          <w:trHeight w:val="20"/>
        </w:trPr>
        <w:tc>
          <w:tcPr>
            <w:tcW w:w="588" w:type="dxa"/>
            <w:tcBorders>
              <w:right w:val="single" w:sz="4" w:space="0" w:color="FFFFFF"/>
            </w:tcBorders>
          </w:tcPr>
          <w:p w14:paraId="158792A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D11A43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Other natural gas liquids </w:t>
            </w:r>
          </w:p>
        </w:tc>
        <w:tc>
          <w:tcPr>
            <w:tcW w:w="1941" w:type="dxa"/>
          </w:tcPr>
          <w:p w14:paraId="78D60834"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0.774 tC/t fuel</w:t>
            </w:r>
          </w:p>
        </w:tc>
      </w:tr>
      <w:tr w:rsidR="00010E2E" w:rsidRPr="0099789B" w14:paraId="77EACE56" w14:textId="77777777">
        <w:trPr>
          <w:cantSplit/>
          <w:trHeight w:val="20"/>
        </w:trPr>
        <w:tc>
          <w:tcPr>
            <w:tcW w:w="588" w:type="dxa"/>
            <w:tcBorders>
              <w:right w:val="single" w:sz="4" w:space="0" w:color="FFFFFF"/>
            </w:tcBorders>
          </w:tcPr>
          <w:p w14:paraId="6244820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93CD095"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Gasoline (other than for use as fuel in an aircraft)</w:t>
            </w:r>
          </w:p>
        </w:tc>
        <w:tc>
          <w:tcPr>
            <w:tcW w:w="1941" w:type="dxa"/>
          </w:tcPr>
          <w:p w14:paraId="2D1ACB02"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0.629</w:t>
            </w:r>
          </w:p>
        </w:tc>
      </w:tr>
      <w:tr w:rsidR="00010E2E" w:rsidRPr="0099789B" w14:paraId="155244D7" w14:textId="77777777">
        <w:trPr>
          <w:cantSplit/>
          <w:trHeight w:val="20"/>
        </w:trPr>
        <w:tc>
          <w:tcPr>
            <w:tcW w:w="588" w:type="dxa"/>
            <w:tcBorders>
              <w:right w:val="single" w:sz="4" w:space="0" w:color="FFFFFF"/>
            </w:tcBorders>
          </w:tcPr>
          <w:p w14:paraId="05FAA571"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BA99E9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Gasoline for use as fuel in an aircraft</w:t>
            </w:r>
          </w:p>
        </w:tc>
        <w:tc>
          <w:tcPr>
            <w:tcW w:w="1941" w:type="dxa"/>
          </w:tcPr>
          <w:p w14:paraId="3536E09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0.605</w:t>
            </w:r>
          </w:p>
        </w:tc>
      </w:tr>
      <w:tr w:rsidR="00010E2E" w:rsidRPr="0099789B" w14:paraId="75A3E606" w14:textId="77777777">
        <w:trPr>
          <w:cantSplit/>
          <w:trHeight w:val="20"/>
        </w:trPr>
        <w:tc>
          <w:tcPr>
            <w:tcW w:w="588" w:type="dxa"/>
            <w:tcBorders>
              <w:right w:val="single" w:sz="4" w:space="0" w:color="FFFFFF"/>
            </w:tcBorders>
          </w:tcPr>
          <w:p w14:paraId="1027B2F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E0A674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Kerosene (other than for use as fuel in an aircraft)</w:t>
            </w:r>
          </w:p>
        </w:tc>
        <w:tc>
          <w:tcPr>
            <w:tcW w:w="1941" w:type="dxa"/>
          </w:tcPr>
          <w:p w14:paraId="5029FB8B"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0.705</w:t>
            </w:r>
          </w:p>
        </w:tc>
      </w:tr>
      <w:tr w:rsidR="00010E2E" w:rsidRPr="0099789B" w14:paraId="5C5806A4" w14:textId="77777777">
        <w:trPr>
          <w:cantSplit/>
          <w:trHeight w:val="20"/>
        </w:trPr>
        <w:tc>
          <w:tcPr>
            <w:tcW w:w="588" w:type="dxa"/>
            <w:tcBorders>
              <w:right w:val="single" w:sz="4" w:space="0" w:color="FFFFFF"/>
            </w:tcBorders>
          </w:tcPr>
          <w:p w14:paraId="2BBC6EE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6F7CED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Kerosene for use as fuel in an aircraft</w:t>
            </w:r>
          </w:p>
        </w:tc>
        <w:tc>
          <w:tcPr>
            <w:tcW w:w="1941" w:type="dxa"/>
          </w:tcPr>
          <w:p w14:paraId="1BC7D58B"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0.699</w:t>
            </w:r>
          </w:p>
        </w:tc>
      </w:tr>
      <w:tr w:rsidR="00010E2E" w:rsidRPr="0099789B" w14:paraId="1742D71C" w14:textId="77777777">
        <w:trPr>
          <w:cantSplit/>
          <w:trHeight w:val="20"/>
        </w:trPr>
        <w:tc>
          <w:tcPr>
            <w:tcW w:w="588" w:type="dxa"/>
            <w:tcBorders>
              <w:right w:val="single" w:sz="4" w:space="0" w:color="FFFFFF"/>
            </w:tcBorders>
          </w:tcPr>
          <w:p w14:paraId="3803B6E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18D1A1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Heating oil</w:t>
            </w:r>
          </w:p>
        </w:tc>
        <w:tc>
          <w:tcPr>
            <w:tcW w:w="1941" w:type="dxa"/>
          </w:tcPr>
          <w:p w14:paraId="1D2E60C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0.708</w:t>
            </w:r>
          </w:p>
        </w:tc>
      </w:tr>
      <w:tr w:rsidR="00010E2E" w:rsidRPr="0099789B" w14:paraId="3D713FF8" w14:textId="77777777">
        <w:trPr>
          <w:cantSplit/>
          <w:trHeight w:val="20"/>
        </w:trPr>
        <w:tc>
          <w:tcPr>
            <w:tcW w:w="588" w:type="dxa"/>
            <w:tcBorders>
              <w:right w:val="single" w:sz="4" w:space="0" w:color="FFFFFF"/>
            </w:tcBorders>
          </w:tcPr>
          <w:p w14:paraId="7A4309F9"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8E291DF"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Diesel oil</w:t>
            </w:r>
          </w:p>
        </w:tc>
        <w:tc>
          <w:tcPr>
            <w:tcW w:w="1941" w:type="dxa"/>
          </w:tcPr>
          <w:p w14:paraId="27031CB6"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0.736</w:t>
            </w:r>
          </w:p>
        </w:tc>
      </w:tr>
      <w:tr w:rsidR="00010E2E" w:rsidRPr="0099789B" w14:paraId="2BFC49AE" w14:textId="77777777">
        <w:trPr>
          <w:cantSplit/>
          <w:trHeight w:val="20"/>
        </w:trPr>
        <w:tc>
          <w:tcPr>
            <w:tcW w:w="588" w:type="dxa"/>
            <w:tcBorders>
              <w:right w:val="single" w:sz="4" w:space="0" w:color="FFFFFF"/>
            </w:tcBorders>
          </w:tcPr>
          <w:p w14:paraId="3CAFDC5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1A5E2B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Fuel oil</w:t>
            </w:r>
          </w:p>
        </w:tc>
        <w:tc>
          <w:tcPr>
            <w:tcW w:w="1941" w:type="dxa"/>
          </w:tcPr>
          <w:p w14:paraId="13F7FEF2"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0.797</w:t>
            </w:r>
          </w:p>
        </w:tc>
      </w:tr>
      <w:tr w:rsidR="00010E2E" w:rsidRPr="0099789B" w14:paraId="037FA1DC" w14:textId="77777777">
        <w:trPr>
          <w:cantSplit/>
          <w:trHeight w:val="20"/>
        </w:trPr>
        <w:tc>
          <w:tcPr>
            <w:tcW w:w="588" w:type="dxa"/>
            <w:tcBorders>
              <w:right w:val="single" w:sz="4" w:space="0" w:color="FFFFFF"/>
            </w:tcBorders>
          </w:tcPr>
          <w:p w14:paraId="08A361C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EEB6A7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Liquefied aromatic hydrocarbons </w:t>
            </w:r>
          </w:p>
        </w:tc>
        <w:tc>
          <w:tcPr>
            <w:tcW w:w="1941" w:type="dxa"/>
          </w:tcPr>
          <w:p w14:paraId="285FEFCF"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0.654</w:t>
            </w:r>
          </w:p>
        </w:tc>
      </w:tr>
      <w:tr w:rsidR="00010E2E" w:rsidRPr="0099789B" w14:paraId="7AC0F728" w14:textId="77777777">
        <w:trPr>
          <w:cantSplit/>
          <w:trHeight w:val="20"/>
        </w:trPr>
        <w:tc>
          <w:tcPr>
            <w:tcW w:w="588" w:type="dxa"/>
            <w:tcBorders>
              <w:right w:val="single" w:sz="4" w:space="0" w:color="FFFFFF"/>
            </w:tcBorders>
          </w:tcPr>
          <w:p w14:paraId="5271173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7956057"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Solvents if mineral turpentine or white spirits</w:t>
            </w:r>
          </w:p>
        </w:tc>
        <w:tc>
          <w:tcPr>
            <w:tcW w:w="1941" w:type="dxa"/>
          </w:tcPr>
          <w:p w14:paraId="189DDA00"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0.654</w:t>
            </w:r>
          </w:p>
        </w:tc>
      </w:tr>
      <w:tr w:rsidR="00010E2E" w:rsidRPr="0099789B" w14:paraId="49371C2A" w14:textId="77777777">
        <w:trPr>
          <w:cantSplit/>
          <w:trHeight w:val="20"/>
        </w:trPr>
        <w:tc>
          <w:tcPr>
            <w:tcW w:w="588" w:type="dxa"/>
            <w:tcBorders>
              <w:right w:val="single" w:sz="4" w:space="0" w:color="FFFFFF"/>
            </w:tcBorders>
          </w:tcPr>
          <w:p w14:paraId="57D6AC7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1A36A0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Liquefied petroleum gas</w:t>
            </w:r>
          </w:p>
        </w:tc>
        <w:tc>
          <w:tcPr>
            <w:tcW w:w="1941" w:type="dxa"/>
          </w:tcPr>
          <w:p w14:paraId="5526B694"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0.422</w:t>
            </w:r>
          </w:p>
        </w:tc>
      </w:tr>
      <w:tr w:rsidR="00010E2E" w:rsidRPr="0099789B" w14:paraId="5C315EBF" w14:textId="77777777">
        <w:trPr>
          <w:cantSplit/>
          <w:trHeight w:val="20"/>
        </w:trPr>
        <w:tc>
          <w:tcPr>
            <w:tcW w:w="588" w:type="dxa"/>
            <w:tcBorders>
              <w:right w:val="single" w:sz="4" w:space="0" w:color="FFFFFF"/>
            </w:tcBorders>
          </w:tcPr>
          <w:p w14:paraId="62404D4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7E16459"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Naphtha</w:t>
            </w:r>
          </w:p>
        </w:tc>
        <w:tc>
          <w:tcPr>
            <w:tcW w:w="1941" w:type="dxa"/>
          </w:tcPr>
          <w:p w14:paraId="7CD39613"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0.59</w:t>
            </w:r>
            <w:r w:rsidR="00C16A72">
              <w:rPr>
                <w:rFonts w:ascii="Arial" w:hAnsi="Arial" w:cs="Arial"/>
                <w:sz w:val="18"/>
                <w:szCs w:val="18"/>
              </w:rPr>
              <w:t>8</w:t>
            </w:r>
          </w:p>
        </w:tc>
      </w:tr>
      <w:tr w:rsidR="00010E2E" w:rsidRPr="0099789B" w14:paraId="5EEA6894" w14:textId="77777777">
        <w:trPr>
          <w:cantSplit/>
          <w:trHeight w:val="20"/>
        </w:trPr>
        <w:tc>
          <w:tcPr>
            <w:tcW w:w="588" w:type="dxa"/>
            <w:tcBorders>
              <w:right w:val="single" w:sz="4" w:space="0" w:color="FFFFFF"/>
            </w:tcBorders>
          </w:tcPr>
          <w:p w14:paraId="6D0CAB5D"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A16F0CB"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Petroleum coke</w:t>
            </w:r>
          </w:p>
        </w:tc>
        <w:tc>
          <w:tcPr>
            <w:tcW w:w="1941" w:type="dxa"/>
          </w:tcPr>
          <w:p w14:paraId="7D2065B2"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0.856 tC/t fuel</w:t>
            </w:r>
          </w:p>
        </w:tc>
      </w:tr>
      <w:tr w:rsidR="00010E2E" w:rsidRPr="0099789B" w14:paraId="1EA0311D" w14:textId="77777777">
        <w:trPr>
          <w:cantSplit/>
          <w:trHeight w:val="20"/>
        </w:trPr>
        <w:tc>
          <w:tcPr>
            <w:tcW w:w="588" w:type="dxa"/>
            <w:tcBorders>
              <w:right w:val="single" w:sz="4" w:space="0" w:color="FFFFFF"/>
            </w:tcBorders>
          </w:tcPr>
          <w:p w14:paraId="61BAECF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B220C49"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Refinery gas and liquids</w:t>
            </w:r>
          </w:p>
        </w:tc>
        <w:tc>
          <w:tcPr>
            <w:tcW w:w="1941" w:type="dxa"/>
          </w:tcPr>
          <w:p w14:paraId="443E21B7"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0.641 tC/t fuel</w:t>
            </w:r>
          </w:p>
        </w:tc>
      </w:tr>
      <w:tr w:rsidR="00010E2E" w:rsidRPr="0099789B" w14:paraId="14D4EAFC" w14:textId="77777777">
        <w:trPr>
          <w:cantSplit/>
          <w:trHeight w:val="20"/>
        </w:trPr>
        <w:tc>
          <w:tcPr>
            <w:tcW w:w="588" w:type="dxa"/>
            <w:tcBorders>
              <w:right w:val="single" w:sz="4" w:space="0" w:color="FFFFFF"/>
            </w:tcBorders>
          </w:tcPr>
          <w:p w14:paraId="0288F1E4"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AB46ED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Refinery coke</w:t>
            </w:r>
          </w:p>
        </w:tc>
        <w:tc>
          <w:tcPr>
            <w:tcW w:w="1941" w:type="dxa"/>
          </w:tcPr>
          <w:p w14:paraId="570C7AEE"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0.8</w:t>
            </w:r>
            <w:r w:rsidR="00C16A72">
              <w:rPr>
                <w:rFonts w:ascii="Arial" w:hAnsi="Arial" w:cs="Arial"/>
                <w:sz w:val="18"/>
                <w:szCs w:val="18"/>
              </w:rPr>
              <w:t>64</w:t>
            </w:r>
            <w:r w:rsidRPr="0099789B">
              <w:rPr>
                <w:rFonts w:ascii="Arial" w:hAnsi="Arial" w:cs="Arial"/>
                <w:sz w:val="18"/>
                <w:szCs w:val="18"/>
              </w:rPr>
              <w:t xml:space="preserve"> tC/t fuel</w:t>
            </w:r>
          </w:p>
        </w:tc>
      </w:tr>
      <w:tr w:rsidR="00010E2E" w:rsidRPr="0099789B" w14:paraId="11D87068" w14:textId="77777777">
        <w:trPr>
          <w:cantSplit/>
          <w:trHeight w:val="20"/>
        </w:trPr>
        <w:tc>
          <w:tcPr>
            <w:tcW w:w="588" w:type="dxa"/>
            <w:tcBorders>
              <w:right w:val="single" w:sz="4" w:space="0" w:color="FFFFFF"/>
            </w:tcBorders>
          </w:tcPr>
          <w:p w14:paraId="474775F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B84D22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Bitumen</w:t>
            </w:r>
          </w:p>
        </w:tc>
        <w:tc>
          <w:tcPr>
            <w:tcW w:w="1941" w:type="dxa"/>
          </w:tcPr>
          <w:p w14:paraId="517F0B11"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0.951 tC/t fuel</w:t>
            </w:r>
          </w:p>
        </w:tc>
      </w:tr>
      <w:tr w:rsidR="00010E2E" w:rsidRPr="0099789B" w14:paraId="34A3430D" w14:textId="77777777">
        <w:trPr>
          <w:cantSplit/>
          <w:trHeight w:val="20"/>
        </w:trPr>
        <w:tc>
          <w:tcPr>
            <w:tcW w:w="588" w:type="dxa"/>
            <w:tcBorders>
              <w:right w:val="single" w:sz="4" w:space="0" w:color="FFFFFF"/>
            </w:tcBorders>
          </w:tcPr>
          <w:p w14:paraId="375D087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71AB066"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Waxes</w:t>
            </w:r>
          </w:p>
        </w:tc>
        <w:tc>
          <w:tcPr>
            <w:tcW w:w="1941" w:type="dxa"/>
          </w:tcPr>
          <w:p w14:paraId="25EDF380"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0.871 tC/t fuel</w:t>
            </w:r>
          </w:p>
        </w:tc>
      </w:tr>
      <w:tr w:rsidR="00010E2E" w:rsidRPr="0099789B" w14:paraId="4DECFD28" w14:textId="77777777">
        <w:trPr>
          <w:cantSplit/>
          <w:trHeight w:val="20"/>
        </w:trPr>
        <w:tc>
          <w:tcPr>
            <w:tcW w:w="588" w:type="dxa"/>
            <w:tcBorders>
              <w:right w:val="single" w:sz="4" w:space="0" w:color="FFFFFF"/>
            </w:tcBorders>
          </w:tcPr>
          <w:p w14:paraId="7650237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7B6E3D1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Petroleum based products other than mentioned above</w:t>
            </w:r>
          </w:p>
        </w:tc>
        <w:tc>
          <w:tcPr>
            <w:tcW w:w="1941" w:type="dxa"/>
          </w:tcPr>
          <w:p w14:paraId="4F2B5F1F"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0.65</w:t>
            </w:r>
            <w:r w:rsidR="00C16A72">
              <w:rPr>
                <w:rFonts w:ascii="Arial" w:hAnsi="Arial" w:cs="Arial"/>
                <w:sz w:val="18"/>
                <w:szCs w:val="18"/>
              </w:rPr>
              <w:t>5</w:t>
            </w:r>
          </w:p>
        </w:tc>
      </w:tr>
      <w:tr w:rsidR="00010E2E" w:rsidRPr="0099789B" w14:paraId="24B71882" w14:textId="77777777">
        <w:trPr>
          <w:cantSplit/>
          <w:trHeight w:val="20"/>
        </w:trPr>
        <w:tc>
          <w:tcPr>
            <w:tcW w:w="8301" w:type="dxa"/>
            <w:gridSpan w:val="3"/>
          </w:tcPr>
          <w:p w14:paraId="17B8B9A8"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 xml:space="preserve">Biofuels </w:t>
            </w:r>
          </w:p>
        </w:tc>
      </w:tr>
      <w:tr w:rsidR="00010E2E" w:rsidRPr="0099789B" w14:paraId="6DD5D297" w14:textId="77777777">
        <w:trPr>
          <w:cantSplit/>
          <w:trHeight w:val="20"/>
        </w:trPr>
        <w:tc>
          <w:tcPr>
            <w:tcW w:w="588" w:type="dxa"/>
            <w:tcBorders>
              <w:right w:val="single" w:sz="4" w:space="0" w:color="FFFFFF"/>
            </w:tcBorders>
          </w:tcPr>
          <w:p w14:paraId="1F33E8BA"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573F593"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Biodiesel</w:t>
            </w:r>
          </w:p>
        </w:tc>
        <w:tc>
          <w:tcPr>
            <w:tcW w:w="1941" w:type="dxa"/>
          </w:tcPr>
          <w:p w14:paraId="6CA0BF3F"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779D9D30" w14:textId="77777777">
        <w:trPr>
          <w:cantSplit/>
          <w:trHeight w:val="20"/>
        </w:trPr>
        <w:tc>
          <w:tcPr>
            <w:tcW w:w="588" w:type="dxa"/>
            <w:tcBorders>
              <w:right w:val="single" w:sz="4" w:space="0" w:color="FFFFFF"/>
            </w:tcBorders>
          </w:tcPr>
          <w:p w14:paraId="3EFCCAB0"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2F8A812"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Ethanol for use as a fuel in an internal combustion engine</w:t>
            </w:r>
          </w:p>
        </w:tc>
        <w:tc>
          <w:tcPr>
            <w:tcW w:w="1941" w:type="dxa"/>
          </w:tcPr>
          <w:p w14:paraId="18545DC2"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r w:rsidR="00010E2E" w:rsidRPr="0099789B" w14:paraId="33278006" w14:textId="77777777">
        <w:trPr>
          <w:cantSplit/>
          <w:trHeight w:val="20"/>
        </w:trPr>
        <w:tc>
          <w:tcPr>
            <w:tcW w:w="588" w:type="dxa"/>
            <w:tcBorders>
              <w:right w:val="single" w:sz="4" w:space="0" w:color="FFFFFF"/>
            </w:tcBorders>
          </w:tcPr>
          <w:p w14:paraId="74A436BE"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AD4FE0C" w14:textId="77777777" w:rsidR="00010E2E" w:rsidRPr="0099789B" w:rsidRDefault="00010E2E">
            <w:pPr>
              <w:pStyle w:val="BodyText"/>
              <w:tabs>
                <w:tab w:val="left" w:pos="0"/>
                <w:tab w:val="left" w:pos="2250"/>
              </w:tabs>
              <w:spacing w:before="120" w:after="0" w:line="312" w:lineRule="auto"/>
              <w:ind w:left="0"/>
              <w:rPr>
                <w:rFonts w:ascii="Arial" w:hAnsi="Arial" w:cs="Arial"/>
                <w:sz w:val="18"/>
                <w:szCs w:val="18"/>
              </w:rPr>
            </w:pPr>
            <w:r w:rsidRPr="0099789B">
              <w:rPr>
                <w:rFonts w:ascii="Arial" w:hAnsi="Arial" w:cs="Arial"/>
                <w:sz w:val="18"/>
                <w:szCs w:val="18"/>
              </w:rPr>
              <w:t>Biofuels other than those mentioned above</w:t>
            </w:r>
          </w:p>
        </w:tc>
        <w:tc>
          <w:tcPr>
            <w:tcW w:w="1941" w:type="dxa"/>
          </w:tcPr>
          <w:p w14:paraId="38230945" w14:textId="77777777" w:rsidR="00010E2E" w:rsidRPr="0099789B"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sidRPr="0099789B">
              <w:rPr>
                <w:rFonts w:ascii="Arial" w:hAnsi="Arial" w:cs="Arial"/>
                <w:sz w:val="18"/>
                <w:szCs w:val="18"/>
              </w:rPr>
              <w:t>0</w:t>
            </w:r>
          </w:p>
        </w:tc>
      </w:tr>
    </w:tbl>
    <w:p w14:paraId="0D67257F" w14:textId="77777777" w:rsidR="001A7BA5" w:rsidRDefault="00554938" w:rsidP="001A7BA5">
      <w:pPr>
        <w:pStyle w:val="TableNote"/>
        <w:rPr>
          <w:szCs w:val="16"/>
        </w:rPr>
      </w:pPr>
      <w:r>
        <w:t xml:space="preserve">Source: </w:t>
      </w:r>
      <w:r>
        <w:rPr>
          <w:szCs w:val="16"/>
        </w:rPr>
        <w:t xml:space="preserve">National Greenhouse and Energy Reporting (Measurement) Determination </w:t>
      </w:r>
      <w:r w:rsidR="00FA3080">
        <w:rPr>
          <w:szCs w:val="16"/>
        </w:rPr>
        <w:t>2008</w:t>
      </w:r>
      <w:r>
        <w:rPr>
          <w:szCs w:val="16"/>
        </w:rPr>
        <w:t xml:space="preserve"> </w:t>
      </w:r>
      <w:r w:rsidR="001A7BA5">
        <w:rPr>
          <w:szCs w:val="16"/>
        </w:rPr>
        <w:t>(Schedule 3, Part 3).</w:t>
      </w:r>
    </w:p>
    <w:p w14:paraId="49163F45" w14:textId="77777777" w:rsidR="00554938" w:rsidRDefault="00554938" w:rsidP="00554938">
      <w:pPr>
        <w:pStyle w:val="TableNote"/>
        <w:rPr>
          <w:szCs w:val="16"/>
        </w:rPr>
      </w:pPr>
    </w:p>
    <w:p w14:paraId="75861480" w14:textId="77777777" w:rsidR="00D76245" w:rsidRDefault="00491D41" w:rsidP="00C23E3B">
      <w:pPr>
        <w:pStyle w:val="Caption"/>
      </w:pPr>
      <w:bookmarkStart w:id="145" w:name="_Toc391646719"/>
      <w:bookmarkStart w:id="146" w:name="_Toc485728143"/>
      <w:r>
        <w:t xml:space="preserve">Table </w:t>
      </w:r>
      <w:r w:rsidR="00DC52E0">
        <w:fldChar w:fldCharType="begin"/>
      </w:r>
      <w:r>
        <w:instrText xml:space="preserve"> SEQ Table \* ARABIC </w:instrText>
      </w:r>
      <w:r w:rsidR="00DC52E0">
        <w:fldChar w:fldCharType="separate"/>
      </w:r>
      <w:r w:rsidR="004A1330">
        <w:rPr>
          <w:noProof/>
        </w:rPr>
        <w:t>35</w:t>
      </w:r>
      <w:r w:rsidR="00DC52E0">
        <w:fldChar w:fldCharType="end"/>
      </w:r>
      <w:r w:rsidR="00010E2E">
        <w:t>: Carbon content factors - Petroleum feedstocks and products</w:t>
      </w:r>
      <w:bookmarkEnd w:id="145"/>
      <w:bookmarkEnd w:id="146"/>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5772"/>
        <w:gridCol w:w="1941"/>
      </w:tblGrid>
      <w:tr w:rsidR="00010E2E" w14:paraId="43F9207F" w14:textId="77777777">
        <w:trPr>
          <w:cantSplit/>
          <w:trHeight w:val="20"/>
          <w:tblHeader/>
        </w:trPr>
        <w:tc>
          <w:tcPr>
            <w:tcW w:w="6360" w:type="dxa"/>
            <w:gridSpan w:val="2"/>
            <w:shd w:val="clear" w:color="auto" w:fill="D9D9D9"/>
          </w:tcPr>
          <w:p w14:paraId="33CD7BEB" w14:textId="77777777" w:rsidR="00010E2E" w:rsidRDefault="00010E2E">
            <w:pPr>
              <w:pStyle w:val="TableCentre"/>
              <w:jc w:val="left"/>
              <w:rPr>
                <w:rStyle w:val="Strong"/>
                <w:rFonts w:cs="Arial"/>
                <w:sz w:val="18"/>
              </w:rPr>
            </w:pPr>
            <w:r>
              <w:rPr>
                <w:rStyle w:val="Strong"/>
                <w:rFonts w:cs="Arial"/>
                <w:sz w:val="18"/>
              </w:rPr>
              <w:t>Fuel type</w:t>
            </w:r>
          </w:p>
        </w:tc>
        <w:tc>
          <w:tcPr>
            <w:tcW w:w="1941" w:type="dxa"/>
            <w:shd w:val="clear" w:color="auto" w:fill="D9D9D9"/>
          </w:tcPr>
          <w:p w14:paraId="6D17C54E" w14:textId="77777777" w:rsidR="00010E2E" w:rsidRDefault="00010E2E">
            <w:pPr>
              <w:pStyle w:val="Heading1Like"/>
              <w:spacing w:before="60" w:after="0"/>
              <w:jc w:val="center"/>
              <w:rPr>
                <w:rFonts w:ascii="Arial" w:hAnsi="Arial"/>
                <w:sz w:val="18"/>
              </w:rPr>
            </w:pPr>
            <w:r>
              <w:rPr>
                <w:rFonts w:ascii="Arial" w:hAnsi="Arial"/>
                <w:caps w:val="0"/>
                <w:sz w:val="18"/>
              </w:rPr>
              <w:t>Carbon content factor</w:t>
            </w:r>
            <w:r>
              <w:rPr>
                <w:rFonts w:ascii="Arial" w:hAnsi="Arial"/>
                <w:caps w:val="0"/>
                <w:sz w:val="18"/>
              </w:rPr>
              <w:br/>
              <w:t>(tC/t fuel</w:t>
            </w:r>
            <w:r>
              <w:rPr>
                <w:rFonts w:ascii="Arial" w:hAnsi="Arial"/>
                <w:caps w:val="0"/>
                <w:sz w:val="18"/>
              </w:rPr>
              <w:br/>
              <w:t>unless otherwise specified)</w:t>
            </w:r>
          </w:p>
        </w:tc>
      </w:tr>
      <w:tr w:rsidR="00010E2E" w14:paraId="5A9B3A2F" w14:textId="77777777">
        <w:trPr>
          <w:cantSplit/>
          <w:trHeight w:val="20"/>
        </w:trPr>
        <w:tc>
          <w:tcPr>
            <w:tcW w:w="8301" w:type="dxa"/>
            <w:gridSpan w:val="3"/>
          </w:tcPr>
          <w:p w14:paraId="476075FD"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Petrochemical feedstocks</w:t>
            </w:r>
          </w:p>
        </w:tc>
      </w:tr>
      <w:tr w:rsidR="00010E2E" w14:paraId="632A106B" w14:textId="77777777">
        <w:trPr>
          <w:cantSplit/>
          <w:trHeight w:val="20"/>
        </w:trPr>
        <w:tc>
          <w:tcPr>
            <w:tcW w:w="588" w:type="dxa"/>
            <w:tcBorders>
              <w:right w:val="single" w:sz="4" w:space="0" w:color="FFFFFF"/>
            </w:tcBorders>
          </w:tcPr>
          <w:p w14:paraId="1013FDA9"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9F6F50A"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Carbon black if used as a petrochemical feedstock</w:t>
            </w:r>
          </w:p>
        </w:tc>
        <w:tc>
          <w:tcPr>
            <w:tcW w:w="1941" w:type="dxa"/>
          </w:tcPr>
          <w:p w14:paraId="422366C3"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1</w:t>
            </w:r>
          </w:p>
        </w:tc>
      </w:tr>
      <w:tr w:rsidR="00010E2E" w14:paraId="27486FAF" w14:textId="77777777">
        <w:trPr>
          <w:cantSplit/>
          <w:trHeight w:val="20"/>
        </w:trPr>
        <w:tc>
          <w:tcPr>
            <w:tcW w:w="588" w:type="dxa"/>
            <w:tcBorders>
              <w:right w:val="single" w:sz="4" w:space="0" w:color="FFFFFF"/>
            </w:tcBorders>
          </w:tcPr>
          <w:p w14:paraId="5FC4C0F2"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A2AE938"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Ethylene if used as a petrochemical feedstock</w:t>
            </w:r>
          </w:p>
        </w:tc>
        <w:tc>
          <w:tcPr>
            <w:tcW w:w="1941" w:type="dxa"/>
          </w:tcPr>
          <w:p w14:paraId="7B41D2FF"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0.856</w:t>
            </w:r>
          </w:p>
        </w:tc>
      </w:tr>
      <w:tr w:rsidR="00010E2E" w14:paraId="2573F822" w14:textId="77777777">
        <w:trPr>
          <w:cantSplit/>
          <w:trHeight w:val="20"/>
        </w:trPr>
        <w:tc>
          <w:tcPr>
            <w:tcW w:w="588" w:type="dxa"/>
            <w:tcBorders>
              <w:right w:val="single" w:sz="4" w:space="0" w:color="FFFFFF"/>
            </w:tcBorders>
          </w:tcPr>
          <w:p w14:paraId="20F1478C"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3527776"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Petrochemical feedstock other than those mentioned in items above</w:t>
            </w:r>
          </w:p>
        </w:tc>
        <w:tc>
          <w:tcPr>
            <w:tcW w:w="1941" w:type="dxa"/>
          </w:tcPr>
          <w:p w14:paraId="6DBDCD25"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0.856</w:t>
            </w:r>
          </w:p>
        </w:tc>
      </w:tr>
      <w:tr w:rsidR="00010E2E" w14:paraId="2585EFB0" w14:textId="77777777">
        <w:trPr>
          <w:cantSplit/>
          <w:trHeight w:val="20"/>
        </w:trPr>
        <w:tc>
          <w:tcPr>
            <w:tcW w:w="8301" w:type="dxa"/>
            <w:gridSpan w:val="3"/>
          </w:tcPr>
          <w:p w14:paraId="6D02F535"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Petrochemical products</w:t>
            </w:r>
          </w:p>
        </w:tc>
      </w:tr>
      <w:tr w:rsidR="00010E2E" w14:paraId="39B5D30C" w14:textId="77777777">
        <w:trPr>
          <w:cantSplit/>
          <w:trHeight w:val="20"/>
        </w:trPr>
        <w:tc>
          <w:tcPr>
            <w:tcW w:w="588" w:type="dxa"/>
            <w:tcBorders>
              <w:right w:val="single" w:sz="4" w:space="0" w:color="FFFFFF"/>
            </w:tcBorders>
          </w:tcPr>
          <w:p w14:paraId="1E48E91D"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E23BD85"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Propylene</w:t>
            </w:r>
          </w:p>
        </w:tc>
        <w:tc>
          <w:tcPr>
            <w:tcW w:w="1941" w:type="dxa"/>
          </w:tcPr>
          <w:p w14:paraId="6C2A9C29"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0.856</w:t>
            </w:r>
          </w:p>
        </w:tc>
      </w:tr>
      <w:tr w:rsidR="00010E2E" w14:paraId="1C2742E8" w14:textId="77777777">
        <w:trPr>
          <w:cantSplit/>
          <w:trHeight w:val="20"/>
        </w:trPr>
        <w:tc>
          <w:tcPr>
            <w:tcW w:w="588" w:type="dxa"/>
            <w:tcBorders>
              <w:right w:val="single" w:sz="4" w:space="0" w:color="FFFFFF"/>
            </w:tcBorders>
          </w:tcPr>
          <w:p w14:paraId="0F6E3A78"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12C5CF89"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Polyethylene</w:t>
            </w:r>
          </w:p>
        </w:tc>
        <w:tc>
          <w:tcPr>
            <w:tcW w:w="1941" w:type="dxa"/>
          </w:tcPr>
          <w:p w14:paraId="49B76840"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0.856</w:t>
            </w:r>
          </w:p>
        </w:tc>
      </w:tr>
      <w:tr w:rsidR="00010E2E" w14:paraId="1F0060D1" w14:textId="77777777">
        <w:trPr>
          <w:cantSplit/>
          <w:trHeight w:val="20"/>
        </w:trPr>
        <w:tc>
          <w:tcPr>
            <w:tcW w:w="588" w:type="dxa"/>
            <w:tcBorders>
              <w:right w:val="single" w:sz="4" w:space="0" w:color="FFFFFF"/>
            </w:tcBorders>
          </w:tcPr>
          <w:p w14:paraId="293E8816"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5EF78A9C"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Polypropylene</w:t>
            </w:r>
          </w:p>
        </w:tc>
        <w:tc>
          <w:tcPr>
            <w:tcW w:w="1941" w:type="dxa"/>
          </w:tcPr>
          <w:p w14:paraId="598D5B9C"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0.856</w:t>
            </w:r>
          </w:p>
        </w:tc>
      </w:tr>
      <w:tr w:rsidR="00010E2E" w14:paraId="5469AB67" w14:textId="77777777">
        <w:trPr>
          <w:cantSplit/>
          <w:trHeight w:val="20"/>
        </w:trPr>
        <w:tc>
          <w:tcPr>
            <w:tcW w:w="588" w:type="dxa"/>
            <w:tcBorders>
              <w:right w:val="single" w:sz="4" w:space="0" w:color="FFFFFF"/>
            </w:tcBorders>
          </w:tcPr>
          <w:p w14:paraId="6C8EF00A"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29B9FBA"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Butadiene</w:t>
            </w:r>
          </w:p>
        </w:tc>
        <w:tc>
          <w:tcPr>
            <w:tcW w:w="1941" w:type="dxa"/>
          </w:tcPr>
          <w:p w14:paraId="674B7238"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0.888</w:t>
            </w:r>
          </w:p>
        </w:tc>
      </w:tr>
      <w:tr w:rsidR="00010E2E" w14:paraId="2FA5B2F0" w14:textId="77777777">
        <w:trPr>
          <w:cantSplit/>
          <w:trHeight w:val="20"/>
        </w:trPr>
        <w:tc>
          <w:tcPr>
            <w:tcW w:w="588" w:type="dxa"/>
            <w:tcBorders>
              <w:right w:val="single" w:sz="4" w:space="0" w:color="FFFFFF"/>
            </w:tcBorders>
          </w:tcPr>
          <w:p w14:paraId="74E17F2F"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09D91614" w14:textId="77777777" w:rsidR="00010E2E" w:rsidRDefault="00010E2E">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Styrene</w:t>
            </w:r>
          </w:p>
        </w:tc>
        <w:tc>
          <w:tcPr>
            <w:tcW w:w="1941" w:type="dxa"/>
          </w:tcPr>
          <w:p w14:paraId="6830B53C" w14:textId="77777777" w:rsidR="00010E2E" w:rsidRDefault="00010E2E"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0.923</w:t>
            </w:r>
          </w:p>
        </w:tc>
      </w:tr>
    </w:tbl>
    <w:p w14:paraId="02CE697F" w14:textId="77777777" w:rsidR="001A7BA5" w:rsidRDefault="00554938" w:rsidP="001A7BA5">
      <w:pPr>
        <w:pStyle w:val="TableNote"/>
        <w:rPr>
          <w:szCs w:val="16"/>
        </w:rPr>
      </w:pPr>
      <w:bookmarkStart w:id="147" w:name="_Toc121648177"/>
      <w:bookmarkStart w:id="148" w:name="OLE_LINK14"/>
      <w:bookmarkStart w:id="149" w:name="OLE_LINK15"/>
      <w:bookmarkStart w:id="150" w:name="_Toc142888321"/>
      <w:r>
        <w:t xml:space="preserve">Source: </w:t>
      </w:r>
      <w:r>
        <w:rPr>
          <w:szCs w:val="16"/>
        </w:rPr>
        <w:t>National Greenhouse and Energy Reporting (</w:t>
      </w:r>
      <w:r w:rsidR="001A7BA5">
        <w:rPr>
          <w:szCs w:val="16"/>
        </w:rPr>
        <w:t xml:space="preserve">Measurement) Determination </w:t>
      </w:r>
      <w:r w:rsidR="00FA3080">
        <w:rPr>
          <w:szCs w:val="16"/>
        </w:rPr>
        <w:t>2008</w:t>
      </w:r>
      <w:r w:rsidR="00661B87">
        <w:rPr>
          <w:szCs w:val="16"/>
        </w:rPr>
        <w:t xml:space="preserve"> </w:t>
      </w:r>
      <w:r w:rsidR="001A7BA5">
        <w:rPr>
          <w:szCs w:val="16"/>
        </w:rPr>
        <w:t>(Schedule 3, Part 4).</w:t>
      </w:r>
    </w:p>
    <w:p w14:paraId="43B1EB7A" w14:textId="77777777" w:rsidR="00554938" w:rsidRDefault="00554938" w:rsidP="00554938">
      <w:pPr>
        <w:pStyle w:val="TableNote"/>
        <w:rPr>
          <w:szCs w:val="16"/>
        </w:rPr>
      </w:pPr>
      <w:r>
        <w:rPr>
          <w:szCs w:val="16"/>
        </w:rPr>
        <w:t>.</w:t>
      </w:r>
    </w:p>
    <w:p w14:paraId="1BA385F6" w14:textId="77777777" w:rsidR="00D76245" w:rsidRDefault="00491D41" w:rsidP="00C23E3B">
      <w:pPr>
        <w:pStyle w:val="Caption"/>
      </w:pPr>
      <w:bookmarkStart w:id="151" w:name="_Toc391646720"/>
      <w:bookmarkStart w:id="152" w:name="_Toc485728144"/>
      <w:r>
        <w:t xml:space="preserve">Table </w:t>
      </w:r>
      <w:r w:rsidR="00DC52E0">
        <w:fldChar w:fldCharType="begin"/>
      </w:r>
      <w:r>
        <w:instrText xml:space="preserve"> SEQ Table \* ARABIC </w:instrText>
      </w:r>
      <w:r w:rsidR="00DC52E0">
        <w:fldChar w:fldCharType="separate"/>
      </w:r>
      <w:r w:rsidR="004A1330">
        <w:rPr>
          <w:noProof/>
        </w:rPr>
        <w:t>36</w:t>
      </w:r>
      <w:r w:rsidR="00DC52E0">
        <w:fldChar w:fldCharType="end"/>
      </w:r>
      <w:r w:rsidR="00E42EFB">
        <w:t>: Carbon content f</w:t>
      </w:r>
      <w:r w:rsidR="00E44629">
        <w:t>actors – carbonates</w:t>
      </w:r>
      <w:bookmarkEnd w:id="151"/>
      <w:bookmarkEnd w:id="152"/>
    </w:p>
    <w:tbl>
      <w:tblPr>
        <w:tblW w:w="8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5772"/>
        <w:gridCol w:w="1941"/>
      </w:tblGrid>
      <w:tr w:rsidR="00E42EFB" w14:paraId="0F96D2D1" w14:textId="77777777" w:rsidTr="00E42EFB">
        <w:trPr>
          <w:cantSplit/>
          <w:trHeight w:val="20"/>
          <w:tblHeader/>
        </w:trPr>
        <w:tc>
          <w:tcPr>
            <w:tcW w:w="6360" w:type="dxa"/>
            <w:gridSpan w:val="2"/>
            <w:shd w:val="clear" w:color="auto" w:fill="D9D9D9"/>
          </w:tcPr>
          <w:p w14:paraId="6B56E24A" w14:textId="77777777" w:rsidR="00E42EFB" w:rsidRDefault="00E44629" w:rsidP="00E42EFB">
            <w:pPr>
              <w:pStyle w:val="TableCentre"/>
              <w:jc w:val="left"/>
              <w:rPr>
                <w:rStyle w:val="Strong"/>
                <w:rFonts w:cs="Arial"/>
                <w:sz w:val="18"/>
              </w:rPr>
            </w:pPr>
            <w:r>
              <w:rPr>
                <w:rStyle w:val="Strong"/>
                <w:rFonts w:cs="Arial"/>
                <w:sz w:val="18"/>
              </w:rPr>
              <w:t>Carbonate</w:t>
            </w:r>
            <w:r w:rsidR="00E42EFB">
              <w:rPr>
                <w:rStyle w:val="Strong"/>
                <w:rFonts w:cs="Arial"/>
                <w:sz w:val="18"/>
              </w:rPr>
              <w:t xml:space="preserve"> type</w:t>
            </w:r>
          </w:p>
        </w:tc>
        <w:tc>
          <w:tcPr>
            <w:tcW w:w="1941" w:type="dxa"/>
            <w:shd w:val="clear" w:color="auto" w:fill="D9D9D9"/>
          </w:tcPr>
          <w:p w14:paraId="7F342C5C" w14:textId="77777777" w:rsidR="00E42EFB" w:rsidRDefault="00E44629" w:rsidP="00E42EFB">
            <w:pPr>
              <w:pStyle w:val="Heading1Like"/>
              <w:spacing w:before="60" w:after="0"/>
              <w:jc w:val="center"/>
              <w:rPr>
                <w:rFonts w:ascii="Arial" w:hAnsi="Arial"/>
                <w:sz w:val="18"/>
              </w:rPr>
            </w:pPr>
            <w:r>
              <w:rPr>
                <w:rFonts w:ascii="Arial" w:hAnsi="Arial"/>
                <w:caps w:val="0"/>
                <w:sz w:val="18"/>
              </w:rPr>
              <w:t>Carbon content factor</w:t>
            </w:r>
            <w:r>
              <w:rPr>
                <w:rFonts w:ascii="Arial" w:hAnsi="Arial"/>
                <w:caps w:val="0"/>
                <w:sz w:val="18"/>
              </w:rPr>
              <w:br/>
              <w:t>(tC/t pure carbonate material</w:t>
            </w:r>
            <w:r w:rsidR="00E42EFB">
              <w:rPr>
                <w:rFonts w:ascii="Arial" w:hAnsi="Arial"/>
                <w:caps w:val="0"/>
                <w:sz w:val="18"/>
              </w:rPr>
              <w:br/>
              <w:t>unless otherwise specified)</w:t>
            </w:r>
          </w:p>
        </w:tc>
      </w:tr>
      <w:tr w:rsidR="00E42EFB" w14:paraId="19CF6779" w14:textId="77777777" w:rsidTr="00E42EFB">
        <w:trPr>
          <w:cantSplit/>
          <w:trHeight w:val="20"/>
        </w:trPr>
        <w:tc>
          <w:tcPr>
            <w:tcW w:w="588" w:type="dxa"/>
            <w:tcBorders>
              <w:right w:val="single" w:sz="4" w:space="0" w:color="FFFFFF"/>
            </w:tcBorders>
          </w:tcPr>
          <w:p w14:paraId="2822461D" w14:textId="77777777" w:rsidR="00E42EFB" w:rsidRDefault="00E42EFB" w:rsidP="00E42EFB">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5E88420" w14:textId="77777777" w:rsidR="00E42EFB" w:rsidRDefault="00E44629" w:rsidP="00E42EFB">
            <w:pPr>
              <w:pStyle w:val="BodyText"/>
              <w:tabs>
                <w:tab w:val="left" w:pos="0"/>
                <w:tab w:val="left" w:pos="2250"/>
              </w:tabs>
              <w:spacing w:before="120" w:after="0" w:line="312" w:lineRule="auto"/>
              <w:ind w:left="0"/>
              <w:rPr>
                <w:rFonts w:ascii="Arial" w:hAnsi="Arial" w:cs="Arial"/>
                <w:sz w:val="18"/>
                <w:szCs w:val="18"/>
              </w:rPr>
            </w:pPr>
            <w:r w:rsidRPr="00E44629">
              <w:rPr>
                <w:rFonts w:ascii="Arial" w:hAnsi="Arial" w:cs="Arial"/>
                <w:sz w:val="18"/>
                <w:szCs w:val="18"/>
              </w:rPr>
              <w:t>Calcium carbonate</w:t>
            </w:r>
          </w:p>
        </w:tc>
        <w:tc>
          <w:tcPr>
            <w:tcW w:w="1941" w:type="dxa"/>
          </w:tcPr>
          <w:p w14:paraId="0421A54F" w14:textId="77777777" w:rsidR="00E42EFB" w:rsidRDefault="00E44629"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0.120</w:t>
            </w:r>
          </w:p>
        </w:tc>
      </w:tr>
      <w:tr w:rsidR="00E44629" w14:paraId="1229B765" w14:textId="77777777" w:rsidTr="00E42EFB">
        <w:trPr>
          <w:cantSplit/>
          <w:trHeight w:val="20"/>
        </w:trPr>
        <w:tc>
          <w:tcPr>
            <w:tcW w:w="588" w:type="dxa"/>
            <w:tcBorders>
              <w:right w:val="single" w:sz="4" w:space="0" w:color="FFFFFF"/>
            </w:tcBorders>
          </w:tcPr>
          <w:p w14:paraId="44C14108" w14:textId="77777777" w:rsidR="00E44629" w:rsidRDefault="00E44629" w:rsidP="00E42EFB">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44E8B2F6" w14:textId="77777777" w:rsidR="00E44629" w:rsidRDefault="00E44629" w:rsidP="00E44629">
            <w:pPr>
              <w:pStyle w:val="BodyText"/>
              <w:tabs>
                <w:tab w:val="left" w:pos="0"/>
                <w:tab w:val="left" w:pos="2250"/>
              </w:tabs>
              <w:spacing w:before="120" w:after="0" w:line="312" w:lineRule="auto"/>
              <w:ind w:left="0"/>
              <w:rPr>
                <w:rFonts w:ascii="Arial" w:hAnsi="Arial" w:cs="Arial"/>
                <w:sz w:val="18"/>
                <w:szCs w:val="18"/>
              </w:rPr>
            </w:pPr>
            <w:r w:rsidRPr="00E44629">
              <w:rPr>
                <w:rFonts w:ascii="Arial" w:hAnsi="Arial" w:cs="Arial"/>
                <w:sz w:val="18"/>
                <w:szCs w:val="18"/>
              </w:rPr>
              <w:t>Magnesium carbonate</w:t>
            </w:r>
          </w:p>
        </w:tc>
        <w:tc>
          <w:tcPr>
            <w:tcW w:w="1941" w:type="dxa"/>
          </w:tcPr>
          <w:p w14:paraId="2E266627" w14:textId="77777777" w:rsidR="00E44629" w:rsidRDefault="00E44629"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0.142</w:t>
            </w:r>
          </w:p>
        </w:tc>
      </w:tr>
      <w:tr w:rsidR="00E42EFB" w14:paraId="77AA1EE5" w14:textId="77777777" w:rsidTr="00E42EFB">
        <w:trPr>
          <w:cantSplit/>
          <w:trHeight w:val="20"/>
        </w:trPr>
        <w:tc>
          <w:tcPr>
            <w:tcW w:w="588" w:type="dxa"/>
            <w:tcBorders>
              <w:right w:val="single" w:sz="4" w:space="0" w:color="FFFFFF"/>
            </w:tcBorders>
          </w:tcPr>
          <w:p w14:paraId="656D4D45" w14:textId="77777777" w:rsidR="00E42EFB" w:rsidRDefault="00E42EFB" w:rsidP="00E42EFB">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2D3A3705" w14:textId="77777777" w:rsidR="00E42EFB" w:rsidRDefault="00E44629" w:rsidP="00E42EFB">
            <w:pPr>
              <w:pStyle w:val="BodyText"/>
              <w:tabs>
                <w:tab w:val="left" w:pos="0"/>
                <w:tab w:val="left" w:pos="2250"/>
              </w:tabs>
              <w:spacing w:before="120" w:after="0" w:line="312" w:lineRule="auto"/>
              <w:ind w:left="0"/>
              <w:rPr>
                <w:rFonts w:ascii="Arial" w:hAnsi="Arial" w:cs="Arial"/>
                <w:sz w:val="18"/>
                <w:szCs w:val="18"/>
              </w:rPr>
            </w:pPr>
            <w:r w:rsidRPr="00E44629">
              <w:rPr>
                <w:rFonts w:ascii="Arial" w:hAnsi="Arial" w:cs="Arial"/>
                <w:sz w:val="18"/>
                <w:szCs w:val="18"/>
              </w:rPr>
              <w:t>Sodium carbonate</w:t>
            </w:r>
          </w:p>
        </w:tc>
        <w:tc>
          <w:tcPr>
            <w:tcW w:w="1941" w:type="dxa"/>
          </w:tcPr>
          <w:p w14:paraId="2D5D8453" w14:textId="77777777" w:rsidR="00E42EFB" w:rsidRDefault="00E44629"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0.113</w:t>
            </w:r>
          </w:p>
        </w:tc>
      </w:tr>
      <w:tr w:rsidR="00E42EFB" w14:paraId="0F8B64FA" w14:textId="77777777" w:rsidTr="00E42EFB">
        <w:trPr>
          <w:cantSplit/>
          <w:trHeight w:val="20"/>
        </w:trPr>
        <w:tc>
          <w:tcPr>
            <w:tcW w:w="588" w:type="dxa"/>
            <w:tcBorders>
              <w:right w:val="single" w:sz="4" w:space="0" w:color="FFFFFF"/>
            </w:tcBorders>
          </w:tcPr>
          <w:p w14:paraId="5470209D" w14:textId="77777777" w:rsidR="00E42EFB" w:rsidRDefault="00E42EFB" w:rsidP="00E42EFB">
            <w:pPr>
              <w:pStyle w:val="BodyText"/>
              <w:tabs>
                <w:tab w:val="left" w:pos="0"/>
                <w:tab w:val="left" w:pos="2250"/>
              </w:tabs>
              <w:spacing w:before="120" w:after="0" w:line="312" w:lineRule="auto"/>
              <w:ind w:left="0"/>
              <w:rPr>
                <w:rFonts w:ascii="Arial" w:hAnsi="Arial" w:cs="Arial"/>
                <w:sz w:val="18"/>
                <w:szCs w:val="18"/>
              </w:rPr>
            </w:pPr>
          </w:p>
        </w:tc>
        <w:tc>
          <w:tcPr>
            <w:tcW w:w="5772" w:type="dxa"/>
            <w:tcBorders>
              <w:left w:val="single" w:sz="4" w:space="0" w:color="FFFFFF"/>
            </w:tcBorders>
          </w:tcPr>
          <w:p w14:paraId="6CA016C0" w14:textId="77777777" w:rsidR="00E42EFB" w:rsidRDefault="00E44629" w:rsidP="00E42EFB">
            <w:pPr>
              <w:pStyle w:val="BodyText"/>
              <w:tabs>
                <w:tab w:val="left" w:pos="0"/>
                <w:tab w:val="left" w:pos="2250"/>
              </w:tabs>
              <w:spacing w:before="120" w:after="0" w:line="312" w:lineRule="auto"/>
              <w:ind w:left="0"/>
              <w:rPr>
                <w:rFonts w:ascii="Arial" w:hAnsi="Arial" w:cs="Arial"/>
                <w:sz w:val="18"/>
                <w:szCs w:val="18"/>
              </w:rPr>
            </w:pPr>
            <w:r w:rsidRPr="00E44629">
              <w:rPr>
                <w:rFonts w:ascii="Arial" w:hAnsi="Arial" w:cs="Arial"/>
                <w:sz w:val="18"/>
                <w:szCs w:val="18"/>
              </w:rPr>
              <w:t>Sodium bicarbonate</w:t>
            </w:r>
          </w:p>
        </w:tc>
        <w:tc>
          <w:tcPr>
            <w:tcW w:w="1941" w:type="dxa"/>
          </w:tcPr>
          <w:p w14:paraId="5495BD48" w14:textId="77777777" w:rsidR="00E42EFB" w:rsidRDefault="00E44629" w:rsidP="00FA3080">
            <w:pPr>
              <w:pStyle w:val="BodyText"/>
              <w:tabs>
                <w:tab w:val="left" w:pos="0"/>
                <w:tab w:val="left" w:pos="2250"/>
              </w:tabs>
              <w:spacing w:before="120" w:after="0" w:line="312" w:lineRule="auto"/>
              <w:ind w:left="0"/>
              <w:jc w:val="center"/>
              <w:rPr>
                <w:rFonts w:ascii="Arial" w:hAnsi="Arial" w:cs="Arial"/>
                <w:sz w:val="18"/>
                <w:szCs w:val="18"/>
              </w:rPr>
            </w:pPr>
            <w:r>
              <w:rPr>
                <w:rFonts w:ascii="Arial" w:hAnsi="Arial" w:cs="Arial"/>
                <w:sz w:val="18"/>
                <w:szCs w:val="18"/>
              </w:rPr>
              <w:t>0.143</w:t>
            </w:r>
          </w:p>
        </w:tc>
      </w:tr>
    </w:tbl>
    <w:p w14:paraId="71AD7AEC" w14:textId="77777777" w:rsidR="001A7BA5" w:rsidRDefault="00E44629" w:rsidP="001A7BA5">
      <w:pPr>
        <w:pStyle w:val="TableNote"/>
        <w:rPr>
          <w:szCs w:val="16"/>
        </w:rPr>
      </w:pPr>
      <w:r>
        <w:t xml:space="preserve">Source: </w:t>
      </w:r>
      <w:r>
        <w:rPr>
          <w:szCs w:val="16"/>
        </w:rPr>
        <w:t xml:space="preserve">National Greenhouse and Energy Reporting (Measurement) Determination </w:t>
      </w:r>
      <w:r w:rsidR="00FA3080">
        <w:rPr>
          <w:szCs w:val="16"/>
        </w:rPr>
        <w:t>2008</w:t>
      </w:r>
      <w:r w:rsidR="004B2F8B">
        <w:rPr>
          <w:szCs w:val="16"/>
        </w:rPr>
        <w:t xml:space="preserve"> </w:t>
      </w:r>
      <w:r w:rsidR="001A7BA5">
        <w:rPr>
          <w:szCs w:val="16"/>
        </w:rPr>
        <w:t>(Schedule 3, Part 5).</w:t>
      </w:r>
    </w:p>
    <w:p w14:paraId="2751A11A" w14:textId="77777777" w:rsidR="00E44629" w:rsidRDefault="00E44629" w:rsidP="00E44629">
      <w:pPr>
        <w:pStyle w:val="TableNote"/>
        <w:rPr>
          <w:szCs w:val="16"/>
        </w:rPr>
      </w:pPr>
      <w:r>
        <w:rPr>
          <w:szCs w:val="16"/>
        </w:rPr>
        <w:t>.</w:t>
      </w:r>
    </w:p>
    <w:p w14:paraId="019E358C" w14:textId="77777777" w:rsidR="00E42EFB" w:rsidRDefault="00E42EFB" w:rsidP="00554938">
      <w:pPr>
        <w:pStyle w:val="TableNote"/>
        <w:rPr>
          <w:szCs w:val="16"/>
        </w:rPr>
      </w:pPr>
    </w:p>
    <w:p w14:paraId="2D78D9D5" w14:textId="77777777" w:rsidR="002004FF" w:rsidRDefault="002004FF" w:rsidP="002004FF">
      <w:pPr>
        <w:pStyle w:val="Heading1"/>
        <w:numPr>
          <w:ilvl w:val="0"/>
          <w:numId w:val="0"/>
        </w:numPr>
        <w:shd w:val="clear" w:color="auto" w:fill="auto"/>
        <w:tabs>
          <w:tab w:val="left" w:pos="0"/>
          <w:tab w:val="left" w:pos="2250"/>
        </w:tabs>
        <w:spacing w:before="120" w:after="0" w:line="312" w:lineRule="auto"/>
        <w:rPr>
          <w:rFonts w:ascii="Arial" w:hAnsi="Arial" w:cs="Arial"/>
        </w:rPr>
      </w:pPr>
    </w:p>
    <w:p w14:paraId="10498D09" w14:textId="77777777" w:rsidR="002004FF" w:rsidRDefault="002004FF" w:rsidP="002004FF">
      <w:pPr>
        <w:pStyle w:val="BodyText"/>
      </w:pPr>
      <w:r>
        <w:br w:type="page"/>
      </w:r>
    </w:p>
    <w:p w14:paraId="70B44A47" w14:textId="77777777" w:rsidR="00010E2E" w:rsidRPr="00013789" w:rsidRDefault="00010E2E" w:rsidP="00013789">
      <w:pPr>
        <w:pStyle w:val="Heading1"/>
        <w:numPr>
          <w:ilvl w:val="0"/>
          <w:numId w:val="0"/>
        </w:numPr>
        <w:tabs>
          <w:tab w:val="left" w:pos="0"/>
          <w:tab w:val="left" w:pos="2250"/>
        </w:tabs>
        <w:spacing w:before="120" w:after="0" w:line="312" w:lineRule="auto"/>
        <w:rPr>
          <w:rFonts w:ascii="Arial" w:hAnsi="Arial" w:cs="Arial"/>
        </w:rPr>
      </w:pPr>
      <w:bookmarkStart w:id="153" w:name="_Toc391646685"/>
      <w:r>
        <w:rPr>
          <w:rFonts w:ascii="Arial" w:hAnsi="Arial" w:cs="Arial"/>
        </w:rPr>
        <w:t xml:space="preserve">Appendix 4   Scope 3 emission </w:t>
      </w:r>
      <w:bookmarkEnd w:id="147"/>
      <w:r>
        <w:rPr>
          <w:rFonts w:ascii="Arial" w:hAnsi="Arial" w:cs="Arial"/>
        </w:rPr>
        <w:t>factors</w:t>
      </w:r>
      <w:bookmarkEnd w:id="153"/>
    </w:p>
    <w:p w14:paraId="4F926A3C" w14:textId="77777777" w:rsidR="00010E2E" w:rsidRDefault="00010E2E" w:rsidP="00013789">
      <w:pPr>
        <w:pStyle w:val="BodyText"/>
        <w:tabs>
          <w:tab w:val="left" w:pos="0"/>
        </w:tabs>
        <w:spacing w:before="360" w:after="0" w:line="312" w:lineRule="auto"/>
        <w:ind w:left="0"/>
        <w:rPr>
          <w:rFonts w:ascii="Arial" w:hAnsi="Arial" w:cs="Arial"/>
        </w:rPr>
      </w:pPr>
      <w:r>
        <w:rPr>
          <w:rFonts w:ascii="Arial" w:hAnsi="Arial" w:cs="Arial"/>
          <w:bCs/>
        </w:rPr>
        <w:t>Various emission factors</w:t>
      </w:r>
      <w:r>
        <w:rPr>
          <w:rFonts w:ascii="Arial" w:hAnsi="Arial" w:cs="Arial"/>
        </w:rPr>
        <w:t xml:space="preserve"> can be used to calculate </w:t>
      </w:r>
      <w:r>
        <w:rPr>
          <w:rFonts w:ascii="Arial" w:hAnsi="Arial" w:cs="Arial"/>
          <w:bCs/>
          <w:u w:val="single"/>
        </w:rPr>
        <w:t>scope 3 emissions</w:t>
      </w:r>
      <w:r>
        <w:rPr>
          <w:rFonts w:ascii="Arial" w:hAnsi="Arial" w:cs="Arial"/>
          <w:szCs w:val="18"/>
        </w:rPr>
        <w:t>.  For ease of use, this workbook</w:t>
      </w:r>
      <w:r>
        <w:rPr>
          <w:rFonts w:ascii="Arial" w:hAnsi="Arial" w:cs="Arial"/>
        </w:rPr>
        <w:t xml:space="preserve"> reports </w:t>
      </w:r>
      <w:r>
        <w:rPr>
          <w:rFonts w:ascii="Arial" w:hAnsi="Arial" w:cs="Arial"/>
          <w:bCs/>
        </w:rPr>
        <w:t>specific ‘</w:t>
      </w:r>
      <w:r>
        <w:rPr>
          <w:rFonts w:ascii="Arial" w:hAnsi="Arial" w:cs="Arial"/>
          <w:bCs/>
          <w:szCs w:val="18"/>
        </w:rPr>
        <w:t>scope 3’ emission factors</w:t>
      </w:r>
      <w:r>
        <w:rPr>
          <w:rFonts w:ascii="Arial" w:hAnsi="Arial" w:cs="Arial"/>
          <w:szCs w:val="18"/>
        </w:rPr>
        <w:t xml:space="preserve"> for organisations that: </w:t>
      </w:r>
    </w:p>
    <w:p w14:paraId="3F025956" w14:textId="77777777" w:rsidR="00010E2E" w:rsidRDefault="00010E2E" w:rsidP="008F6129">
      <w:pPr>
        <w:pStyle w:val="BodyText"/>
        <w:numPr>
          <w:ilvl w:val="0"/>
          <w:numId w:val="12"/>
        </w:numPr>
        <w:tabs>
          <w:tab w:val="left" w:pos="0"/>
        </w:tabs>
        <w:spacing w:before="120" w:after="0" w:line="312" w:lineRule="auto"/>
        <w:rPr>
          <w:rFonts w:ascii="Arial" w:hAnsi="Arial" w:cs="Arial"/>
        </w:rPr>
      </w:pPr>
      <w:r>
        <w:rPr>
          <w:rFonts w:ascii="Arial" w:hAnsi="Arial" w:cs="Arial"/>
          <w:szCs w:val="18"/>
        </w:rPr>
        <w:t>burn fossil fuels: to estimate their indirect emissions attributable to the extraction, production and transport of those fuels; or</w:t>
      </w:r>
    </w:p>
    <w:p w14:paraId="582A1467" w14:textId="77777777" w:rsidR="00010E2E" w:rsidRDefault="00010E2E" w:rsidP="008F6129">
      <w:pPr>
        <w:pStyle w:val="BodyText"/>
        <w:numPr>
          <w:ilvl w:val="0"/>
          <w:numId w:val="12"/>
        </w:numPr>
        <w:tabs>
          <w:tab w:val="left" w:pos="0"/>
        </w:tabs>
        <w:spacing w:before="120" w:after="0" w:line="312" w:lineRule="auto"/>
        <w:rPr>
          <w:rFonts w:ascii="Arial" w:hAnsi="Arial" w:cs="Arial"/>
        </w:rPr>
      </w:pPr>
      <w:r>
        <w:rPr>
          <w:rFonts w:ascii="Arial" w:hAnsi="Arial" w:cs="Arial"/>
          <w:szCs w:val="18"/>
        </w:rPr>
        <w:t>consume purchased electricity: to estimate their indirect emissions from the extraction, production and transport of fuel burned at generation and the indirect emissions attributable to the electricity lost in delivery in the T&amp;D network.</w:t>
      </w:r>
    </w:p>
    <w:p w14:paraId="615D9D4A" w14:textId="77777777" w:rsidR="00010E2E" w:rsidRDefault="00010E2E">
      <w:pPr>
        <w:pStyle w:val="BodyText"/>
        <w:tabs>
          <w:tab w:val="left" w:pos="0"/>
        </w:tabs>
        <w:spacing w:before="120" w:after="0" w:line="312" w:lineRule="auto"/>
        <w:ind w:left="0"/>
        <w:rPr>
          <w:rFonts w:ascii="Arial" w:hAnsi="Arial" w:cs="Arial"/>
        </w:rPr>
      </w:pPr>
      <w:r>
        <w:rPr>
          <w:rFonts w:ascii="Arial" w:hAnsi="Arial" w:cs="Arial"/>
          <w:szCs w:val="18"/>
        </w:rPr>
        <w:t xml:space="preserve">More broadly, scope 3 emissions can include:  </w:t>
      </w:r>
    </w:p>
    <w:p w14:paraId="5F6812F9"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Disposal of waste generated (e.g.</w:t>
      </w:r>
      <w:r>
        <w:rPr>
          <w:rFonts w:ascii="Arial" w:hAnsi="Arial" w:cs="Arial"/>
        </w:rPr>
        <w:t xml:space="preserve"> if the waste is transported outside the organisation and disposed of);</w:t>
      </w:r>
    </w:p>
    <w:p w14:paraId="36ACB44C"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Use of products manufactured and sold;</w:t>
      </w:r>
    </w:p>
    <w:p w14:paraId="1A8D9949"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Disposal (end of life) of products sold;</w:t>
      </w:r>
    </w:p>
    <w:p w14:paraId="453E388C"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Employee business travel (in vehicles or aircraft not owned or operated by the reporting organisation);</w:t>
      </w:r>
    </w:p>
    <w:p w14:paraId="7F0C2115"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Employees commuting to and from work;</w:t>
      </w:r>
    </w:p>
    <w:p w14:paraId="0F5E14BF"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Extraction, production and transport of purchased fuels consumed;</w:t>
      </w:r>
    </w:p>
    <w:p w14:paraId="274EAF71"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Extraction, production and transport of other purchased materials or goods;</w:t>
      </w:r>
    </w:p>
    <w:p w14:paraId="10AD438B"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Purchase of electricity that is sold to an end user (reported by electricity retailer);</w:t>
      </w:r>
    </w:p>
    <w:p w14:paraId="6204D587"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Generation of electricity that is consumed in a T&amp;D system (reported by end user);</w:t>
      </w:r>
    </w:p>
    <w:p w14:paraId="6E80986C"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Out-sourced activities; and</w:t>
      </w:r>
    </w:p>
    <w:p w14:paraId="56645527" w14:textId="77777777" w:rsidR="00010E2E" w:rsidRDefault="00010E2E" w:rsidP="0099789B">
      <w:pPr>
        <w:pStyle w:val="BodyText"/>
        <w:numPr>
          <w:ilvl w:val="0"/>
          <w:numId w:val="26"/>
        </w:numPr>
        <w:tabs>
          <w:tab w:val="left" w:pos="0"/>
          <w:tab w:val="left" w:pos="990"/>
          <w:tab w:val="left" w:pos="2250"/>
        </w:tabs>
        <w:spacing w:before="120" w:after="0" w:line="312" w:lineRule="auto"/>
        <w:rPr>
          <w:rFonts w:ascii="Arial" w:hAnsi="Arial" w:cs="Arial"/>
        </w:rPr>
      </w:pPr>
      <w:r w:rsidRPr="0099789B">
        <w:rPr>
          <w:rFonts w:ascii="Arial" w:hAnsi="Arial" w:cs="Arial"/>
        </w:rPr>
        <w:t>Transportation of products, materials and waste.</w:t>
      </w:r>
    </w:p>
    <w:p w14:paraId="6223A4FD" w14:textId="77777777" w:rsidR="00010E2E" w:rsidRDefault="00010E2E">
      <w:pPr>
        <w:pStyle w:val="BodyText"/>
        <w:tabs>
          <w:tab w:val="left" w:pos="0"/>
          <w:tab w:val="left" w:pos="2250"/>
        </w:tabs>
        <w:spacing w:before="120" w:after="0" w:line="312" w:lineRule="auto"/>
        <w:ind w:left="0"/>
        <w:rPr>
          <w:rFonts w:ascii="Arial" w:hAnsi="Arial" w:cs="Arial"/>
          <w:szCs w:val="18"/>
        </w:rPr>
      </w:pPr>
      <w:r>
        <w:rPr>
          <w:rFonts w:ascii="Arial" w:hAnsi="Arial" w:cs="Arial"/>
          <w:szCs w:val="18"/>
        </w:rPr>
        <w:t>In some cases, scope 3 emissions from these activities can be calculated with the scope 1 emission factors provided in this document.  For example, if a company decides to report on emissions from an off-site activity, and has the necessary data, then the direct</w:t>
      </w:r>
      <w:r>
        <w:rPr>
          <w:rFonts w:ascii="Arial" w:hAnsi="Arial" w:cs="Arial"/>
        </w:rPr>
        <w:t xml:space="preserve"> (scope 1) emission factor could be used to calculate emissions, and these emissions would be reported as </w:t>
      </w:r>
      <w:r>
        <w:rPr>
          <w:rFonts w:ascii="Arial" w:hAnsi="Arial" w:cs="Arial"/>
          <w:bCs/>
        </w:rPr>
        <w:t>scope 3</w:t>
      </w:r>
      <w:r>
        <w:rPr>
          <w:rFonts w:ascii="Arial" w:hAnsi="Arial" w:cs="Arial"/>
        </w:rPr>
        <w:t xml:space="preserve">.  </w:t>
      </w:r>
    </w:p>
    <w:p w14:paraId="0C7D665D" w14:textId="77777777" w:rsidR="00D76245" w:rsidRDefault="00491D41" w:rsidP="00C23E3B">
      <w:pPr>
        <w:pStyle w:val="Caption"/>
      </w:pPr>
      <w:bookmarkStart w:id="154" w:name="_Toc391646721"/>
      <w:bookmarkStart w:id="155" w:name="_Toc485728145"/>
      <w:bookmarkStart w:id="156" w:name="_Ref183753672"/>
      <w:bookmarkStart w:id="157" w:name="_Toc185914430"/>
      <w:r>
        <w:t xml:space="preserve">Table </w:t>
      </w:r>
      <w:r w:rsidR="00DC52E0">
        <w:fldChar w:fldCharType="begin"/>
      </w:r>
      <w:r>
        <w:instrText xml:space="preserve"> SEQ Table \* ARABIC </w:instrText>
      </w:r>
      <w:r w:rsidR="00DC52E0">
        <w:fldChar w:fldCharType="separate"/>
      </w:r>
      <w:r w:rsidR="004A1330">
        <w:rPr>
          <w:noProof/>
        </w:rPr>
        <w:t>37</w:t>
      </w:r>
      <w:r w:rsidR="00DC52E0">
        <w:fldChar w:fldCharType="end"/>
      </w:r>
      <w:r w:rsidR="00B80F09" w:rsidRPr="00B80F09">
        <w:t>: Scope 3 emission factors –solid fuels and certain coal based products</w:t>
      </w:r>
      <w:bookmarkEnd w:id="154"/>
      <w:bookmarkEnd w:id="155"/>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3576"/>
      </w:tblGrid>
      <w:tr w:rsidR="00010E2E" w14:paraId="578F09E3" w14:textId="77777777" w:rsidTr="003F782F">
        <w:trPr>
          <w:cantSplit/>
          <w:trHeight w:val="310"/>
          <w:tblHeader/>
        </w:trPr>
        <w:tc>
          <w:tcPr>
            <w:tcW w:w="4788" w:type="dxa"/>
            <w:vMerge w:val="restart"/>
            <w:shd w:val="pct15" w:color="auto" w:fill="auto"/>
            <w:vAlign w:val="center"/>
          </w:tcPr>
          <w:bookmarkEnd w:id="156"/>
          <w:bookmarkEnd w:id="157"/>
          <w:p w14:paraId="41CCB934" w14:textId="77777777" w:rsidR="00010E2E" w:rsidRDefault="00010E2E" w:rsidP="00E719D0">
            <w:pPr>
              <w:pStyle w:val="Table"/>
              <w:jc w:val="center"/>
              <w:rPr>
                <w:b/>
                <w:bCs/>
              </w:rPr>
            </w:pPr>
            <w:r>
              <w:rPr>
                <w:rStyle w:val="Strong"/>
                <w:rFonts w:cs="Arial"/>
              </w:rPr>
              <w:t xml:space="preserve">Solid Fuels </w:t>
            </w:r>
            <w:r>
              <w:rPr>
                <w:b/>
                <w:bCs/>
              </w:rPr>
              <w:t>combusted</w:t>
            </w:r>
          </w:p>
        </w:tc>
        <w:tc>
          <w:tcPr>
            <w:tcW w:w="3576" w:type="dxa"/>
            <w:shd w:val="pct15" w:color="auto" w:fill="auto"/>
            <w:vAlign w:val="center"/>
          </w:tcPr>
          <w:p w14:paraId="65E9DB4D" w14:textId="77777777" w:rsidR="00010E2E" w:rsidRDefault="00010E2E" w:rsidP="00E719D0">
            <w:pPr>
              <w:pStyle w:val="TableCentre"/>
              <w:rPr>
                <w:b/>
                <w:bCs/>
              </w:rPr>
            </w:pPr>
            <w:r>
              <w:rPr>
                <w:b/>
                <w:bCs/>
              </w:rPr>
              <w:t>EF for scope 3</w:t>
            </w:r>
          </w:p>
        </w:tc>
      </w:tr>
      <w:tr w:rsidR="00010E2E" w14:paraId="12EAF81E" w14:textId="77777777" w:rsidTr="003F782F">
        <w:trPr>
          <w:cantSplit/>
          <w:trHeight w:val="85"/>
          <w:tblHeader/>
        </w:trPr>
        <w:tc>
          <w:tcPr>
            <w:tcW w:w="4788" w:type="dxa"/>
            <w:vMerge/>
            <w:shd w:val="pct15" w:color="auto" w:fill="auto"/>
            <w:vAlign w:val="center"/>
          </w:tcPr>
          <w:p w14:paraId="257B3F67" w14:textId="77777777" w:rsidR="00010E2E" w:rsidRDefault="00010E2E" w:rsidP="00E719D0">
            <w:pPr>
              <w:pStyle w:val="Table"/>
              <w:jc w:val="center"/>
              <w:rPr>
                <w:b/>
                <w:bCs/>
              </w:rPr>
            </w:pPr>
          </w:p>
        </w:tc>
        <w:tc>
          <w:tcPr>
            <w:tcW w:w="3576" w:type="dxa"/>
            <w:shd w:val="pct15" w:color="auto" w:fill="auto"/>
            <w:vAlign w:val="center"/>
          </w:tcPr>
          <w:p w14:paraId="043C2884" w14:textId="77777777" w:rsidR="00010E2E" w:rsidRDefault="00010E2E" w:rsidP="00E719D0">
            <w:pPr>
              <w:pStyle w:val="TableCentre"/>
              <w:rPr>
                <w:b/>
                <w:bCs/>
              </w:rPr>
            </w:pPr>
            <w:r>
              <w:rPr>
                <w:b/>
                <w:bCs/>
              </w:rPr>
              <w:t>kg CO</w:t>
            </w:r>
            <w:r>
              <w:rPr>
                <w:rStyle w:val="Subscript"/>
                <w:b/>
                <w:bCs/>
              </w:rPr>
              <w:t>2</w:t>
            </w:r>
            <w:r>
              <w:rPr>
                <w:b/>
                <w:bCs/>
              </w:rPr>
              <w:t>-e/GJ</w:t>
            </w:r>
          </w:p>
        </w:tc>
      </w:tr>
      <w:tr w:rsidR="00010E2E" w14:paraId="5918EE21" w14:textId="77777777" w:rsidTr="003F782F">
        <w:tc>
          <w:tcPr>
            <w:tcW w:w="4788" w:type="dxa"/>
          </w:tcPr>
          <w:p w14:paraId="5B3D5829" w14:textId="77777777" w:rsidR="00010E2E" w:rsidRDefault="00833813" w:rsidP="00833813">
            <w:pPr>
              <w:pStyle w:val="Table"/>
            </w:pPr>
            <w:r w:rsidRPr="003F782F">
              <w:rPr>
                <w:snapToGrid w:val="0"/>
              </w:rPr>
              <w:t xml:space="preserve">Bituminous coal </w:t>
            </w:r>
          </w:p>
        </w:tc>
        <w:tc>
          <w:tcPr>
            <w:tcW w:w="3576" w:type="dxa"/>
          </w:tcPr>
          <w:p w14:paraId="5B6BFEC0" w14:textId="77777777" w:rsidR="00010E2E" w:rsidRDefault="00F22F61">
            <w:pPr>
              <w:pStyle w:val="TableCentre"/>
            </w:pPr>
            <w:r>
              <w:t>3.0</w:t>
            </w:r>
          </w:p>
        </w:tc>
      </w:tr>
      <w:tr w:rsidR="00833813" w14:paraId="4E7866AA" w14:textId="77777777" w:rsidTr="003F782F">
        <w:trPr>
          <w:trHeight w:val="405"/>
        </w:trPr>
        <w:tc>
          <w:tcPr>
            <w:tcW w:w="4788" w:type="dxa"/>
          </w:tcPr>
          <w:p w14:paraId="2C7454C9" w14:textId="77777777" w:rsidR="00833813" w:rsidRDefault="00833813">
            <w:pPr>
              <w:pStyle w:val="Table"/>
            </w:pPr>
            <w:r w:rsidRPr="003F782F">
              <w:rPr>
                <w:snapToGrid w:val="0"/>
              </w:rPr>
              <w:t>Sub-bituminous coal</w:t>
            </w:r>
          </w:p>
        </w:tc>
        <w:tc>
          <w:tcPr>
            <w:tcW w:w="3576" w:type="dxa"/>
          </w:tcPr>
          <w:p w14:paraId="05E572F9" w14:textId="77777777" w:rsidR="00833813" w:rsidRDefault="00F22F61">
            <w:pPr>
              <w:pStyle w:val="TableCentre"/>
            </w:pPr>
            <w:r>
              <w:t>2.5</w:t>
            </w:r>
          </w:p>
        </w:tc>
      </w:tr>
      <w:tr w:rsidR="00010E2E" w14:paraId="047CB59B" w14:textId="77777777" w:rsidTr="003F782F">
        <w:trPr>
          <w:trHeight w:val="405"/>
        </w:trPr>
        <w:tc>
          <w:tcPr>
            <w:tcW w:w="4788" w:type="dxa"/>
          </w:tcPr>
          <w:p w14:paraId="7C07680A" w14:textId="77777777" w:rsidR="00010E2E" w:rsidRDefault="00010E2E">
            <w:pPr>
              <w:pStyle w:val="Table"/>
            </w:pPr>
            <w:r>
              <w:t xml:space="preserve">Brown coal </w:t>
            </w:r>
          </w:p>
        </w:tc>
        <w:tc>
          <w:tcPr>
            <w:tcW w:w="3576" w:type="dxa"/>
          </w:tcPr>
          <w:p w14:paraId="432F3122" w14:textId="77777777" w:rsidR="00010E2E" w:rsidRDefault="00F22F61" w:rsidP="00F22F61">
            <w:pPr>
              <w:pStyle w:val="TableCentre"/>
              <w:tabs>
                <w:tab w:val="center" w:pos="1680"/>
                <w:tab w:val="left" w:pos="2281"/>
              </w:tabs>
              <w:jc w:val="left"/>
            </w:pPr>
            <w:r>
              <w:tab/>
            </w:r>
            <w:r>
              <w:tab/>
              <w:t>0.4</w:t>
            </w:r>
            <w:r>
              <w:tab/>
            </w:r>
          </w:p>
        </w:tc>
      </w:tr>
      <w:tr w:rsidR="00010E2E" w14:paraId="1D36259B" w14:textId="77777777" w:rsidTr="003F782F">
        <w:tc>
          <w:tcPr>
            <w:tcW w:w="4788" w:type="dxa"/>
          </w:tcPr>
          <w:p w14:paraId="3F4F9D07" w14:textId="77777777" w:rsidR="00010E2E" w:rsidRDefault="00010E2E">
            <w:pPr>
              <w:pStyle w:val="Table"/>
            </w:pPr>
            <w:r>
              <w:t xml:space="preserve">Coking coal </w:t>
            </w:r>
          </w:p>
        </w:tc>
        <w:tc>
          <w:tcPr>
            <w:tcW w:w="3576" w:type="dxa"/>
          </w:tcPr>
          <w:p w14:paraId="6C47E557" w14:textId="77777777" w:rsidR="00010E2E" w:rsidRDefault="00F22F61">
            <w:pPr>
              <w:pStyle w:val="TableCentre"/>
            </w:pPr>
            <w:r>
              <w:t>6.4</w:t>
            </w:r>
          </w:p>
        </w:tc>
      </w:tr>
      <w:tr w:rsidR="00010E2E" w14:paraId="4D6E7042" w14:textId="77777777" w:rsidTr="003F782F">
        <w:tc>
          <w:tcPr>
            <w:tcW w:w="4788" w:type="dxa"/>
          </w:tcPr>
          <w:p w14:paraId="414D6D78" w14:textId="77777777" w:rsidR="00010E2E" w:rsidRDefault="009D0B79">
            <w:pPr>
              <w:pStyle w:val="Table"/>
            </w:pPr>
            <w:r>
              <w:t>C</w:t>
            </w:r>
            <w:r w:rsidR="00010E2E">
              <w:t>oal briquettes</w:t>
            </w:r>
          </w:p>
        </w:tc>
        <w:tc>
          <w:tcPr>
            <w:tcW w:w="3576" w:type="dxa"/>
          </w:tcPr>
          <w:p w14:paraId="526D7D58" w14:textId="77777777" w:rsidR="00010E2E" w:rsidRDefault="00833813">
            <w:pPr>
              <w:pStyle w:val="TableCentre"/>
            </w:pPr>
            <w:r>
              <w:t>NE</w:t>
            </w:r>
          </w:p>
        </w:tc>
      </w:tr>
      <w:tr w:rsidR="00010E2E" w14:paraId="07818AC1" w14:textId="77777777" w:rsidTr="003F782F">
        <w:tc>
          <w:tcPr>
            <w:tcW w:w="4788" w:type="dxa"/>
          </w:tcPr>
          <w:p w14:paraId="20D58545" w14:textId="77777777" w:rsidR="00010E2E" w:rsidRDefault="00010E2E">
            <w:pPr>
              <w:pStyle w:val="Table"/>
            </w:pPr>
            <w:r>
              <w:t>C</w:t>
            </w:r>
            <w:r w:rsidR="009D0B79">
              <w:t>oal</w:t>
            </w:r>
            <w:r>
              <w:t xml:space="preserve"> coke</w:t>
            </w:r>
          </w:p>
        </w:tc>
        <w:tc>
          <w:tcPr>
            <w:tcW w:w="3576" w:type="dxa"/>
          </w:tcPr>
          <w:p w14:paraId="3A66741F" w14:textId="77777777" w:rsidR="00010E2E" w:rsidRDefault="00833813">
            <w:pPr>
              <w:pStyle w:val="TableCentre"/>
            </w:pPr>
            <w:r>
              <w:t>NE</w:t>
            </w:r>
          </w:p>
        </w:tc>
      </w:tr>
      <w:tr w:rsidR="00010E2E" w14:paraId="39ADE936" w14:textId="77777777" w:rsidTr="003F782F">
        <w:tc>
          <w:tcPr>
            <w:tcW w:w="4788" w:type="dxa"/>
          </w:tcPr>
          <w:p w14:paraId="0FB4B827" w14:textId="77777777" w:rsidR="00010E2E" w:rsidRDefault="00010E2E">
            <w:pPr>
              <w:pStyle w:val="Table"/>
            </w:pPr>
            <w:r>
              <w:t>Solid fossil fuels other than those mentioned above</w:t>
            </w:r>
          </w:p>
        </w:tc>
        <w:tc>
          <w:tcPr>
            <w:tcW w:w="3576" w:type="dxa"/>
          </w:tcPr>
          <w:p w14:paraId="23095FD3" w14:textId="77777777" w:rsidR="00010E2E" w:rsidRDefault="00010E2E">
            <w:pPr>
              <w:pStyle w:val="TableCentre"/>
              <w:rPr>
                <w:bCs/>
              </w:rPr>
            </w:pPr>
            <w:r>
              <w:rPr>
                <w:bCs/>
              </w:rPr>
              <w:t>NE</w:t>
            </w:r>
          </w:p>
        </w:tc>
      </w:tr>
    </w:tbl>
    <w:p w14:paraId="5FD88200" w14:textId="77777777" w:rsidR="00554938" w:rsidRDefault="00554938" w:rsidP="00554938">
      <w:pPr>
        <w:pStyle w:val="TableNote"/>
        <w:rPr>
          <w:szCs w:val="16"/>
        </w:rPr>
      </w:pPr>
    </w:p>
    <w:p w14:paraId="10001B7C" w14:textId="77777777" w:rsidR="00010E2E" w:rsidRDefault="00010E2E">
      <w:pPr>
        <w:ind w:left="0"/>
        <w:rPr>
          <w:rFonts w:ascii="Arial" w:hAnsi="Arial" w:cs="Arial"/>
          <w:sz w:val="16"/>
        </w:rPr>
      </w:pPr>
      <w:r>
        <w:rPr>
          <w:rFonts w:ascii="Arial" w:hAnsi="Arial" w:cs="Arial"/>
          <w:sz w:val="16"/>
        </w:rPr>
        <w:t>Note: NE = Not estimated</w:t>
      </w:r>
    </w:p>
    <w:p w14:paraId="6F2B2395" w14:textId="77777777" w:rsidR="00554938" w:rsidRDefault="00554938">
      <w:pPr>
        <w:ind w:left="0"/>
        <w:rPr>
          <w:rFonts w:ascii="Arial" w:hAnsi="Arial" w:cs="Arial"/>
          <w:sz w:val="16"/>
        </w:rPr>
      </w:pPr>
    </w:p>
    <w:p w14:paraId="65010C87" w14:textId="77777777" w:rsidR="00296E69" w:rsidRDefault="00296E69">
      <w:pPr>
        <w:pStyle w:val="EquationNote"/>
      </w:pPr>
    </w:p>
    <w:p w14:paraId="744A8B8E" w14:textId="77777777" w:rsidR="00296E69" w:rsidRPr="00296E69" w:rsidRDefault="00296E69">
      <w:pPr>
        <w:pStyle w:val="EquationNote"/>
        <w:rPr>
          <w:b/>
          <w:iCs w:val="0"/>
          <w:spacing w:val="-4"/>
          <w:kern w:val="28"/>
          <w:sz w:val="22"/>
        </w:rPr>
      </w:pPr>
      <w:r w:rsidRPr="00296E69">
        <w:rPr>
          <w:b/>
          <w:iCs w:val="0"/>
          <w:spacing w:val="-4"/>
          <w:kern w:val="28"/>
          <w:sz w:val="22"/>
        </w:rPr>
        <w:t>Gaseous</w:t>
      </w:r>
      <w:r w:rsidR="00345E7B" w:rsidRPr="00345E7B">
        <w:rPr>
          <w:b/>
          <w:iCs w:val="0"/>
          <w:spacing w:val="-4"/>
          <w:kern w:val="28"/>
          <w:sz w:val="22"/>
        </w:rPr>
        <w:t xml:space="preserve"> fuel </w:t>
      </w:r>
      <w:r w:rsidRPr="00296E69">
        <w:rPr>
          <w:b/>
          <w:iCs w:val="0"/>
          <w:spacing w:val="-4"/>
          <w:kern w:val="28"/>
          <w:sz w:val="22"/>
        </w:rPr>
        <w:t>emissions</w:t>
      </w:r>
      <w:r w:rsidR="00B43BFA">
        <w:rPr>
          <w:b/>
          <w:iCs w:val="0"/>
          <w:spacing w:val="-4"/>
          <w:kern w:val="28"/>
          <w:sz w:val="22"/>
        </w:rPr>
        <w:t xml:space="preserve"> s</w:t>
      </w:r>
      <w:r>
        <w:rPr>
          <w:b/>
          <w:iCs w:val="0"/>
          <w:spacing w:val="-4"/>
          <w:kern w:val="28"/>
          <w:sz w:val="22"/>
        </w:rPr>
        <w:t>cope 3</w:t>
      </w:r>
      <w:r w:rsidR="00345E7B" w:rsidRPr="00345E7B">
        <w:rPr>
          <w:b/>
          <w:iCs w:val="0"/>
          <w:spacing w:val="-4"/>
          <w:kern w:val="28"/>
          <w:sz w:val="22"/>
        </w:rPr>
        <w:t xml:space="preserve"> </w:t>
      </w:r>
      <w:r>
        <w:rPr>
          <w:b/>
          <w:iCs w:val="0"/>
          <w:spacing w:val="-4"/>
          <w:kern w:val="28"/>
          <w:sz w:val="22"/>
        </w:rPr>
        <w:t xml:space="preserve">factors </w:t>
      </w:r>
      <w:r w:rsidR="00345E7B" w:rsidRPr="00345E7B">
        <w:rPr>
          <w:b/>
          <w:iCs w:val="0"/>
          <w:spacing w:val="-4"/>
          <w:kern w:val="28"/>
          <w:sz w:val="22"/>
        </w:rPr>
        <w:t xml:space="preserve">for end users </w:t>
      </w:r>
    </w:p>
    <w:p w14:paraId="6AD8B1BB" w14:textId="77777777" w:rsidR="00296E69" w:rsidRPr="008F6129" w:rsidRDefault="00296E69" w:rsidP="008F6129">
      <w:pPr>
        <w:pStyle w:val="BodyText"/>
        <w:tabs>
          <w:tab w:val="left" w:pos="0"/>
          <w:tab w:val="left" w:pos="2250"/>
        </w:tabs>
        <w:spacing w:after="0" w:line="312" w:lineRule="auto"/>
        <w:ind w:left="0"/>
        <w:rPr>
          <w:rFonts w:ascii="Arial" w:hAnsi="Arial" w:cs="Arial"/>
          <w:szCs w:val="18"/>
        </w:rPr>
      </w:pPr>
    </w:p>
    <w:p w14:paraId="1627498C" w14:textId="77777777" w:rsidR="00EB2800" w:rsidRPr="00A8476D" w:rsidRDefault="00EB2800" w:rsidP="00EB2800">
      <w:pPr>
        <w:pStyle w:val="BodyText"/>
        <w:tabs>
          <w:tab w:val="left" w:pos="0"/>
          <w:tab w:val="left" w:pos="990"/>
          <w:tab w:val="left" w:pos="2250"/>
        </w:tabs>
        <w:spacing w:before="120" w:after="0" w:line="312" w:lineRule="auto"/>
        <w:ind w:left="0"/>
        <w:rPr>
          <w:rFonts w:ascii="Arial" w:hAnsi="Arial" w:cs="Arial"/>
        </w:rPr>
      </w:pPr>
      <w:r w:rsidRPr="00A8476D">
        <w:rPr>
          <w:rFonts w:ascii="Arial" w:hAnsi="Arial" w:cs="Arial"/>
        </w:rPr>
        <w:t xml:space="preserve">Greenhouse gas emissions </w:t>
      </w:r>
      <w:r>
        <w:rPr>
          <w:rFonts w:ascii="Arial" w:hAnsi="Arial" w:cs="Arial"/>
        </w:rPr>
        <w:t xml:space="preserve">from gaseous fuels </w:t>
      </w:r>
      <w:r w:rsidRPr="00A8476D">
        <w:rPr>
          <w:rFonts w:ascii="Arial" w:hAnsi="Arial" w:cs="Arial"/>
        </w:rPr>
        <w:t>are generated from a large number of processes and from a range of often diffuse sources</w:t>
      </w:r>
      <w:r>
        <w:rPr>
          <w:rFonts w:ascii="Arial" w:hAnsi="Arial" w:cs="Arial"/>
        </w:rPr>
        <w:t xml:space="preserve"> and production, distribution and consumption processes</w:t>
      </w:r>
      <w:r w:rsidRPr="00A8476D">
        <w:rPr>
          <w:rFonts w:ascii="Arial" w:hAnsi="Arial" w:cs="Arial"/>
        </w:rPr>
        <w:t xml:space="preserve">. Emissions are not usually monitored directly but are estimated through the application of models and methodologies that link emissions to data on observable activities. </w:t>
      </w:r>
    </w:p>
    <w:p w14:paraId="7C3D4803" w14:textId="77777777" w:rsidR="005027D4" w:rsidRDefault="005027D4" w:rsidP="005027D4">
      <w:pPr>
        <w:pStyle w:val="BodyText"/>
        <w:tabs>
          <w:tab w:val="left" w:pos="0"/>
          <w:tab w:val="left" w:pos="990"/>
          <w:tab w:val="left" w:pos="2250"/>
        </w:tabs>
        <w:spacing w:before="120" w:after="0" w:line="312" w:lineRule="auto"/>
        <w:ind w:left="0"/>
        <w:rPr>
          <w:rFonts w:ascii="Arial" w:hAnsi="Arial" w:cs="Arial"/>
        </w:rPr>
      </w:pPr>
      <w:r w:rsidRPr="00A8476D">
        <w:rPr>
          <w:rFonts w:ascii="Arial" w:hAnsi="Arial" w:cs="Arial"/>
        </w:rPr>
        <w:t xml:space="preserve">In line with </w:t>
      </w:r>
      <w:r>
        <w:rPr>
          <w:rFonts w:ascii="Arial" w:hAnsi="Arial" w:cs="Arial"/>
        </w:rPr>
        <w:t xml:space="preserve">its </w:t>
      </w:r>
      <w:r w:rsidRPr="00A8476D">
        <w:rPr>
          <w:rFonts w:ascii="Arial" w:hAnsi="Arial" w:cs="Arial"/>
        </w:rPr>
        <w:t xml:space="preserve">IPCC </w:t>
      </w:r>
      <w:r>
        <w:rPr>
          <w:rFonts w:ascii="Arial" w:hAnsi="Arial" w:cs="Arial"/>
        </w:rPr>
        <w:t>obligations,</w:t>
      </w:r>
      <w:r w:rsidRPr="00A8476D">
        <w:rPr>
          <w:rFonts w:ascii="Arial" w:hAnsi="Arial" w:cs="Arial"/>
        </w:rPr>
        <w:t xml:space="preserve"> the </w:t>
      </w:r>
      <w:r>
        <w:rPr>
          <w:rFonts w:ascii="Arial" w:hAnsi="Arial" w:cs="Arial"/>
        </w:rPr>
        <w:t>D</w:t>
      </w:r>
      <w:r w:rsidRPr="00A8476D">
        <w:rPr>
          <w:rFonts w:ascii="Arial" w:hAnsi="Arial" w:cs="Arial"/>
        </w:rPr>
        <w:t>epartment routinely considers ways to improve the quality of activity data, emissions factors, methods and other relevant technical elements of inventories</w:t>
      </w:r>
      <w:r>
        <w:rPr>
          <w:rFonts w:ascii="Arial" w:hAnsi="Arial" w:cs="Arial"/>
        </w:rPr>
        <w:t xml:space="preserve"> - t</w:t>
      </w:r>
      <w:r w:rsidRPr="00A8476D">
        <w:rPr>
          <w:rFonts w:ascii="Arial" w:hAnsi="Arial" w:cs="Arial"/>
        </w:rPr>
        <w:t>hat this and other factors are subject to a rigorous and on</w:t>
      </w:r>
      <w:r>
        <w:rPr>
          <w:rFonts w:ascii="Arial" w:hAnsi="Arial" w:cs="Arial"/>
        </w:rPr>
        <w:t>going improvement plan, including annual public consultation on emissions measurement methods provided in NGER</w:t>
      </w:r>
      <w:r w:rsidR="00DB0983">
        <w:rPr>
          <w:rFonts w:ascii="Arial" w:hAnsi="Arial" w:cs="Arial"/>
        </w:rPr>
        <w:t>s</w:t>
      </w:r>
      <w:r w:rsidRPr="00D07084">
        <w:rPr>
          <w:rFonts w:ascii="Arial" w:hAnsi="Arial" w:cs="Arial"/>
        </w:rPr>
        <w:t xml:space="preserve"> </w:t>
      </w:r>
      <w:r w:rsidRPr="00AC49E1">
        <w:rPr>
          <w:rFonts w:ascii="Arial" w:hAnsi="Arial" w:cs="Arial"/>
        </w:rPr>
        <w:t>Measurement Determination</w:t>
      </w:r>
      <w:r>
        <w:rPr>
          <w:rFonts w:ascii="Arial" w:hAnsi="Arial" w:cs="Arial"/>
        </w:rPr>
        <w:t xml:space="preserve">. </w:t>
      </w:r>
    </w:p>
    <w:p w14:paraId="56009838" w14:textId="77777777" w:rsidR="00EB2800" w:rsidRPr="00A8476D" w:rsidRDefault="00EB2800" w:rsidP="00EB2800">
      <w:pPr>
        <w:pStyle w:val="BodyText"/>
        <w:tabs>
          <w:tab w:val="left" w:pos="0"/>
          <w:tab w:val="left" w:pos="990"/>
          <w:tab w:val="left" w:pos="2250"/>
        </w:tabs>
        <w:spacing w:before="120" w:after="0" w:line="312" w:lineRule="auto"/>
        <w:ind w:left="0"/>
        <w:rPr>
          <w:rFonts w:ascii="Arial" w:hAnsi="Arial" w:cs="Arial"/>
        </w:rPr>
      </w:pPr>
      <w:r w:rsidRPr="00A8476D">
        <w:rPr>
          <w:rFonts w:ascii="Arial" w:hAnsi="Arial" w:cs="Arial"/>
        </w:rPr>
        <w:t>The methods used to develop scope 3 emission factor</w:t>
      </w:r>
      <w:r w:rsidR="005027D4">
        <w:rPr>
          <w:rFonts w:ascii="Arial" w:hAnsi="Arial" w:cs="Arial"/>
        </w:rPr>
        <w:t>s</w:t>
      </w:r>
      <w:r w:rsidRPr="00A8476D">
        <w:rPr>
          <w:rFonts w:ascii="Arial" w:hAnsi="Arial" w:cs="Arial"/>
        </w:rPr>
        <w:t xml:space="preserve"> for </w:t>
      </w:r>
      <w:r>
        <w:rPr>
          <w:rFonts w:ascii="Arial" w:hAnsi="Arial" w:cs="Arial"/>
        </w:rPr>
        <w:t>gaseous fuels</w:t>
      </w:r>
      <w:r w:rsidRPr="00A8476D">
        <w:rPr>
          <w:rFonts w:ascii="Arial" w:hAnsi="Arial" w:cs="Arial"/>
        </w:rPr>
        <w:t xml:space="preserve"> are consistent with the </w:t>
      </w:r>
      <w:r w:rsidR="002A014C">
        <w:rPr>
          <w:rFonts w:ascii="Arial" w:hAnsi="Arial" w:cs="Arial"/>
        </w:rPr>
        <w:t>2006</w:t>
      </w:r>
      <w:r w:rsidRPr="00A8476D">
        <w:rPr>
          <w:rFonts w:ascii="Arial" w:hAnsi="Arial" w:cs="Arial"/>
        </w:rPr>
        <w:t xml:space="preserve"> IPCC Guidelines for National Greenhouse Gas Inventories (IPCC 1997) and are comparable with international practice.  </w:t>
      </w:r>
    </w:p>
    <w:p w14:paraId="6FDC835E" w14:textId="77777777" w:rsidR="00B80F09" w:rsidRDefault="005027D4" w:rsidP="00B80F09">
      <w:pPr>
        <w:pStyle w:val="BodyText"/>
        <w:tabs>
          <w:tab w:val="left" w:pos="0"/>
          <w:tab w:val="left" w:pos="990"/>
          <w:tab w:val="left" w:pos="2250"/>
        </w:tabs>
        <w:spacing w:before="120" w:after="100" w:afterAutospacing="1" w:line="312" w:lineRule="auto"/>
        <w:ind w:left="0"/>
        <w:rPr>
          <w:rFonts w:ascii="Arial" w:hAnsi="Arial" w:cs="Arial"/>
        </w:rPr>
      </w:pPr>
      <w:r>
        <w:rPr>
          <w:rFonts w:ascii="Arial" w:hAnsi="Arial" w:cs="Arial"/>
        </w:rPr>
        <w:t>S</w:t>
      </w:r>
      <w:r w:rsidR="00985EA0" w:rsidRPr="00AC49E1">
        <w:rPr>
          <w:rFonts w:ascii="Arial" w:hAnsi="Arial" w:cs="Arial"/>
        </w:rPr>
        <w:t>cope 3 emissions factors for natural gas</w:t>
      </w:r>
      <w:r w:rsidR="00285B0A">
        <w:rPr>
          <w:rFonts w:ascii="Arial" w:hAnsi="Arial" w:cs="Arial"/>
        </w:rPr>
        <w:t xml:space="preserve"> </w:t>
      </w:r>
      <w:r>
        <w:rPr>
          <w:rFonts w:ascii="Arial" w:hAnsi="Arial" w:cs="Arial"/>
        </w:rPr>
        <w:t xml:space="preserve">are based on </w:t>
      </w:r>
      <w:r w:rsidR="00985EA0" w:rsidRPr="00AC49E1">
        <w:rPr>
          <w:rFonts w:ascii="Arial" w:hAnsi="Arial" w:cs="Arial"/>
        </w:rPr>
        <w:t xml:space="preserve">data collected under the </w:t>
      </w:r>
      <w:r w:rsidR="00B80F09" w:rsidRPr="00B80F09">
        <w:rPr>
          <w:rFonts w:ascii="Arial" w:hAnsi="Arial" w:cs="Arial"/>
          <w:i/>
        </w:rPr>
        <w:t xml:space="preserve">National Greenhouse and Energy Reporting (NGER) Act 2007 </w:t>
      </w:r>
      <w:r w:rsidR="00985EA0" w:rsidRPr="00AC49E1">
        <w:rPr>
          <w:rFonts w:ascii="Arial" w:hAnsi="Arial" w:cs="Arial"/>
        </w:rPr>
        <w:t xml:space="preserve">covering the period 1 July 2008 to 30 June 2009. </w:t>
      </w:r>
      <w:r>
        <w:rPr>
          <w:rFonts w:ascii="Arial" w:hAnsi="Arial" w:cs="Arial"/>
        </w:rPr>
        <w:t xml:space="preserve">Data </w:t>
      </w:r>
      <w:r w:rsidR="00DE4EC3">
        <w:rPr>
          <w:rFonts w:ascii="Arial" w:hAnsi="Arial" w:cs="Arial"/>
        </w:rPr>
        <w:t>associated</w:t>
      </w:r>
      <w:r>
        <w:rPr>
          <w:rFonts w:ascii="Arial" w:hAnsi="Arial" w:cs="Arial"/>
        </w:rPr>
        <w:t xml:space="preserve"> with the following emission sources reported under NGERS</w:t>
      </w:r>
      <w:r w:rsidR="00DE4EC3">
        <w:rPr>
          <w:rFonts w:ascii="Arial" w:hAnsi="Arial" w:cs="Arial"/>
        </w:rPr>
        <w:t xml:space="preserve"> were incorporated in the scope 3 factors:</w:t>
      </w:r>
      <w:r w:rsidR="00985EA0" w:rsidRPr="00AC49E1">
        <w:rPr>
          <w:rFonts w:ascii="Arial" w:hAnsi="Arial" w:cs="Arial"/>
        </w:rP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17"/>
        <w:gridCol w:w="2603"/>
        <w:gridCol w:w="2583"/>
      </w:tblGrid>
      <w:tr w:rsidR="00DE4EC3" w14:paraId="576178AA" w14:textId="77777777" w:rsidTr="00B235FD">
        <w:trPr>
          <w:jc w:val="center"/>
        </w:trPr>
        <w:tc>
          <w:tcPr>
            <w:tcW w:w="2617" w:type="dxa"/>
            <w:shd w:val="clear" w:color="auto" w:fill="F2F2F2" w:themeFill="background1" w:themeFillShade="F2"/>
          </w:tcPr>
          <w:p w14:paraId="79A8A3FB" w14:textId="77777777" w:rsidR="00B80F09" w:rsidRPr="00B80F09" w:rsidRDefault="00B80F09" w:rsidP="00B80F09">
            <w:pPr>
              <w:pStyle w:val="TableCentre"/>
              <w:jc w:val="left"/>
              <w:rPr>
                <w:b/>
                <w:bCs/>
                <w:sz w:val="18"/>
                <w:szCs w:val="18"/>
              </w:rPr>
            </w:pPr>
            <w:r w:rsidRPr="00B80F09">
              <w:rPr>
                <w:b/>
                <w:bCs/>
                <w:sz w:val="18"/>
                <w:szCs w:val="18"/>
              </w:rPr>
              <w:t>Emission source</w:t>
            </w:r>
          </w:p>
        </w:tc>
        <w:tc>
          <w:tcPr>
            <w:tcW w:w="2603" w:type="dxa"/>
            <w:shd w:val="clear" w:color="auto" w:fill="F2F2F2" w:themeFill="background1" w:themeFillShade="F2"/>
          </w:tcPr>
          <w:p w14:paraId="55A7D7AF" w14:textId="77777777" w:rsidR="00B80F09" w:rsidRPr="00B80F09" w:rsidRDefault="00B80F09" w:rsidP="00B80F09">
            <w:pPr>
              <w:pStyle w:val="TableCentre"/>
              <w:jc w:val="left"/>
              <w:rPr>
                <w:b/>
                <w:bCs/>
                <w:sz w:val="18"/>
                <w:szCs w:val="18"/>
              </w:rPr>
            </w:pPr>
            <w:r w:rsidRPr="00B80F09">
              <w:rPr>
                <w:b/>
                <w:bCs/>
                <w:sz w:val="18"/>
                <w:szCs w:val="18"/>
              </w:rPr>
              <w:t>Fuel combustion</w:t>
            </w:r>
          </w:p>
        </w:tc>
        <w:tc>
          <w:tcPr>
            <w:tcW w:w="2583" w:type="dxa"/>
            <w:shd w:val="clear" w:color="auto" w:fill="F2F2F2" w:themeFill="background1" w:themeFillShade="F2"/>
          </w:tcPr>
          <w:p w14:paraId="230A2606" w14:textId="77777777" w:rsidR="00B80F09" w:rsidRPr="00B80F09" w:rsidRDefault="00B80F09" w:rsidP="00B80F09">
            <w:pPr>
              <w:pStyle w:val="TableCentre"/>
              <w:jc w:val="left"/>
              <w:rPr>
                <w:b/>
                <w:bCs/>
                <w:sz w:val="18"/>
                <w:szCs w:val="18"/>
              </w:rPr>
            </w:pPr>
            <w:r w:rsidRPr="00B80F09">
              <w:rPr>
                <w:b/>
                <w:bCs/>
                <w:sz w:val="18"/>
                <w:szCs w:val="18"/>
              </w:rPr>
              <w:t>Fugitive emissions</w:t>
            </w:r>
          </w:p>
        </w:tc>
      </w:tr>
      <w:tr w:rsidR="00DE4EC3" w14:paraId="112D7F9F" w14:textId="77777777" w:rsidTr="00B235FD">
        <w:trPr>
          <w:jc w:val="center"/>
        </w:trPr>
        <w:tc>
          <w:tcPr>
            <w:tcW w:w="2617" w:type="dxa"/>
          </w:tcPr>
          <w:p w14:paraId="515EEC58" w14:textId="77777777" w:rsidR="00DE4EC3" w:rsidRPr="00351441" w:rsidRDefault="00B80F09" w:rsidP="00DE4EC3">
            <w:pPr>
              <w:pStyle w:val="BodyText"/>
              <w:tabs>
                <w:tab w:val="left" w:pos="0"/>
                <w:tab w:val="left" w:pos="990"/>
                <w:tab w:val="left" w:pos="2250"/>
              </w:tabs>
              <w:spacing w:before="120" w:after="0" w:line="312" w:lineRule="auto"/>
              <w:ind w:left="0"/>
              <w:rPr>
                <w:rFonts w:ascii="Arial" w:hAnsi="Arial" w:cs="Arial"/>
                <w:sz w:val="18"/>
                <w:szCs w:val="18"/>
              </w:rPr>
            </w:pPr>
            <w:r w:rsidRPr="00B80F09">
              <w:rPr>
                <w:rFonts w:ascii="Arial" w:hAnsi="Arial" w:cs="Arial"/>
                <w:sz w:val="18"/>
                <w:szCs w:val="18"/>
              </w:rPr>
              <w:t>Natural gas exploration</w:t>
            </w:r>
          </w:p>
        </w:tc>
        <w:tc>
          <w:tcPr>
            <w:tcW w:w="2603" w:type="dxa"/>
          </w:tcPr>
          <w:p w14:paraId="419DDCF6"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c>
          <w:tcPr>
            <w:tcW w:w="2583" w:type="dxa"/>
          </w:tcPr>
          <w:p w14:paraId="60329FE8"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r>
      <w:tr w:rsidR="00DE4EC3" w14:paraId="0D8A7931" w14:textId="77777777" w:rsidTr="00B235FD">
        <w:trPr>
          <w:jc w:val="center"/>
        </w:trPr>
        <w:tc>
          <w:tcPr>
            <w:tcW w:w="2617" w:type="dxa"/>
          </w:tcPr>
          <w:p w14:paraId="19859F4D" w14:textId="77777777" w:rsidR="00DE4EC3" w:rsidRPr="00351441" w:rsidRDefault="00B80F09" w:rsidP="00DE4EC3">
            <w:pPr>
              <w:pStyle w:val="BodyText"/>
              <w:tabs>
                <w:tab w:val="left" w:pos="0"/>
                <w:tab w:val="left" w:pos="990"/>
                <w:tab w:val="left" w:pos="2250"/>
              </w:tabs>
              <w:spacing w:before="120" w:after="0" w:line="312" w:lineRule="auto"/>
              <w:ind w:left="0"/>
              <w:rPr>
                <w:rFonts w:ascii="Arial" w:hAnsi="Arial" w:cs="Arial"/>
                <w:sz w:val="18"/>
                <w:szCs w:val="18"/>
              </w:rPr>
            </w:pPr>
            <w:r w:rsidRPr="00B80F09">
              <w:rPr>
                <w:rFonts w:ascii="Arial" w:hAnsi="Arial" w:cs="Arial"/>
                <w:sz w:val="18"/>
                <w:szCs w:val="18"/>
              </w:rPr>
              <w:t>Natural gas production or processing</w:t>
            </w:r>
          </w:p>
        </w:tc>
        <w:tc>
          <w:tcPr>
            <w:tcW w:w="2603" w:type="dxa"/>
          </w:tcPr>
          <w:p w14:paraId="363D0AB7"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c>
          <w:tcPr>
            <w:tcW w:w="2583" w:type="dxa"/>
          </w:tcPr>
          <w:p w14:paraId="5ED0DBBB"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r>
      <w:tr w:rsidR="00DE4EC3" w14:paraId="45FF58A3" w14:textId="77777777" w:rsidTr="00B235FD">
        <w:trPr>
          <w:jc w:val="center"/>
        </w:trPr>
        <w:tc>
          <w:tcPr>
            <w:tcW w:w="2617" w:type="dxa"/>
          </w:tcPr>
          <w:p w14:paraId="145801A1" w14:textId="77777777" w:rsidR="00DE4EC3" w:rsidRPr="00351441" w:rsidRDefault="00B80F09" w:rsidP="00DE4EC3">
            <w:pPr>
              <w:pStyle w:val="BodyText"/>
              <w:tabs>
                <w:tab w:val="left" w:pos="0"/>
                <w:tab w:val="left" w:pos="990"/>
                <w:tab w:val="left" w:pos="2250"/>
              </w:tabs>
              <w:spacing w:before="120" w:after="0" w:line="312" w:lineRule="auto"/>
              <w:ind w:left="0"/>
              <w:rPr>
                <w:rFonts w:ascii="Arial" w:hAnsi="Arial" w:cs="Arial"/>
                <w:sz w:val="18"/>
                <w:szCs w:val="18"/>
              </w:rPr>
            </w:pPr>
            <w:r w:rsidRPr="00B80F09">
              <w:rPr>
                <w:rFonts w:ascii="Arial" w:hAnsi="Arial" w:cs="Arial"/>
                <w:sz w:val="18"/>
                <w:szCs w:val="18"/>
              </w:rPr>
              <w:t>Natural gas transmission</w:t>
            </w:r>
          </w:p>
        </w:tc>
        <w:tc>
          <w:tcPr>
            <w:tcW w:w="2603" w:type="dxa"/>
          </w:tcPr>
          <w:p w14:paraId="0F433324"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c>
          <w:tcPr>
            <w:tcW w:w="2583" w:type="dxa"/>
          </w:tcPr>
          <w:p w14:paraId="200DA1A7"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r>
      <w:tr w:rsidR="00DE4EC3" w14:paraId="76D844D8" w14:textId="77777777" w:rsidTr="00B235FD">
        <w:trPr>
          <w:jc w:val="center"/>
        </w:trPr>
        <w:tc>
          <w:tcPr>
            <w:tcW w:w="2617" w:type="dxa"/>
          </w:tcPr>
          <w:p w14:paraId="6FF83E4D" w14:textId="77777777" w:rsidR="00DE4EC3" w:rsidRPr="00351441" w:rsidRDefault="00B80F09" w:rsidP="00DE4EC3">
            <w:pPr>
              <w:pStyle w:val="BodyText"/>
              <w:tabs>
                <w:tab w:val="left" w:pos="0"/>
                <w:tab w:val="left" w:pos="990"/>
                <w:tab w:val="left" w:pos="2250"/>
              </w:tabs>
              <w:spacing w:before="120" w:after="0" w:line="312" w:lineRule="auto"/>
              <w:ind w:left="0"/>
              <w:rPr>
                <w:rFonts w:ascii="Arial" w:hAnsi="Arial" w:cs="Arial"/>
                <w:sz w:val="18"/>
                <w:szCs w:val="18"/>
              </w:rPr>
            </w:pPr>
            <w:r w:rsidRPr="00B80F09">
              <w:rPr>
                <w:rFonts w:ascii="Arial" w:hAnsi="Arial" w:cs="Arial"/>
                <w:sz w:val="18"/>
                <w:szCs w:val="18"/>
              </w:rPr>
              <w:t>Natural gas distribution</w:t>
            </w:r>
          </w:p>
        </w:tc>
        <w:tc>
          <w:tcPr>
            <w:tcW w:w="2603" w:type="dxa"/>
          </w:tcPr>
          <w:p w14:paraId="217B0F0E"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Included</w:t>
            </w:r>
          </w:p>
        </w:tc>
        <w:tc>
          <w:tcPr>
            <w:tcW w:w="2583" w:type="dxa"/>
          </w:tcPr>
          <w:p w14:paraId="08FD41F7" w14:textId="77777777" w:rsidR="00B80F09" w:rsidRPr="00B80F09" w:rsidRDefault="00B80F09">
            <w:pPr>
              <w:pStyle w:val="BodyText"/>
              <w:tabs>
                <w:tab w:val="left" w:pos="0"/>
                <w:tab w:val="left" w:pos="990"/>
                <w:tab w:val="left" w:pos="2250"/>
              </w:tabs>
              <w:spacing w:before="120" w:after="0" w:line="312" w:lineRule="auto"/>
              <w:ind w:left="0"/>
              <w:rPr>
                <w:rFonts w:asciiTheme="minorHAnsi" w:hAnsiTheme="minorHAnsi" w:cs="Arial"/>
              </w:rPr>
            </w:pPr>
            <w:r w:rsidRPr="00B80F09">
              <w:rPr>
                <w:rFonts w:asciiTheme="minorHAnsi" w:hAnsiTheme="minorHAnsi" w:cs="Arial"/>
              </w:rPr>
              <w:t>Not included</w:t>
            </w:r>
          </w:p>
        </w:tc>
      </w:tr>
    </w:tbl>
    <w:p w14:paraId="61D60170" w14:textId="77777777" w:rsidR="00B80F09" w:rsidRDefault="00985EA0" w:rsidP="00B80F09">
      <w:pPr>
        <w:pStyle w:val="BodyText"/>
        <w:tabs>
          <w:tab w:val="left" w:pos="0"/>
          <w:tab w:val="left" w:pos="990"/>
          <w:tab w:val="left" w:pos="2250"/>
        </w:tabs>
        <w:spacing w:before="240" w:after="0" w:line="312" w:lineRule="auto"/>
        <w:ind w:left="0"/>
        <w:rPr>
          <w:rFonts w:ascii="Arial" w:hAnsi="Arial" w:cs="Arial"/>
        </w:rPr>
      </w:pPr>
      <w:r w:rsidRPr="00AC49E1">
        <w:rPr>
          <w:rFonts w:ascii="Arial" w:hAnsi="Arial" w:cs="Arial"/>
        </w:rPr>
        <w:t>As Scope 3 factors are calculated at the point where natural gas is delivered to end users, it is necessary to calculate consumption at each of the load centres</w:t>
      </w:r>
      <w:r w:rsidR="00831660">
        <w:rPr>
          <w:rFonts w:ascii="Arial" w:hAnsi="Arial" w:cs="Arial"/>
        </w:rPr>
        <w:t xml:space="preserve">. </w:t>
      </w:r>
      <w:r w:rsidRPr="00AC49E1">
        <w:rPr>
          <w:rFonts w:ascii="Arial" w:hAnsi="Arial" w:cs="Arial"/>
        </w:rPr>
        <w:t xml:space="preserve">Gas reaches end users either from </w:t>
      </w:r>
      <w:r w:rsidR="00A042BF">
        <w:rPr>
          <w:rFonts w:ascii="Arial" w:hAnsi="Arial" w:cs="Arial"/>
        </w:rPr>
        <w:t xml:space="preserve">the </w:t>
      </w:r>
      <w:r w:rsidRPr="00AC49E1">
        <w:rPr>
          <w:rFonts w:ascii="Arial" w:hAnsi="Arial" w:cs="Arial"/>
        </w:rPr>
        <w:t>metro</w:t>
      </w:r>
      <w:r w:rsidR="00A042BF">
        <w:rPr>
          <w:rFonts w:ascii="Arial" w:hAnsi="Arial" w:cs="Arial"/>
        </w:rPr>
        <w:t xml:space="preserve"> </w:t>
      </w:r>
      <w:r w:rsidRPr="00AC49E1">
        <w:rPr>
          <w:rFonts w:ascii="Arial" w:hAnsi="Arial" w:cs="Arial"/>
        </w:rPr>
        <w:t>distribution networks or direct from the high-pressure distribution pipelines.  Households and commercial users tend to be served by the former, and electricity generators and large industrial plant from the latter.</w:t>
      </w:r>
    </w:p>
    <w:p w14:paraId="6A01FFF9" w14:textId="20BBAED9" w:rsidR="008B4F95" w:rsidRDefault="00B80F09" w:rsidP="00985EA0">
      <w:pPr>
        <w:pStyle w:val="BodyText"/>
        <w:tabs>
          <w:tab w:val="left" w:pos="0"/>
          <w:tab w:val="left" w:pos="990"/>
          <w:tab w:val="left" w:pos="2250"/>
        </w:tabs>
        <w:spacing w:before="120" w:after="0" w:line="312" w:lineRule="auto"/>
        <w:ind w:left="0"/>
        <w:rPr>
          <w:rFonts w:ascii="Arial" w:hAnsi="Arial" w:cs="Arial"/>
        </w:rPr>
      </w:pPr>
      <w:r w:rsidRPr="00B80F09">
        <w:rPr>
          <w:rFonts w:ascii="Arial" w:hAnsi="Arial" w:cs="Arial"/>
        </w:rPr>
        <w:t>Scope 3 emission factors for natural gas</w:t>
      </w:r>
      <w:r w:rsidRPr="00B80F09">
        <w:t xml:space="preserve"> </w:t>
      </w:r>
      <w:r w:rsidRPr="00B80F09">
        <w:rPr>
          <w:rFonts w:ascii="Arial" w:hAnsi="Arial" w:cs="Arial"/>
        </w:rPr>
        <w:t>for a product that is not ethane (inclusive of coal seam gas) are presented by state and metro/non-metro regions in Table 3</w:t>
      </w:r>
      <w:r w:rsidR="00DB62A6">
        <w:rPr>
          <w:rFonts w:ascii="Arial" w:hAnsi="Arial" w:cs="Arial"/>
        </w:rPr>
        <w:t>8</w:t>
      </w:r>
      <w:r w:rsidRPr="00B80F09">
        <w:rPr>
          <w:rFonts w:ascii="Arial" w:hAnsi="Arial" w:cs="Arial"/>
        </w:rPr>
        <w:t>. Separate emission factors for ethane are provided for New South Wales and Victoria in Table 3</w:t>
      </w:r>
      <w:r w:rsidR="00FD1A7A">
        <w:rPr>
          <w:rFonts w:ascii="Arial" w:hAnsi="Arial" w:cs="Arial"/>
        </w:rPr>
        <w:t>9</w:t>
      </w:r>
      <w:r w:rsidRPr="00B80F09">
        <w:rPr>
          <w:rFonts w:ascii="Arial" w:hAnsi="Arial" w:cs="Arial"/>
        </w:rPr>
        <w:t>.</w:t>
      </w:r>
    </w:p>
    <w:p w14:paraId="69C5EEF0" w14:textId="77777777" w:rsidR="00D179DC" w:rsidRDefault="00D179DC" w:rsidP="00D179DC">
      <w:pPr>
        <w:pStyle w:val="BodyText"/>
        <w:tabs>
          <w:tab w:val="left" w:pos="0"/>
          <w:tab w:val="left" w:pos="990"/>
          <w:tab w:val="left" w:pos="2250"/>
        </w:tabs>
        <w:spacing w:before="120" w:after="0" w:line="312" w:lineRule="auto"/>
        <w:ind w:left="0"/>
        <w:rPr>
          <w:rFonts w:ascii="Arial" w:hAnsi="Arial" w:cs="Arial"/>
        </w:rPr>
      </w:pPr>
    </w:p>
    <w:p w14:paraId="696C5436" w14:textId="77777777" w:rsidR="00EA1652" w:rsidRDefault="00EA1652" w:rsidP="00D179DC">
      <w:pPr>
        <w:pStyle w:val="BodyText"/>
        <w:tabs>
          <w:tab w:val="left" w:pos="0"/>
          <w:tab w:val="left" w:pos="990"/>
          <w:tab w:val="left" w:pos="2250"/>
        </w:tabs>
        <w:spacing w:before="120" w:after="0" w:line="312" w:lineRule="auto"/>
        <w:ind w:left="0"/>
        <w:rPr>
          <w:rFonts w:ascii="Arial" w:hAnsi="Arial" w:cs="Arial"/>
        </w:rPr>
      </w:pPr>
    </w:p>
    <w:p w14:paraId="7BE79273" w14:textId="77777777" w:rsidR="00B94645" w:rsidRDefault="00B94645" w:rsidP="00D179DC">
      <w:pPr>
        <w:pStyle w:val="BodyText"/>
        <w:tabs>
          <w:tab w:val="left" w:pos="0"/>
          <w:tab w:val="left" w:pos="990"/>
          <w:tab w:val="left" w:pos="2250"/>
        </w:tabs>
        <w:spacing w:before="120" w:after="0" w:line="312" w:lineRule="auto"/>
        <w:ind w:left="0"/>
        <w:rPr>
          <w:rFonts w:ascii="Arial" w:hAnsi="Arial" w:cs="Arial"/>
        </w:rPr>
      </w:pPr>
    </w:p>
    <w:p w14:paraId="7DEA4920" w14:textId="77777777" w:rsidR="00B94645" w:rsidRPr="00D179DC" w:rsidRDefault="00B94645" w:rsidP="00D179DC">
      <w:pPr>
        <w:pStyle w:val="BodyText"/>
        <w:tabs>
          <w:tab w:val="left" w:pos="0"/>
          <w:tab w:val="left" w:pos="990"/>
          <w:tab w:val="left" w:pos="2250"/>
        </w:tabs>
        <w:spacing w:before="120" w:after="0" w:line="312" w:lineRule="auto"/>
        <w:ind w:left="0"/>
        <w:rPr>
          <w:rFonts w:ascii="Arial" w:hAnsi="Arial" w:cs="Arial"/>
        </w:rPr>
      </w:pPr>
    </w:p>
    <w:p w14:paraId="20043A80" w14:textId="77777777" w:rsidR="00D76245" w:rsidRDefault="00491D41" w:rsidP="00C23E3B">
      <w:pPr>
        <w:pStyle w:val="Caption"/>
      </w:pPr>
      <w:bookmarkStart w:id="158" w:name="_Toc391646722"/>
      <w:bookmarkStart w:id="159" w:name="_Toc485728146"/>
      <w:r>
        <w:t xml:space="preserve">Table </w:t>
      </w:r>
      <w:r w:rsidR="00DC52E0">
        <w:fldChar w:fldCharType="begin"/>
      </w:r>
      <w:r>
        <w:instrText xml:space="preserve"> SEQ Table \* ARABIC </w:instrText>
      </w:r>
      <w:r w:rsidR="00DC52E0">
        <w:fldChar w:fldCharType="separate"/>
      </w:r>
      <w:r w:rsidR="004A1330">
        <w:rPr>
          <w:noProof/>
        </w:rPr>
        <w:t>38</w:t>
      </w:r>
      <w:r w:rsidR="00DC52E0">
        <w:fldChar w:fldCharType="end"/>
      </w:r>
      <w:r w:rsidR="00010E2E">
        <w:t>: Scope 3 emission factors –</w:t>
      </w:r>
      <w:r w:rsidR="007A2BEC">
        <w:t xml:space="preserve"> </w:t>
      </w:r>
      <w:r w:rsidR="006D5391">
        <w:t>natural gas</w:t>
      </w:r>
      <w:r w:rsidR="00B76435">
        <w:t xml:space="preserve"> for a product that is not ethane</w:t>
      </w:r>
      <w:r w:rsidR="006D5391">
        <w:t xml:space="preserve"> (inclusive of coal seam gas)</w:t>
      </w:r>
      <w:bookmarkEnd w:id="158"/>
      <w:bookmarkEnd w:id="159"/>
      <w:r w:rsidR="00296E69">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085"/>
        <w:gridCol w:w="3458"/>
      </w:tblGrid>
      <w:tr w:rsidR="00226707" w:rsidRPr="005A5B60" w14:paraId="30F13405" w14:textId="77777777" w:rsidTr="00E719D0">
        <w:trPr>
          <w:cantSplit/>
          <w:trHeight w:val="375"/>
        </w:trPr>
        <w:tc>
          <w:tcPr>
            <w:tcW w:w="2694" w:type="dxa"/>
            <w:vMerge w:val="restart"/>
            <w:shd w:val="pct15" w:color="auto" w:fill="auto"/>
          </w:tcPr>
          <w:p w14:paraId="5D450D4D" w14:textId="77777777" w:rsidR="00226707" w:rsidRPr="005A5B60" w:rsidRDefault="00852EE0" w:rsidP="00E719D0">
            <w:pPr>
              <w:pStyle w:val="TableCentre"/>
              <w:rPr>
                <w:b/>
                <w:bCs/>
                <w:spacing w:val="-10"/>
                <w:kern w:val="28"/>
                <w:sz w:val="18"/>
                <w:szCs w:val="18"/>
              </w:rPr>
            </w:pPr>
            <w:r w:rsidRPr="00E719D0">
              <w:rPr>
                <w:b/>
                <w:bCs/>
                <w:sz w:val="18"/>
                <w:szCs w:val="18"/>
              </w:rPr>
              <w:t>State or territory</w:t>
            </w:r>
          </w:p>
        </w:tc>
        <w:tc>
          <w:tcPr>
            <w:tcW w:w="2126" w:type="dxa"/>
            <w:shd w:val="pct15" w:color="auto" w:fill="auto"/>
          </w:tcPr>
          <w:p w14:paraId="3D1C23C8" w14:textId="77777777" w:rsidR="00226707" w:rsidRPr="00E719D0" w:rsidRDefault="00852EE0" w:rsidP="00E719D0">
            <w:pPr>
              <w:pStyle w:val="TableCentre"/>
              <w:rPr>
                <w:b/>
                <w:bCs/>
                <w:sz w:val="18"/>
                <w:szCs w:val="18"/>
              </w:rPr>
            </w:pPr>
            <w:r w:rsidRPr="00E719D0">
              <w:rPr>
                <w:b/>
                <w:bCs/>
                <w:sz w:val="18"/>
                <w:szCs w:val="18"/>
              </w:rPr>
              <w:t>Natural Gas EF for scope 3</w:t>
            </w:r>
          </w:p>
        </w:tc>
        <w:tc>
          <w:tcPr>
            <w:tcW w:w="3544" w:type="dxa"/>
            <w:shd w:val="pct15" w:color="auto" w:fill="auto"/>
          </w:tcPr>
          <w:p w14:paraId="7B957D34" w14:textId="77777777" w:rsidR="00226707" w:rsidRPr="00E719D0" w:rsidRDefault="00852EE0" w:rsidP="00E719D0">
            <w:pPr>
              <w:pStyle w:val="TableCentre"/>
              <w:rPr>
                <w:b/>
                <w:bCs/>
                <w:sz w:val="18"/>
                <w:szCs w:val="18"/>
              </w:rPr>
            </w:pPr>
            <w:r w:rsidRPr="00E719D0">
              <w:rPr>
                <w:b/>
                <w:bCs/>
                <w:sz w:val="18"/>
                <w:szCs w:val="18"/>
              </w:rPr>
              <w:t>Natural Gas EF for scope 3</w:t>
            </w:r>
          </w:p>
        </w:tc>
      </w:tr>
      <w:tr w:rsidR="00226707" w:rsidRPr="005A5B60" w14:paraId="702D4753" w14:textId="77777777" w:rsidTr="00E719D0">
        <w:trPr>
          <w:cantSplit/>
          <w:trHeight w:val="506"/>
        </w:trPr>
        <w:tc>
          <w:tcPr>
            <w:tcW w:w="2694" w:type="dxa"/>
            <w:vMerge/>
            <w:shd w:val="pct15" w:color="auto" w:fill="auto"/>
          </w:tcPr>
          <w:p w14:paraId="30656EAC" w14:textId="77777777" w:rsidR="00226707" w:rsidRPr="005A5B60" w:rsidRDefault="00226707">
            <w:pPr>
              <w:pStyle w:val="Table"/>
              <w:rPr>
                <w:b/>
                <w:bCs/>
                <w:sz w:val="18"/>
                <w:szCs w:val="18"/>
              </w:rPr>
            </w:pPr>
          </w:p>
        </w:tc>
        <w:tc>
          <w:tcPr>
            <w:tcW w:w="2126" w:type="dxa"/>
            <w:shd w:val="pct15" w:color="auto" w:fill="auto"/>
          </w:tcPr>
          <w:p w14:paraId="3E538192" w14:textId="77777777" w:rsidR="00226707" w:rsidRPr="005A5B60" w:rsidRDefault="00852EE0">
            <w:pPr>
              <w:pStyle w:val="TableCentre"/>
              <w:rPr>
                <w:b/>
                <w:bCs/>
                <w:sz w:val="18"/>
                <w:szCs w:val="18"/>
              </w:rPr>
            </w:pPr>
            <w:r w:rsidRPr="00E719D0">
              <w:rPr>
                <w:b/>
                <w:bCs/>
                <w:sz w:val="18"/>
                <w:szCs w:val="18"/>
              </w:rPr>
              <w:t>Metro</w:t>
            </w:r>
          </w:p>
        </w:tc>
        <w:tc>
          <w:tcPr>
            <w:tcW w:w="3544" w:type="dxa"/>
            <w:shd w:val="pct15" w:color="auto" w:fill="auto"/>
          </w:tcPr>
          <w:p w14:paraId="249E83A6" w14:textId="77777777" w:rsidR="00226707" w:rsidRPr="005A5B60" w:rsidRDefault="00852EE0">
            <w:pPr>
              <w:pStyle w:val="TableCentre"/>
              <w:rPr>
                <w:b/>
                <w:bCs/>
                <w:sz w:val="18"/>
                <w:szCs w:val="18"/>
              </w:rPr>
            </w:pPr>
            <w:r w:rsidRPr="00E719D0">
              <w:rPr>
                <w:b/>
                <w:bCs/>
                <w:sz w:val="18"/>
                <w:szCs w:val="18"/>
              </w:rPr>
              <w:t>Non-metro</w:t>
            </w:r>
          </w:p>
        </w:tc>
      </w:tr>
      <w:tr w:rsidR="00226707" w:rsidRPr="005A5B60" w14:paraId="2A11A575" w14:textId="77777777" w:rsidTr="00E719D0">
        <w:trPr>
          <w:cantSplit/>
        </w:trPr>
        <w:tc>
          <w:tcPr>
            <w:tcW w:w="2694" w:type="dxa"/>
            <w:vMerge/>
            <w:shd w:val="pct15" w:color="auto" w:fill="auto"/>
          </w:tcPr>
          <w:p w14:paraId="14163B0F" w14:textId="77777777" w:rsidR="00226707" w:rsidRPr="005A5B60" w:rsidRDefault="00226707">
            <w:pPr>
              <w:pStyle w:val="Table"/>
              <w:rPr>
                <w:b/>
                <w:bCs/>
                <w:sz w:val="18"/>
                <w:szCs w:val="18"/>
              </w:rPr>
            </w:pPr>
          </w:p>
        </w:tc>
        <w:tc>
          <w:tcPr>
            <w:tcW w:w="2126" w:type="dxa"/>
            <w:shd w:val="pct15" w:color="auto" w:fill="auto"/>
          </w:tcPr>
          <w:p w14:paraId="33E46453" w14:textId="77777777" w:rsidR="00226707" w:rsidRPr="005A5B60" w:rsidRDefault="00B43BFA">
            <w:pPr>
              <w:pStyle w:val="TableCentre"/>
              <w:rPr>
                <w:b/>
                <w:bCs/>
                <w:sz w:val="18"/>
                <w:szCs w:val="18"/>
              </w:rPr>
            </w:pPr>
            <w:r w:rsidRPr="005A5B60">
              <w:rPr>
                <w:b/>
                <w:bCs/>
                <w:sz w:val="18"/>
                <w:szCs w:val="18"/>
              </w:rPr>
              <w:t xml:space="preserve">kg </w:t>
            </w:r>
            <w:r w:rsidR="00AF649F" w:rsidRPr="00AF649F">
              <w:rPr>
                <w:b/>
                <w:bCs/>
                <w:sz w:val="18"/>
                <w:szCs w:val="18"/>
              </w:rPr>
              <w:t>CO</w:t>
            </w:r>
            <w:r w:rsidR="00AF649F" w:rsidRPr="00AF649F">
              <w:rPr>
                <w:b/>
                <w:bCs/>
                <w:sz w:val="18"/>
                <w:szCs w:val="18"/>
                <w:vertAlign w:val="subscript"/>
              </w:rPr>
              <w:t>2</w:t>
            </w:r>
            <w:r w:rsidR="00AF649F" w:rsidRPr="00AF649F">
              <w:rPr>
                <w:b/>
                <w:bCs/>
                <w:sz w:val="18"/>
                <w:szCs w:val="18"/>
              </w:rPr>
              <w:t xml:space="preserve">-e </w:t>
            </w:r>
            <w:r w:rsidRPr="005A5B60">
              <w:rPr>
                <w:b/>
                <w:bCs/>
                <w:sz w:val="18"/>
                <w:szCs w:val="18"/>
              </w:rPr>
              <w:t>/GJ</w:t>
            </w:r>
          </w:p>
        </w:tc>
        <w:tc>
          <w:tcPr>
            <w:tcW w:w="3544" w:type="dxa"/>
            <w:shd w:val="pct15" w:color="auto" w:fill="auto"/>
          </w:tcPr>
          <w:p w14:paraId="5BE98EA1" w14:textId="77777777" w:rsidR="00226707" w:rsidRPr="005A5B60" w:rsidRDefault="00852EE0">
            <w:pPr>
              <w:pStyle w:val="TableCentre"/>
              <w:rPr>
                <w:b/>
                <w:bCs/>
                <w:sz w:val="18"/>
                <w:szCs w:val="18"/>
              </w:rPr>
            </w:pPr>
            <w:r w:rsidRPr="005A5B60">
              <w:rPr>
                <w:b/>
                <w:bCs/>
                <w:sz w:val="18"/>
                <w:szCs w:val="18"/>
              </w:rPr>
              <w:t xml:space="preserve">kg </w:t>
            </w:r>
            <w:r w:rsidR="00AF649F" w:rsidRPr="00AF649F">
              <w:rPr>
                <w:b/>
                <w:bCs/>
                <w:sz w:val="18"/>
                <w:szCs w:val="18"/>
              </w:rPr>
              <w:t>CO</w:t>
            </w:r>
            <w:r w:rsidR="00AF649F" w:rsidRPr="00AF649F">
              <w:rPr>
                <w:b/>
                <w:bCs/>
                <w:sz w:val="18"/>
                <w:szCs w:val="18"/>
                <w:vertAlign w:val="subscript"/>
              </w:rPr>
              <w:t>2</w:t>
            </w:r>
            <w:r w:rsidR="00AF649F" w:rsidRPr="00AF649F">
              <w:rPr>
                <w:b/>
                <w:bCs/>
                <w:sz w:val="18"/>
                <w:szCs w:val="18"/>
              </w:rPr>
              <w:t xml:space="preserve">-e </w:t>
            </w:r>
            <w:r w:rsidRPr="005A5B60">
              <w:rPr>
                <w:b/>
                <w:bCs/>
                <w:sz w:val="18"/>
                <w:szCs w:val="18"/>
              </w:rPr>
              <w:t>/GJ</w:t>
            </w:r>
          </w:p>
        </w:tc>
      </w:tr>
      <w:tr w:rsidR="001A182F" w:rsidRPr="005A5B60" w14:paraId="6B6A4455" w14:textId="77777777" w:rsidTr="00342072">
        <w:tc>
          <w:tcPr>
            <w:tcW w:w="2694" w:type="dxa"/>
            <w:vAlign w:val="center"/>
          </w:tcPr>
          <w:p w14:paraId="020553B9" w14:textId="77777777" w:rsidR="001A182F" w:rsidRPr="005A5B60" w:rsidRDefault="001A182F" w:rsidP="00B43BFA">
            <w:pPr>
              <w:pStyle w:val="Table"/>
              <w:rPr>
                <w:snapToGrid w:val="0"/>
                <w:sz w:val="18"/>
                <w:szCs w:val="18"/>
              </w:rPr>
            </w:pPr>
            <w:r w:rsidRPr="005A5B60">
              <w:rPr>
                <w:snapToGrid w:val="0"/>
                <w:sz w:val="18"/>
                <w:szCs w:val="18"/>
              </w:rPr>
              <w:t>New South Wales and ACT</w:t>
            </w:r>
          </w:p>
        </w:tc>
        <w:tc>
          <w:tcPr>
            <w:tcW w:w="2126" w:type="dxa"/>
          </w:tcPr>
          <w:p w14:paraId="216987FF" w14:textId="77777777" w:rsidR="001A182F" w:rsidRPr="001A182F" w:rsidRDefault="001A182F" w:rsidP="001A182F">
            <w:pPr>
              <w:pStyle w:val="TableCentre"/>
              <w:rPr>
                <w:sz w:val="18"/>
                <w:szCs w:val="18"/>
              </w:rPr>
            </w:pPr>
            <w:r w:rsidRPr="001A182F">
              <w:rPr>
                <w:sz w:val="18"/>
                <w:szCs w:val="18"/>
              </w:rPr>
              <w:t>12.8</w:t>
            </w:r>
          </w:p>
        </w:tc>
        <w:tc>
          <w:tcPr>
            <w:tcW w:w="3544" w:type="dxa"/>
          </w:tcPr>
          <w:p w14:paraId="6893066C" w14:textId="77777777" w:rsidR="001A182F" w:rsidRPr="001A182F" w:rsidRDefault="001A182F" w:rsidP="001A182F">
            <w:pPr>
              <w:pStyle w:val="TableCentre"/>
              <w:rPr>
                <w:sz w:val="18"/>
                <w:szCs w:val="18"/>
              </w:rPr>
            </w:pPr>
            <w:r w:rsidRPr="001A182F">
              <w:rPr>
                <w:sz w:val="18"/>
                <w:szCs w:val="18"/>
              </w:rPr>
              <w:t>13.</w:t>
            </w:r>
            <w:r w:rsidR="00BC1BC2">
              <w:rPr>
                <w:sz w:val="18"/>
                <w:szCs w:val="18"/>
              </w:rPr>
              <w:t>6</w:t>
            </w:r>
          </w:p>
        </w:tc>
      </w:tr>
      <w:tr w:rsidR="001A182F" w:rsidRPr="005A5B60" w14:paraId="458F3C6A" w14:textId="77777777" w:rsidTr="00342072">
        <w:tc>
          <w:tcPr>
            <w:tcW w:w="2694" w:type="dxa"/>
            <w:vAlign w:val="center"/>
          </w:tcPr>
          <w:p w14:paraId="66CC6EAE" w14:textId="77777777" w:rsidR="001A182F" w:rsidRPr="005A5B60" w:rsidRDefault="001A182F" w:rsidP="00B43BFA">
            <w:pPr>
              <w:pStyle w:val="Table"/>
              <w:rPr>
                <w:snapToGrid w:val="0"/>
                <w:sz w:val="18"/>
                <w:szCs w:val="18"/>
              </w:rPr>
            </w:pPr>
            <w:r w:rsidRPr="005A5B60">
              <w:rPr>
                <w:snapToGrid w:val="0"/>
                <w:sz w:val="18"/>
                <w:szCs w:val="18"/>
              </w:rPr>
              <w:t>Victoria</w:t>
            </w:r>
          </w:p>
        </w:tc>
        <w:tc>
          <w:tcPr>
            <w:tcW w:w="2126" w:type="dxa"/>
          </w:tcPr>
          <w:p w14:paraId="4BBF0884" w14:textId="77777777" w:rsidR="001A182F" w:rsidRPr="001A182F" w:rsidRDefault="001A182F" w:rsidP="001A182F">
            <w:pPr>
              <w:pStyle w:val="TableCentre"/>
              <w:rPr>
                <w:sz w:val="18"/>
                <w:szCs w:val="18"/>
              </w:rPr>
            </w:pPr>
            <w:r w:rsidRPr="001A182F">
              <w:rPr>
                <w:sz w:val="18"/>
                <w:szCs w:val="18"/>
              </w:rPr>
              <w:t>3.9</w:t>
            </w:r>
          </w:p>
        </w:tc>
        <w:tc>
          <w:tcPr>
            <w:tcW w:w="3544" w:type="dxa"/>
          </w:tcPr>
          <w:p w14:paraId="7AB67ABA" w14:textId="77777777" w:rsidR="001A182F" w:rsidRPr="001A182F" w:rsidRDefault="001A182F" w:rsidP="001A182F">
            <w:pPr>
              <w:pStyle w:val="TableCentre"/>
              <w:rPr>
                <w:sz w:val="18"/>
                <w:szCs w:val="18"/>
              </w:rPr>
            </w:pPr>
            <w:r w:rsidRPr="001A182F">
              <w:rPr>
                <w:sz w:val="18"/>
                <w:szCs w:val="18"/>
              </w:rPr>
              <w:t>3.9</w:t>
            </w:r>
          </w:p>
        </w:tc>
      </w:tr>
      <w:tr w:rsidR="001A182F" w:rsidRPr="005A5B60" w14:paraId="638661F2" w14:textId="77777777" w:rsidTr="00342072">
        <w:tc>
          <w:tcPr>
            <w:tcW w:w="2694" w:type="dxa"/>
            <w:vAlign w:val="center"/>
          </w:tcPr>
          <w:p w14:paraId="230D7850" w14:textId="77777777" w:rsidR="001A182F" w:rsidRPr="005A5B60" w:rsidRDefault="001A182F" w:rsidP="00B43BFA">
            <w:pPr>
              <w:pStyle w:val="Table"/>
              <w:rPr>
                <w:snapToGrid w:val="0"/>
                <w:sz w:val="18"/>
                <w:szCs w:val="18"/>
              </w:rPr>
            </w:pPr>
            <w:r w:rsidRPr="005A5B60">
              <w:rPr>
                <w:snapToGrid w:val="0"/>
                <w:sz w:val="18"/>
                <w:szCs w:val="18"/>
              </w:rPr>
              <w:t>Queensland</w:t>
            </w:r>
          </w:p>
        </w:tc>
        <w:tc>
          <w:tcPr>
            <w:tcW w:w="2126" w:type="dxa"/>
          </w:tcPr>
          <w:p w14:paraId="56CD6BAE" w14:textId="77777777" w:rsidR="001A182F" w:rsidRPr="001A182F" w:rsidRDefault="001A182F" w:rsidP="001A182F">
            <w:pPr>
              <w:pStyle w:val="TableCentre"/>
              <w:rPr>
                <w:sz w:val="18"/>
                <w:szCs w:val="18"/>
              </w:rPr>
            </w:pPr>
            <w:r w:rsidRPr="001A182F">
              <w:rPr>
                <w:sz w:val="18"/>
                <w:szCs w:val="18"/>
              </w:rPr>
              <w:t>8.7</w:t>
            </w:r>
          </w:p>
        </w:tc>
        <w:tc>
          <w:tcPr>
            <w:tcW w:w="3544" w:type="dxa"/>
          </w:tcPr>
          <w:p w14:paraId="21A8CB27" w14:textId="77777777" w:rsidR="001A182F" w:rsidRPr="001A182F" w:rsidRDefault="001A182F" w:rsidP="001A182F">
            <w:pPr>
              <w:pStyle w:val="TableCentre"/>
              <w:rPr>
                <w:sz w:val="18"/>
                <w:szCs w:val="18"/>
              </w:rPr>
            </w:pPr>
            <w:r w:rsidRPr="001A182F">
              <w:rPr>
                <w:sz w:val="18"/>
                <w:szCs w:val="18"/>
              </w:rPr>
              <w:t>7.</w:t>
            </w:r>
            <w:r w:rsidR="00BC1BC2">
              <w:rPr>
                <w:sz w:val="18"/>
                <w:szCs w:val="18"/>
              </w:rPr>
              <w:t>8</w:t>
            </w:r>
          </w:p>
        </w:tc>
      </w:tr>
      <w:tr w:rsidR="00226707" w:rsidRPr="005A5B60" w14:paraId="1585462B" w14:textId="77777777" w:rsidTr="00E719D0">
        <w:tc>
          <w:tcPr>
            <w:tcW w:w="2694" w:type="dxa"/>
            <w:vAlign w:val="center"/>
          </w:tcPr>
          <w:p w14:paraId="35686565" w14:textId="77777777" w:rsidR="00226707" w:rsidRPr="005A5B60" w:rsidRDefault="00852EE0" w:rsidP="00B43BFA">
            <w:pPr>
              <w:pStyle w:val="Table"/>
              <w:rPr>
                <w:snapToGrid w:val="0"/>
                <w:sz w:val="18"/>
                <w:szCs w:val="18"/>
              </w:rPr>
            </w:pPr>
            <w:r w:rsidRPr="005A5B60">
              <w:rPr>
                <w:snapToGrid w:val="0"/>
                <w:sz w:val="18"/>
                <w:szCs w:val="18"/>
              </w:rPr>
              <w:t>South Australia</w:t>
            </w:r>
          </w:p>
        </w:tc>
        <w:tc>
          <w:tcPr>
            <w:tcW w:w="2126" w:type="dxa"/>
            <w:vAlign w:val="center"/>
          </w:tcPr>
          <w:p w14:paraId="01069D6D" w14:textId="77777777" w:rsidR="00226707" w:rsidRPr="005A5B60" w:rsidRDefault="00852EE0" w:rsidP="00B43BFA">
            <w:pPr>
              <w:pStyle w:val="TableCentre"/>
              <w:rPr>
                <w:sz w:val="18"/>
                <w:szCs w:val="18"/>
              </w:rPr>
            </w:pPr>
            <w:r w:rsidRPr="005A5B60">
              <w:rPr>
                <w:sz w:val="18"/>
                <w:szCs w:val="18"/>
              </w:rPr>
              <w:t>10.4</w:t>
            </w:r>
          </w:p>
        </w:tc>
        <w:tc>
          <w:tcPr>
            <w:tcW w:w="3544" w:type="dxa"/>
            <w:vAlign w:val="center"/>
          </w:tcPr>
          <w:p w14:paraId="75D207E1" w14:textId="77777777" w:rsidR="00226707" w:rsidRPr="005A5B60" w:rsidRDefault="00852EE0" w:rsidP="00B43BFA">
            <w:pPr>
              <w:pStyle w:val="TableCentre"/>
              <w:rPr>
                <w:sz w:val="18"/>
                <w:szCs w:val="18"/>
              </w:rPr>
            </w:pPr>
            <w:r w:rsidRPr="005A5B60">
              <w:rPr>
                <w:sz w:val="18"/>
                <w:szCs w:val="18"/>
              </w:rPr>
              <w:t>10.</w:t>
            </w:r>
            <w:r w:rsidR="00BC1BC2">
              <w:rPr>
                <w:sz w:val="18"/>
                <w:szCs w:val="18"/>
              </w:rPr>
              <w:t>3</w:t>
            </w:r>
          </w:p>
        </w:tc>
      </w:tr>
      <w:tr w:rsidR="00226707" w:rsidRPr="005A5B60" w14:paraId="579B588B" w14:textId="77777777" w:rsidTr="00E719D0">
        <w:tc>
          <w:tcPr>
            <w:tcW w:w="2694" w:type="dxa"/>
            <w:vAlign w:val="center"/>
          </w:tcPr>
          <w:p w14:paraId="34E18F34" w14:textId="77777777" w:rsidR="00226707" w:rsidRPr="005A5B60" w:rsidRDefault="00852EE0" w:rsidP="00B43BFA">
            <w:pPr>
              <w:pStyle w:val="Table"/>
              <w:rPr>
                <w:snapToGrid w:val="0"/>
                <w:sz w:val="18"/>
                <w:szCs w:val="18"/>
              </w:rPr>
            </w:pPr>
            <w:r w:rsidRPr="005A5B60">
              <w:rPr>
                <w:snapToGrid w:val="0"/>
                <w:sz w:val="18"/>
                <w:szCs w:val="18"/>
              </w:rPr>
              <w:t>Western Australia</w:t>
            </w:r>
          </w:p>
        </w:tc>
        <w:tc>
          <w:tcPr>
            <w:tcW w:w="2126" w:type="dxa"/>
            <w:vAlign w:val="center"/>
          </w:tcPr>
          <w:p w14:paraId="4C3F7E7A" w14:textId="77777777" w:rsidR="00226707" w:rsidRPr="005A5B60" w:rsidRDefault="00852EE0" w:rsidP="00B43BFA">
            <w:pPr>
              <w:pStyle w:val="TableCentre"/>
              <w:rPr>
                <w:sz w:val="18"/>
                <w:szCs w:val="18"/>
              </w:rPr>
            </w:pPr>
            <w:r w:rsidRPr="005A5B60">
              <w:rPr>
                <w:sz w:val="18"/>
                <w:szCs w:val="18"/>
              </w:rPr>
              <w:t>4.0</w:t>
            </w:r>
          </w:p>
        </w:tc>
        <w:tc>
          <w:tcPr>
            <w:tcW w:w="3544" w:type="dxa"/>
            <w:vAlign w:val="center"/>
          </w:tcPr>
          <w:p w14:paraId="3AE3FE30" w14:textId="77777777" w:rsidR="00226707" w:rsidRPr="005A5B60" w:rsidRDefault="00852EE0" w:rsidP="00B43BFA">
            <w:pPr>
              <w:pStyle w:val="TableCentre"/>
              <w:rPr>
                <w:sz w:val="18"/>
                <w:szCs w:val="18"/>
              </w:rPr>
            </w:pPr>
            <w:r w:rsidRPr="005A5B60">
              <w:rPr>
                <w:sz w:val="18"/>
                <w:szCs w:val="18"/>
              </w:rPr>
              <w:t>3.9</w:t>
            </w:r>
          </w:p>
        </w:tc>
      </w:tr>
      <w:tr w:rsidR="00226707" w:rsidRPr="005A5B60" w14:paraId="1B2C9533" w14:textId="77777777" w:rsidTr="00E719D0">
        <w:tc>
          <w:tcPr>
            <w:tcW w:w="2694" w:type="dxa"/>
            <w:vAlign w:val="center"/>
          </w:tcPr>
          <w:p w14:paraId="7DA0B5EB" w14:textId="77777777" w:rsidR="00226707" w:rsidRPr="005A5B60" w:rsidRDefault="00852EE0" w:rsidP="00B43BFA">
            <w:pPr>
              <w:pStyle w:val="Table"/>
              <w:rPr>
                <w:snapToGrid w:val="0"/>
                <w:sz w:val="18"/>
                <w:szCs w:val="18"/>
              </w:rPr>
            </w:pPr>
            <w:r w:rsidRPr="005A5B60">
              <w:rPr>
                <w:snapToGrid w:val="0"/>
                <w:sz w:val="18"/>
                <w:szCs w:val="18"/>
              </w:rPr>
              <w:t>Tasmania</w:t>
            </w:r>
          </w:p>
        </w:tc>
        <w:tc>
          <w:tcPr>
            <w:tcW w:w="2126" w:type="dxa"/>
            <w:vAlign w:val="center"/>
          </w:tcPr>
          <w:p w14:paraId="196FE804" w14:textId="77777777" w:rsidR="00226707" w:rsidRPr="005A5B60" w:rsidRDefault="00852EE0" w:rsidP="00B43BFA">
            <w:pPr>
              <w:pStyle w:val="TableCentre"/>
              <w:rPr>
                <w:sz w:val="18"/>
                <w:szCs w:val="18"/>
              </w:rPr>
            </w:pPr>
            <w:r w:rsidRPr="005A5B60">
              <w:rPr>
                <w:sz w:val="18"/>
                <w:szCs w:val="18"/>
              </w:rPr>
              <w:t>NA</w:t>
            </w:r>
          </w:p>
        </w:tc>
        <w:tc>
          <w:tcPr>
            <w:tcW w:w="3544" w:type="dxa"/>
            <w:vAlign w:val="center"/>
          </w:tcPr>
          <w:p w14:paraId="7524ADCD" w14:textId="77777777" w:rsidR="00226707" w:rsidRPr="005A5B60" w:rsidRDefault="00852EE0" w:rsidP="00B43BFA">
            <w:pPr>
              <w:pStyle w:val="TableCentre"/>
              <w:rPr>
                <w:sz w:val="18"/>
                <w:szCs w:val="18"/>
              </w:rPr>
            </w:pPr>
            <w:r w:rsidRPr="005A5B60">
              <w:rPr>
                <w:sz w:val="18"/>
                <w:szCs w:val="18"/>
              </w:rPr>
              <w:t>NA</w:t>
            </w:r>
          </w:p>
        </w:tc>
      </w:tr>
      <w:tr w:rsidR="00226707" w:rsidRPr="005A5B60" w14:paraId="409402AF" w14:textId="77777777" w:rsidTr="00E719D0">
        <w:tc>
          <w:tcPr>
            <w:tcW w:w="2694" w:type="dxa"/>
            <w:vAlign w:val="center"/>
          </w:tcPr>
          <w:p w14:paraId="18648598" w14:textId="77777777" w:rsidR="00226707" w:rsidRPr="005A5B60" w:rsidRDefault="00852EE0" w:rsidP="00B43BFA">
            <w:pPr>
              <w:pStyle w:val="Table"/>
              <w:rPr>
                <w:snapToGrid w:val="0"/>
                <w:sz w:val="18"/>
                <w:szCs w:val="18"/>
              </w:rPr>
            </w:pPr>
            <w:r w:rsidRPr="005A5B60">
              <w:rPr>
                <w:snapToGrid w:val="0"/>
                <w:sz w:val="18"/>
                <w:szCs w:val="18"/>
              </w:rPr>
              <w:t>Northern Territory</w:t>
            </w:r>
          </w:p>
        </w:tc>
        <w:tc>
          <w:tcPr>
            <w:tcW w:w="2126" w:type="dxa"/>
            <w:vAlign w:val="center"/>
          </w:tcPr>
          <w:p w14:paraId="6365D74E" w14:textId="77777777" w:rsidR="00226707" w:rsidRPr="005A5B60" w:rsidRDefault="00852EE0" w:rsidP="00B43BFA">
            <w:pPr>
              <w:pStyle w:val="TableCentre"/>
              <w:rPr>
                <w:sz w:val="18"/>
                <w:szCs w:val="18"/>
              </w:rPr>
            </w:pPr>
            <w:r w:rsidRPr="005A5B60">
              <w:rPr>
                <w:sz w:val="18"/>
                <w:szCs w:val="18"/>
              </w:rPr>
              <w:t>NA</w:t>
            </w:r>
          </w:p>
        </w:tc>
        <w:tc>
          <w:tcPr>
            <w:tcW w:w="3544" w:type="dxa"/>
            <w:vAlign w:val="center"/>
          </w:tcPr>
          <w:p w14:paraId="5501C94A" w14:textId="77777777" w:rsidR="00226707" w:rsidRPr="005A5B60" w:rsidRDefault="00852EE0" w:rsidP="00B43BFA">
            <w:pPr>
              <w:pStyle w:val="TableCentre"/>
              <w:rPr>
                <w:sz w:val="18"/>
                <w:szCs w:val="18"/>
              </w:rPr>
            </w:pPr>
            <w:r w:rsidRPr="005A5B60">
              <w:rPr>
                <w:sz w:val="18"/>
                <w:szCs w:val="18"/>
              </w:rPr>
              <w:t>NA</w:t>
            </w:r>
          </w:p>
        </w:tc>
      </w:tr>
    </w:tbl>
    <w:p w14:paraId="0937D582" w14:textId="77777777" w:rsidR="00B80F09" w:rsidRDefault="009F0608" w:rsidP="00B80F09">
      <w:pPr>
        <w:pStyle w:val="TableNote"/>
        <w:spacing w:before="120" w:after="120"/>
      </w:pPr>
      <w:r>
        <w:t>Source: Wilkenfeld and Associates (201</w:t>
      </w:r>
      <w:r w:rsidR="00EA4302">
        <w:t>2</w:t>
      </w:r>
      <w:r>
        <w:t>), derived from NGER data</w:t>
      </w:r>
    </w:p>
    <w:p w14:paraId="3E069F37" w14:textId="77777777" w:rsidR="00252655" w:rsidRPr="0045054D" w:rsidRDefault="00010E2E">
      <w:pPr>
        <w:pStyle w:val="TableNote"/>
        <w:tabs>
          <w:tab w:val="left" w:pos="0"/>
          <w:tab w:val="left" w:pos="2250"/>
        </w:tabs>
        <w:spacing w:before="60"/>
        <w:rPr>
          <w:szCs w:val="16"/>
        </w:rPr>
      </w:pPr>
      <w:r>
        <w:t>Note</w:t>
      </w:r>
      <w:r w:rsidR="00252655">
        <w:t>s</w:t>
      </w:r>
      <w:r>
        <w:t xml:space="preserve">: </w:t>
      </w:r>
    </w:p>
    <w:p w14:paraId="1F16C34B" w14:textId="77777777" w:rsidR="006D5391" w:rsidRPr="0045054D" w:rsidRDefault="006D5391" w:rsidP="006D5391">
      <w:pPr>
        <w:pStyle w:val="Bullet"/>
        <w:spacing w:before="0"/>
        <w:ind w:left="755" w:hanging="471"/>
        <w:rPr>
          <w:sz w:val="16"/>
          <w:szCs w:val="16"/>
        </w:rPr>
      </w:pPr>
      <w:r w:rsidRPr="00345E7B">
        <w:rPr>
          <w:sz w:val="16"/>
          <w:szCs w:val="16"/>
        </w:rPr>
        <w:t xml:space="preserve">Factors </w:t>
      </w:r>
      <w:r>
        <w:rPr>
          <w:sz w:val="16"/>
          <w:szCs w:val="16"/>
        </w:rPr>
        <w:t xml:space="preserve">are calculated for all natural gas distributed in a pipeline which may include coal seam </w:t>
      </w:r>
      <w:r w:rsidRPr="00345E7B">
        <w:rPr>
          <w:sz w:val="16"/>
          <w:szCs w:val="16"/>
        </w:rPr>
        <w:t>methane.</w:t>
      </w:r>
    </w:p>
    <w:p w14:paraId="474EE492" w14:textId="77777777" w:rsidR="00010E2E" w:rsidRPr="00252655" w:rsidRDefault="00BE6679" w:rsidP="00252655">
      <w:pPr>
        <w:pStyle w:val="Bullet"/>
        <w:spacing w:before="0"/>
        <w:ind w:left="755" w:hanging="471"/>
        <w:rPr>
          <w:sz w:val="16"/>
          <w:szCs w:val="16"/>
        </w:rPr>
      </w:pPr>
      <w:r w:rsidRPr="00252655">
        <w:rPr>
          <w:sz w:val="16"/>
          <w:szCs w:val="16"/>
        </w:rPr>
        <w:t>Metro is defined as located on or east of the dividing range in NSW, including Canberra and Queanbeyan , Melbourne, Brisbane, Adelaide or Perth. Otherwise, the non-metro factor should be used.</w:t>
      </w:r>
    </w:p>
    <w:p w14:paraId="38A38417" w14:textId="77777777" w:rsidR="00252655" w:rsidRDefault="00252655" w:rsidP="00545633">
      <w:pPr>
        <w:pStyle w:val="Bullet"/>
        <w:spacing w:before="0"/>
        <w:ind w:left="755" w:hanging="471"/>
        <w:rPr>
          <w:sz w:val="16"/>
          <w:szCs w:val="16"/>
        </w:rPr>
      </w:pPr>
      <w:r w:rsidRPr="00252655">
        <w:rPr>
          <w:sz w:val="16"/>
          <w:szCs w:val="16"/>
        </w:rPr>
        <w:t>Updated factors for Tasmania and the Northern Territory are not available due to confidentiality constraints that arise from the use of a limited number of NGER data inputs.</w:t>
      </w:r>
    </w:p>
    <w:p w14:paraId="740F3208" w14:textId="77777777" w:rsidR="00BF1628" w:rsidRDefault="00BF1628" w:rsidP="00545633">
      <w:pPr>
        <w:pStyle w:val="Bullet"/>
        <w:spacing w:before="0"/>
        <w:rPr>
          <w:sz w:val="16"/>
          <w:szCs w:val="16"/>
        </w:rPr>
      </w:pPr>
      <w:r>
        <w:rPr>
          <w:sz w:val="16"/>
          <w:szCs w:val="16"/>
        </w:rPr>
        <w:t>The scope 3 natural gas emission factors above do</w:t>
      </w:r>
      <w:r w:rsidRPr="00BF1628">
        <w:rPr>
          <w:sz w:val="16"/>
          <w:szCs w:val="16"/>
        </w:rPr>
        <w:t xml:space="preserve"> not include</w:t>
      </w:r>
      <w:r>
        <w:rPr>
          <w:sz w:val="16"/>
          <w:szCs w:val="16"/>
        </w:rPr>
        <w:t xml:space="preserve"> fugitive emission leakage</w:t>
      </w:r>
      <w:r w:rsidRPr="00BF1628">
        <w:rPr>
          <w:sz w:val="16"/>
          <w:szCs w:val="16"/>
        </w:rPr>
        <w:t xml:space="preserve"> from low pressure natural gas distribution pipeline networks. Emissions from combustion associated with low pressure natural gas distribution pipeline networks are included in the scope 3</w:t>
      </w:r>
      <w:r>
        <w:rPr>
          <w:sz w:val="16"/>
          <w:szCs w:val="16"/>
        </w:rPr>
        <w:t xml:space="preserve"> emission</w:t>
      </w:r>
      <w:r w:rsidRPr="00BF1628">
        <w:rPr>
          <w:sz w:val="16"/>
          <w:szCs w:val="16"/>
        </w:rPr>
        <w:t xml:space="preserve"> factors.</w:t>
      </w:r>
    </w:p>
    <w:p w14:paraId="05FF4848" w14:textId="77777777" w:rsidR="003F782F" w:rsidRPr="00252655" w:rsidRDefault="003F782F" w:rsidP="003F782F">
      <w:pPr>
        <w:pStyle w:val="Bullet"/>
        <w:numPr>
          <w:ilvl w:val="0"/>
          <w:numId w:val="0"/>
        </w:numPr>
        <w:ind w:left="756"/>
        <w:rPr>
          <w:sz w:val="16"/>
          <w:szCs w:val="16"/>
        </w:rPr>
      </w:pPr>
    </w:p>
    <w:p w14:paraId="2D84B0DF" w14:textId="77777777" w:rsidR="00D76245" w:rsidRDefault="00491D41" w:rsidP="00C23E3B">
      <w:pPr>
        <w:pStyle w:val="Caption"/>
      </w:pPr>
      <w:bookmarkStart w:id="160" w:name="_Toc391646723"/>
      <w:bookmarkStart w:id="161" w:name="_Toc485728147"/>
      <w:r>
        <w:t xml:space="preserve">Table </w:t>
      </w:r>
      <w:r w:rsidR="00DC52E0">
        <w:fldChar w:fldCharType="begin"/>
      </w:r>
      <w:r>
        <w:instrText xml:space="preserve"> SEQ Table \* ARABIC </w:instrText>
      </w:r>
      <w:r w:rsidR="00DC52E0">
        <w:fldChar w:fldCharType="separate"/>
      </w:r>
      <w:r w:rsidR="004A1330">
        <w:rPr>
          <w:noProof/>
        </w:rPr>
        <w:t>39</w:t>
      </w:r>
      <w:r w:rsidR="00DC52E0">
        <w:fldChar w:fldCharType="end"/>
      </w:r>
      <w:r w:rsidR="00EA1652">
        <w:t>: Scope 3 emission factors – ethane</w:t>
      </w:r>
      <w:bookmarkEnd w:id="160"/>
      <w:bookmarkEnd w:id="16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8"/>
        <w:gridCol w:w="4431"/>
      </w:tblGrid>
      <w:tr w:rsidR="00EA1652" w:rsidRPr="005A5B60" w14:paraId="6668062D" w14:textId="77777777" w:rsidTr="006F6784">
        <w:trPr>
          <w:cantSplit/>
          <w:trHeight w:val="475"/>
        </w:trPr>
        <w:tc>
          <w:tcPr>
            <w:tcW w:w="3828" w:type="dxa"/>
            <w:shd w:val="pct15" w:color="auto" w:fill="auto"/>
            <w:vAlign w:val="center"/>
          </w:tcPr>
          <w:p w14:paraId="56823620" w14:textId="77777777" w:rsidR="00EA1652" w:rsidRPr="005A5B60" w:rsidRDefault="00EA1652" w:rsidP="006F6784">
            <w:pPr>
              <w:pStyle w:val="Table"/>
              <w:jc w:val="center"/>
              <w:rPr>
                <w:bCs/>
                <w:spacing w:val="-10"/>
                <w:kern w:val="28"/>
                <w:sz w:val="18"/>
                <w:szCs w:val="18"/>
              </w:rPr>
            </w:pPr>
            <w:r>
              <w:rPr>
                <w:rStyle w:val="Strong"/>
                <w:rFonts w:cs="Arial"/>
                <w:sz w:val="18"/>
                <w:szCs w:val="18"/>
              </w:rPr>
              <w:t>E</w:t>
            </w:r>
            <w:r w:rsidRPr="00B76435">
              <w:rPr>
                <w:rStyle w:val="Strong"/>
                <w:rFonts w:cs="Arial"/>
                <w:sz w:val="18"/>
                <w:szCs w:val="18"/>
              </w:rPr>
              <w:t>thane produced in accordance with Division 23 of Part 3</w:t>
            </w:r>
            <w:r>
              <w:rPr>
                <w:rStyle w:val="Strong"/>
                <w:rFonts w:cs="Arial"/>
                <w:sz w:val="18"/>
                <w:szCs w:val="18"/>
              </w:rPr>
              <w:t xml:space="preserve"> of the </w:t>
            </w:r>
            <w:r w:rsidRPr="00B76435">
              <w:rPr>
                <w:rStyle w:val="Strong"/>
                <w:rFonts w:cs="Arial"/>
                <w:sz w:val="18"/>
                <w:szCs w:val="18"/>
              </w:rPr>
              <w:t>Clean Energy Regulations 2011</w:t>
            </w:r>
          </w:p>
        </w:tc>
        <w:tc>
          <w:tcPr>
            <w:tcW w:w="4536" w:type="dxa"/>
            <w:shd w:val="pct15" w:color="auto" w:fill="auto"/>
            <w:vAlign w:val="center"/>
          </w:tcPr>
          <w:p w14:paraId="5C633EAB" w14:textId="77777777" w:rsidR="00EA1652" w:rsidRPr="003F782F" w:rsidRDefault="00EA1652" w:rsidP="006F6784">
            <w:pPr>
              <w:pStyle w:val="TableCentre"/>
              <w:rPr>
                <w:b/>
                <w:sz w:val="18"/>
                <w:szCs w:val="18"/>
              </w:rPr>
            </w:pPr>
            <w:r w:rsidRPr="003F782F">
              <w:rPr>
                <w:b/>
                <w:sz w:val="18"/>
                <w:szCs w:val="18"/>
              </w:rPr>
              <w:t>kg CO</w:t>
            </w:r>
            <w:r w:rsidRPr="003F782F">
              <w:rPr>
                <w:b/>
              </w:rPr>
              <w:t>2</w:t>
            </w:r>
            <w:r w:rsidRPr="003F782F">
              <w:rPr>
                <w:b/>
                <w:sz w:val="18"/>
                <w:szCs w:val="18"/>
              </w:rPr>
              <w:t>-e/GJ</w:t>
            </w:r>
          </w:p>
        </w:tc>
      </w:tr>
      <w:tr w:rsidR="00EA1652" w:rsidRPr="005A5B60" w14:paraId="27AD6C3C" w14:textId="77777777" w:rsidTr="006F6784">
        <w:trPr>
          <w:trHeight w:val="424"/>
        </w:trPr>
        <w:tc>
          <w:tcPr>
            <w:tcW w:w="3828" w:type="dxa"/>
            <w:vAlign w:val="center"/>
          </w:tcPr>
          <w:p w14:paraId="3FC1E74E" w14:textId="77777777" w:rsidR="00EA1652" w:rsidRPr="005A5B60" w:rsidRDefault="00EA1652" w:rsidP="006F6784">
            <w:pPr>
              <w:pStyle w:val="TableCentre"/>
              <w:rPr>
                <w:sz w:val="18"/>
                <w:szCs w:val="18"/>
              </w:rPr>
            </w:pPr>
            <w:r>
              <w:rPr>
                <w:sz w:val="18"/>
                <w:szCs w:val="18"/>
              </w:rPr>
              <w:t>New South Wales</w:t>
            </w:r>
          </w:p>
        </w:tc>
        <w:tc>
          <w:tcPr>
            <w:tcW w:w="4536" w:type="dxa"/>
            <w:vAlign w:val="center"/>
          </w:tcPr>
          <w:p w14:paraId="0CD377F3" w14:textId="77777777" w:rsidR="00EA1652" w:rsidRPr="007A2BEC" w:rsidRDefault="00EA1652" w:rsidP="006F6784">
            <w:pPr>
              <w:pStyle w:val="TableCentre"/>
              <w:rPr>
                <w:sz w:val="18"/>
                <w:szCs w:val="18"/>
              </w:rPr>
            </w:pPr>
            <w:r>
              <w:rPr>
                <w:sz w:val="18"/>
                <w:szCs w:val="18"/>
              </w:rPr>
              <w:t>2</w:t>
            </w:r>
            <w:r w:rsidR="00672D6D">
              <w:rPr>
                <w:sz w:val="18"/>
                <w:szCs w:val="18"/>
              </w:rPr>
              <w:t>3</w:t>
            </w:r>
          </w:p>
        </w:tc>
      </w:tr>
      <w:tr w:rsidR="00EA1652" w:rsidRPr="005A5B60" w14:paraId="167B3418" w14:textId="77777777" w:rsidTr="006F6784">
        <w:trPr>
          <w:trHeight w:val="424"/>
        </w:trPr>
        <w:tc>
          <w:tcPr>
            <w:tcW w:w="3828" w:type="dxa"/>
            <w:vAlign w:val="center"/>
          </w:tcPr>
          <w:p w14:paraId="431E1429" w14:textId="77777777" w:rsidR="00EA1652" w:rsidRPr="007A2BEC" w:rsidRDefault="00EA1652" w:rsidP="006F6784">
            <w:pPr>
              <w:pStyle w:val="TableCentre"/>
              <w:rPr>
                <w:sz w:val="18"/>
                <w:szCs w:val="18"/>
              </w:rPr>
            </w:pPr>
            <w:r>
              <w:rPr>
                <w:sz w:val="18"/>
                <w:szCs w:val="18"/>
              </w:rPr>
              <w:t>Victoria</w:t>
            </w:r>
          </w:p>
        </w:tc>
        <w:tc>
          <w:tcPr>
            <w:tcW w:w="4536" w:type="dxa"/>
            <w:vAlign w:val="center"/>
          </w:tcPr>
          <w:p w14:paraId="73F844FB" w14:textId="77777777" w:rsidR="00EA1652" w:rsidRPr="007A2BEC" w:rsidRDefault="00672D6D" w:rsidP="006F6784">
            <w:pPr>
              <w:pStyle w:val="TableCentre"/>
              <w:rPr>
                <w:sz w:val="18"/>
                <w:szCs w:val="18"/>
              </w:rPr>
            </w:pPr>
            <w:r>
              <w:rPr>
                <w:sz w:val="18"/>
                <w:szCs w:val="18"/>
              </w:rPr>
              <w:t>5.6</w:t>
            </w:r>
          </w:p>
        </w:tc>
      </w:tr>
    </w:tbl>
    <w:p w14:paraId="0F8A2735" w14:textId="77777777" w:rsidR="00B76435" w:rsidRDefault="00EA4302">
      <w:pPr>
        <w:pStyle w:val="TableNote"/>
        <w:tabs>
          <w:tab w:val="left" w:pos="0"/>
          <w:tab w:val="left" w:pos="2250"/>
        </w:tabs>
        <w:spacing w:before="60"/>
      </w:pPr>
      <w:r w:rsidRPr="00EA4302">
        <w:t>Source: Wilkenfeld and Associates (2012), derived from NGER data</w:t>
      </w:r>
    </w:p>
    <w:p w14:paraId="420ECF5B" w14:textId="77777777" w:rsidR="00D76245" w:rsidRDefault="00D76245" w:rsidP="00C23E3B">
      <w:pPr>
        <w:pStyle w:val="Caption"/>
      </w:pPr>
    </w:p>
    <w:p w14:paraId="4D35AB40" w14:textId="77777777" w:rsidR="00B80F09" w:rsidRDefault="00B80F09" w:rsidP="00B80F09">
      <w:pPr>
        <w:pStyle w:val="BodyText"/>
      </w:pPr>
    </w:p>
    <w:p w14:paraId="1EF7A43F" w14:textId="77777777" w:rsidR="00FD6FEB" w:rsidRDefault="00FD6FEB">
      <w:pPr>
        <w:ind w:left="0"/>
        <w:rPr>
          <w:rFonts w:ascii="Arial" w:hAnsi="Arial"/>
        </w:rPr>
      </w:pPr>
      <w:bookmarkStart w:id="162" w:name="_Toc391646724"/>
      <w:r>
        <w:br w:type="page"/>
      </w:r>
    </w:p>
    <w:bookmarkEnd w:id="162"/>
    <w:p w14:paraId="1D64D13E" w14:textId="77777777" w:rsidR="00B76435" w:rsidRDefault="00B76435" w:rsidP="006230D3">
      <w:pPr>
        <w:pStyle w:val="Bullet"/>
        <w:numPr>
          <w:ilvl w:val="0"/>
          <w:numId w:val="0"/>
        </w:numPr>
        <w:spacing w:before="0"/>
        <w:ind w:left="755"/>
      </w:pPr>
    </w:p>
    <w:p w14:paraId="3FBBEE85" w14:textId="77777777" w:rsidR="00D76245" w:rsidRDefault="00491D41" w:rsidP="00C23E3B">
      <w:pPr>
        <w:pStyle w:val="Caption"/>
      </w:pPr>
      <w:bookmarkStart w:id="163" w:name="_Toc391646725"/>
      <w:bookmarkStart w:id="164" w:name="_Toc485728148"/>
      <w:r>
        <w:t xml:space="preserve">Table </w:t>
      </w:r>
      <w:r w:rsidR="00DC52E0">
        <w:fldChar w:fldCharType="begin"/>
      </w:r>
      <w:r>
        <w:instrText xml:space="preserve"> SEQ Table \* ARABIC </w:instrText>
      </w:r>
      <w:r w:rsidR="00DC52E0">
        <w:fldChar w:fldCharType="separate"/>
      </w:r>
      <w:r w:rsidR="004A1330">
        <w:rPr>
          <w:noProof/>
        </w:rPr>
        <w:t>40</w:t>
      </w:r>
      <w:r w:rsidR="00DC52E0">
        <w:fldChar w:fldCharType="end"/>
      </w:r>
      <w:r w:rsidR="00010E2E">
        <w:t>: Scope 3 emission factors – liquid fuels and certain petroleum based products</w:t>
      </w:r>
      <w:bookmarkEnd w:id="163"/>
      <w:bookmarkEnd w:id="164"/>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29"/>
        <w:gridCol w:w="2835"/>
      </w:tblGrid>
      <w:tr w:rsidR="00010E2E" w:rsidRPr="005A5B60" w14:paraId="30738C22" w14:textId="77777777" w:rsidTr="00E719D0">
        <w:tc>
          <w:tcPr>
            <w:tcW w:w="5529" w:type="dxa"/>
            <w:vMerge w:val="restart"/>
            <w:shd w:val="clear" w:color="auto" w:fill="CCCCCC"/>
            <w:vAlign w:val="center"/>
          </w:tcPr>
          <w:p w14:paraId="27BA4A98" w14:textId="77777777" w:rsidR="00010E2E" w:rsidRPr="005A5B60" w:rsidRDefault="00010E2E" w:rsidP="00E719D0">
            <w:pPr>
              <w:pStyle w:val="Table"/>
              <w:jc w:val="center"/>
              <w:rPr>
                <w:snapToGrid w:val="0"/>
                <w:sz w:val="18"/>
                <w:szCs w:val="18"/>
              </w:rPr>
            </w:pPr>
            <w:r w:rsidRPr="005A5B60">
              <w:rPr>
                <w:rStyle w:val="Strong"/>
                <w:rFonts w:cs="Arial"/>
                <w:sz w:val="18"/>
                <w:szCs w:val="18"/>
              </w:rPr>
              <w:t xml:space="preserve">Liquid Fuels </w:t>
            </w:r>
            <w:r w:rsidRPr="005A5B60">
              <w:rPr>
                <w:b/>
                <w:bCs/>
                <w:sz w:val="18"/>
                <w:szCs w:val="18"/>
              </w:rPr>
              <w:t>combusted</w:t>
            </w:r>
          </w:p>
        </w:tc>
        <w:tc>
          <w:tcPr>
            <w:tcW w:w="2835" w:type="dxa"/>
            <w:shd w:val="clear" w:color="auto" w:fill="CCCCCC"/>
            <w:vAlign w:val="center"/>
          </w:tcPr>
          <w:p w14:paraId="30CC80BC" w14:textId="77777777" w:rsidR="00010E2E" w:rsidRPr="005A5B60" w:rsidRDefault="00010E2E" w:rsidP="00E719D0">
            <w:pPr>
              <w:pStyle w:val="TableCentre"/>
              <w:rPr>
                <w:b/>
                <w:bCs/>
                <w:sz w:val="18"/>
                <w:szCs w:val="18"/>
              </w:rPr>
            </w:pPr>
            <w:r w:rsidRPr="005A5B60">
              <w:rPr>
                <w:b/>
                <w:bCs/>
                <w:sz w:val="18"/>
                <w:szCs w:val="18"/>
              </w:rPr>
              <w:t>EF for scope 3</w:t>
            </w:r>
          </w:p>
        </w:tc>
      </w:tr>
      <w:tr w:rsidR="00010E2E" w:rsidRPr="005A5B60" w14:paraId="43EC4281" w14:textId="77777777" w:rsidTr="00E719D0">
        <w:tc>
          <w:tcPr>
            <w:tcW w:w="5529" w:type="dxa"/>
            <w:vMerge/>
            <w:shd w:val="clear" w:color="auto" w:fill="CCCCCC"/>
            <w:vAlign w:val="center"/>
          </w:tcPr>
          <w:p w14:paraId="5BD3B40A" w14:textId="77777777" w:rsidR="00010E2E" w:rsidRPr="005A5B60" w:rsidRDefault="00010E2E" w:rsidP="00E719D0">
            <w:pPr>
              <w:pStyle w:val="Table"/>
              <w:jc w:val="center"/>
              <w:rPr>
                <w:snapToGrid w:val="0"/>
                <w:sz w:val="18"/>
                <w:szCs w:val="18"/>
              </w:rPr>
            </w:pPr>
          </w:p>
        </w:tc>
        <w:tc>
          <w:tcPr>
            <w:tcW w:w="2835" w:type="dxa"/>
            <w:shd w:val="clear" w:color="auto" w:fill="CCCCCC"/>
            <w:vAlign w:val="center"/>
          </w:tcPr>
          <w:p w14:paraId="63AECC9B" w14:textId="77777777" w:rsidR="00010E2E" w:rsidRPr="005A5B60" w:rsidRDefault="00010E2E" w:rsidP="00E719D0">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-e/GJ</w:t>
            </w:r>
          </w:p>
        </w:tc>
      </w:tr>
      <w:tr w:rsidR="00010E2E" w:rsidRPr="005A5B60" w14:paraId="4EC29E05" w14:textId="77777777" w:rsidTr="00E719D0">
        <w:tc>
          <w:tcPr>
            <w:tcW w:w="5529" w:type="dxa"/>
          </w:tcPr>
          <w:p w14:paraId="59C033CA" w14:textId="77777777" w:rsidR="00010E2E" w:rsidRPr="005A5B60" w:rsidRDefault="00010E2E">
            <w:pPr>
              <w:pStyle w:val="Table"/>
              <w:rPr>
                <w:snapToGrid w:val="0"/>
                <w:sz w:val="18"/>
                <w:szCs w:val="18"/>
              </w:rPr>
            </w:pPr>
            <w:r w:rsidRPr="005A5B60">
              <w:rPr>
                <w:snapToGrid w:val="0"/>
                <w:sz w:val="18"/>
                <w:szCs w:val="18"/>
              </w:rPr>
              <w:t>Petroleum based oils (other than petroleum based oil used as fuel, eg lubricants)</w:t>
            </w:r>
          </w:p>
        </w:tc>
        <w:tc>
          <w:tcPr>
            <w:tcW w:w="2835" w:type="dxa"/>
          </w:tcPr>
          <w:p w14:paraId="3D8FBFEC" w14:textId="77777777" w:rsidR="00010E2E" w:rsidRPr="005A5B60" w:rsidRDefault="00404C18">
            <w:pPr>
              <w:pStyle w:val="TableCentre"/>
              <w:rPr>
                <w:sz w:val="18"/>
                <w:szCs w:val="18"/>
              </w:rPr>
            </w:pPr>
            <w:r>
              <w:rPr>
                <w:sz w:val="18"/>
                <w:szCs w:val="18"/>
              </w:rPr>
              <w:t>3.6</w:t>
            </w:r>
          </w:p>
        </w:tc>
      </w:tr>
      <w:tr w:rsidR="00010E2E" w:rsidRPr="005A5B60" w14:paraId="4B9C81CC" w14:textId="77777777" w:rsidTr="00E719D0">
        <w:tc>
          <w:tcPr>
            <w:tcW w:w="5529" w:type="dxa"/>
          </w:tcPr>
          <w:p w14:paraId="1B350521" w14:textId="77777777" w:rsidR="00010E2E" w:rsidRPr="005A5B60" w:rsidRDefault="00010E2E">
            <w:pPr>
              <w:pStyle w:val="Table"/>
              <w:rPr>
                <w:snapToGrid w:val="0"/>
                <w:sz w:val="18"/>
                <w:szCs w:val="18"/>
              </w:rPr>
            </w:pPr>
            <w:r w:rsidRPr="005A5B60">
              <w:rPr>
                <w:snapToGrid w:val="0"/>
                <w:sz w:val="18"/>
                <w:szCs w:val="18"/>
              </w:rPr>
              <w:t>Petroleum based greases</w:t>
            </w:r>
          </w:p>
        </w:tc>
        <w:tc>
          <w:tcPr>
            <w:tcW w:w="2835" w:type="dxa"/>
          </w:tcPr>
          <w:p w14:paraId="5C127843" w14:textId="77777777" w:rsidR="00010E2E" w:rsidRPr="005A5B60" w:rsidRDefault="00404C18">
            <w:pPr>
              <w:pStyle w:val="TableCentre"/>
              <w:rPr>
                <w:sz w:val="18"/>
                <w:szCs w:val="18"/>
              </w:rPr>
            </w:pPr>
            <w:r>
              <w:rPr>
                <w:sz w:val="18"/>
                <w:szCs w:val="18"/>
              </w:rPr>
              <w:t>3.6</w:t>
            </w:r>
          </w:p>
        </w:tc>
      </w:tr>
      <w:tr w:rsidR="00010E2E" w:rsidRPr="005A5B60" w14:paraId="0A8517B6" w14:textId="77777777" w:rsidTr="00E719D0">
        <w:tc>
          <w:tcPr>
            <w:tcW w:w="5529" w:type="dxa"/>
          </w:tcPr>
          <w:p w14:paraId="4E2C58AF" w14:textId="77777777" w:rsidR="00010E2E" w:rsidRPr="005A5B60" w:rsidRDefault="00010E2E">
            <w:pPr>
              <w:pStyle w:val="Table"/>
              <w:rPr>
                <w:snapToGrid w:val="0"/>
                <w:sz w:val="18"/>
                <w:szCs w:val="18"/>
              </w:rPr>
            </w:pPr>
            <w:r w:rsidRPr="005A5B60">
              <w:rPr>
                <w:snapToGrid w:val="0"/>
                <w:sz w:val="18"/>
                <w:szCs w:val="18"/>
              </w:rPr>
              <w:t>Crude oil including crude oil condensates</w:t>
            </w:r>
          </w:p>
        </w:tc>
        <w:tc>
          <w:tcPr>
            <w:tcW w:w="2835" w:type="dxa"/>
          </w:tcPr>
          <w:p w14:paraId="165308CB" w14:textId="77777777" w:rsidR="00010E2E" w:rsidRPr="005A5B60" w:rsidRDefault="00404C18">
            <w:pPr>
              <w:pStyle w:val="TableCentre"/>
              <w:rPr>
                <w:sz w:val="18"/>
                <w:szCs w:val="18"/>
              </w:rPr>
            </w:pPr>
            <w:r>
              <w:rPr>
                <w:sz w:val="18"/>
                <w:szCs w:val="18"/>
              </w:rPr>
              <w:t>3.6</w:t>
            </w:r>
          </w:p>
        </w:tc>
      </w:tr>
      <w:tr w:rsidR="00010E2E" w:rsidRPr="005A5B60" w14:paraId="6DFAD452" w14:textId="77777777" w:rsidTr="00E719D0">
        <w:tc>
          <w:tcPr>
            <w:tcW w:w="5529" w:type="dxa"/>
          </w:tcPr>
          <w:p w14:paraId="2EEB4AEE" w14:textId="77777777" w:rsidR="00010E2E" w:rsidRPr="005A5B60" w:rsidRDefault="00010E2E">
            <w:pPr>
              <w:pStyle w:val="Table"/>
              <w:rPr>
                <w:snapToGrid w:val="0"/>
                <w:sz w:val="18"/>
                <w:szCs w:val="18"/>
              </w:rPr>
            </w:pPr>
            <w:r w:rsidRPr="005A5B60">
              <w:rPr>
                <w:snapToGrid w:val="0"/>
                <w:sz w:val="18"/>
                <w:szCs w:val="18"/>
              </w:rPr>
              <w:t xml:space="preserve">Other natural gas liquids </w:t>
            </w:r>
          </w:p>
        </w:tc>
        <w:tc>
          <w:tcPr>
            <w:tcW w:w="2835" w:type="dxa"/>
          </w:tcPr>
          <w:p w14:paraId="13A64D94" w14:textId="77777777" w:rsidR="00010E2E" w:rsidRPr="005A5B60" w:rsidRDefault="00404C18">
            <w:pPr>
              <w:pStyle w:val="TableCentre"/>
              <w:rPr>
                <w:sz w:val="18"/>
                <w:szCs w:val="18"/>
              </w:rPr>
            </w:pPr>
            <w:r>
              <w:rPr>
                <w:sz w:val="18"/>
                <w:szCs w:val="18"/>
              </w:rPr>
              <w:t>3.6</w:t>
            </w:r>
          </w:p>
        </w:tc>
      </w:tr>
      <w:tr w:rsidR="00010E2E" w:rsidRPr="005A5B60" w14:paraId="3B240EAA" w14:textId="77777777" w:rsidTr="00E719D0">
        <w:tc>
          <w:tcPr>
            <w:tcW w:w="5529" w:type="dxa"/>
          </w:tcPr>
          <w:p w14:paraId="4AB03869" w14:textId="77777777" w:rsidR="00010E2E" w:rsidRPr="005A5B60" w:rsidRDefault="00010E2E">
            <w:pPr>
              <w:pStyle w:val="Table"/>
              <w:rPr>
                <w:snapToGrid w:val="0"/>
                <w:sz w:val="18"/>
                <w:szCs w:val="18"/>
              </w:rPr>
            </w:pPr>
            <w:r w:rsidRPr="005A5B60">
              <w:rPr>
                <w:snapToGrid w:val="0"/>
                <w:sz w:val="18"/>
                <w:szCs w:val="18"/>
              </w:rPr>
              <w:t>Gasoline (other than for use as fuel in an aircraft)</w:t>
            </w:r>
          </w:p>
        </w:tc>
        <w:tc>
          <w:tcPr>
            <w:tcW w:w="2835" w:type="dxa"/>
          </w:tcPr>
          <w:p w14:paraId="65710044" w14:textId="77777777" w:rsidR="00010E2E" w:rsidRPr="005A5B60" w:rsidRDefault="00404C18">
            <w:pPr>
              <w:pStyle w:val="TableCentre"/>
              <w:rPr>
                <w:sz w:val="18"/>
                <w:szCs w:val="18"/>
              </w:rPr>
            </w:pPr>
            <w:r>
              <w:rPr>
                <w:sz w:val="18"/>
                <w:szCs w:val="18"/>
              </w:rPr>
              <w:t>3.6</w:t>
            </w:r>
          </w:p>
        </w:tc>
      </w:tr>
      <w:tr w:rsidR="00010E2E" w:rsidRPr="005A5B60" w14:paraId="10144378" w14:textId="77777777" w:rsidTr="00E719D0">
        <w:tc>
          <w:tcPr>
            <w:tcW w:w="5529" w:type="dxa"/>
          </w:tcPr>
          <w:p w14:paraId="7153610D" w14:textId="77777777" w:rsidR="00010E2E" w:rsidRPr="005A5B60" w:rsidRDefault="00010E2E">
            <w:pPr>
              <w:pStyle w:val="Table"/>
              <w:rPr>
                <w:snapToGrid w:val="0"/>
                <w:sz w:val="18"/>
                <w:szCs w:val="18"/>
              </w:rPr>
            </w:pPr>
            <w:r w:rsidRPr="005A5B60">
              <w:rPr>
                <w:snapToGrid w:val="0"/>
                <w:sz w:val="18"/>
                <w:szCs w:val="18"/>
              </w:rPr>
              <w:t>Gasoline for use as fuel in an aircraft (avgas)</w:t>
            </w:r>
          </w:p>
        </w:tc>
        <w:tc>
          <w:tcPr>
            <w:tcW w:w="2835" w:type="dxa"/>
          </w:tcPr>
          <w:p w14:paraId="26BF3300" w14:textId="77777777" w:rsidR="00010E2E" w:rsidRPr="005A5B60" w:rsidRDefault="00404C18">
            <w:pPr>
              <w:pStyle w:val="TableCentre"/>
              <w:rPr>
                <w:sz w:val="18"/>
                <w:szCs w:val="18"/>
              </w:rPr>
            </w:pPr>
            <w:r>
              <w:rPr>
                <w:sz w:val="18"/>
                <w:szCs w:val="18"/>
              </w:rPr>
              <w:t>3.6</w:t>
            </w:r>
          </w:p>
        </w:tc>
      </w:tr>
      <w:tr w:rsidR="00010E2E" w:rsidRPr="005A5B60" w14:paraId="6A954863" w14:textId="77777777" w:rsidTr="00E719D0">
        <w:tc>
          <w:tcPr>
            <w:tcW w:w="5529" w:type="dxa"/>
          </w:tcPr>
          <w:p w14:paraId="746D1C78" w14:textId="77777777" w:rsidR="00010E2E" w:rsidRPr="005A5B60" w:rsidRDefault="00010E2E">
            <w:pPr>
              <w:pStyle w:val="Table"/>
              <w:rPr>
                <w:snapToGrid w:val="0"/>
                <w:sz w:val="18"/>
                <w:szCs w:val="18"/>
              </w:rPr>
            </w:pPr>
            <w:r w:rsidRPr="005A5B60">
              <w:rPr>
                <w:snapToGrid w:val="0"/>
                <w:sz w:val="18"/>
                <w:szCs w:val="18"/>
              </w:rPr>
              <w:t>Kerosene (other than for use as fuel in an aircraft)</w:t>
            </w:r>
          </w:p>
        </w:tc>
        <w:tc>
          <w:tcPr>
            <w:tcW w:w="2835" w:type="dxa"/>
          </w:tcPr>
          <w:p w14:paraId="18EA2B8C" w14:textId="77777777" w:rsidR="00010E2E" w:rsidRPr="005A5B60" w:rsidRDefault="00404C18">
            <w:pPr>
              <w:pStyle w:val="TableCentre"/>
              <w:rPr>
                <w:sz w:val="18"/>
                <w:szCs w:val="18"/>
              </w:rPr>
            </w:pPr>
            <w:r>
              <w:rPr>
                <w:sz w:val="18"/>
                <w:szCs w:val="18"/>
              </w:rPr>
              <w:t>3.6</w:t>
            </w:r>
          </w:p>
        </w:tc>
      </w:tr>
      <w:tr w:rsidR="00010E2E" w:rsidRPr="005A5B60" w14:paraId="7BB840F8" w14:textId="77777777" w:rsidTr="00E719D0">
        <w:tc>
          <w:tcPr>
            <w:tcW w:w="5529" w:type="dxa"/>
          </w:tcPr>
          <w:p w14:paraId="7C06F672" w14:textId="77777777" w:rsidR="00010E2E" w:rsidRPr="005A5B60" w:rsidRDefault="00010E2E">
            <w:pPr>
              <w:pStyle w:val="Table"/>
              <w:rPr>
                <w:snapToGrid w:val="0"/>
                <w:sz w:val="18"/>
                <w:szCs w:val="18"/>
              </w:rPr>
            </w:pPr>
            <w:r w:rsidRPr="005A5B60">
              <w:rPr>
                <w:sz w:val="18"/>
                <w:szCs w:val="18"/>
              </w:rPr>
              <w:t>Kerosene for use as fuel in an aircraft (avtur)</w:t>
            </w:r>
          </w:p>
        </w:tc>
        <w:tc>
          <w:tcPr>
            <w:tcW w:w="2835" w:type="dxa"/>
          </w:tcPr>
          <w:p w14:paraId="3229769D" w14:textId="77777777" w:rsidR="00010E2E" w:rsidRPr="005A5B60" w:rsidRDefault="00404C18">
            <w:pPr>
              <w:pStyle w:val="TableCentre"/>
              <w:rPr>
                <w:sz w:val="18"/>
                <w:szCs w:val="18"/>
              </w:rPr>
            </w:pPr>
            <w:r>
              <w:rPr>
                <w:sz w:val="18"/>
                <w:szCs w:val="18"/>
              </w:rPr>
              <w:t>3.6</w:t>
            </w:r>
          </w:p>
        </w:tc>
      </w:tr>
      <w:tr w:rsidR="00010E2E" w:rsidRPr="005A5B60" w14:paraId="60E3FB64" w14:textId="77777777" w:rsidTr="00E719D0">
        <w:tc>
          <w:tcPr>
            <w:tcW w:w="5529" w:type="dxa"/>
          </w:tcPr>
          <w:p w14:paraId="66A1656C" w14:textId="77777777" w:rsidR="00010E2E" w:rsidRPr="005A5B60" w:rsidRDefault="00010E2E">
            <w:pPr>
              <w:pStyle w:val="Table"/>
              <w:rPr>
                <w:snapToGrid w:val="0"/>
                <w:sz w:val="18"/>
                <w:szCs w:val="18"/>
              </w:rPr>
            </w:pPr>
            <w:r w:rsidRPr="005A5B60">
              <w:rPr>
                <w:snapToGrid w:val="0"/>
                <w:sz w:val="18"/>
                <w:szCs w:val="18"/>
              </w:rPr>
              <w:t>Heating oil</w:t>
            </w:r>
          </w:p>
        </w:tc>
        <w:tc>
          <w:tcPr>
            <w:tcW w:w="2835" w:type="dxa"/>
          </w:tcPr>
          <w:p w14:paraId="58BCDFD6" w14:textId="77777777" w:rsidR="00010E2E" w:rsidRPr="005A5B60" w:rsidRDefault="00404C18">
            <w:pPr>
              <w:pStyle w:val="TableCentre"/>
              <w:rPr>
                <w:sz w:val="18"/>
                <w:szCs w:val="18"/>
              </w:rPr>
            </w:pPr>
            <w:r>
              <w:rPr>
                <w:sz w:val="18"/>
                <w:szCs w:val="18"/>
              </w:rPr>
              <w:t>3.6</w:t>
            </w:r>
          </w:p>
        </w:tc>
      </w:tr>
      <w:tr w:rsidR="00010E2E" w:rsidRPr="005A5B60" w14:paraId="21CDDF2F" w14:textId="77777777" w:rsidTr="00E719D0">
        <w:tc>
          <w:tcPr>
            <w:tcW w:w="5529" w:type="dxa"/>
          </w:tcPr>
          <w:p w14:paraId="253025B0" w14:textId="77777777" w:rsidR="00010E2E" w:rsidRPr="005A5B60" w:rsidRDefault="00010E2E">
            <w:pPr>
              <w:pStyle w:val="Table"/>
              <w:rPr>
                <w:snapToGrid w:val="0"/>
                <w:sz w:val="18"/>
                <w:szCs w:val="18"/>
              </w:rPr>
            </w:pPr>
            <w:r w:rsidRPr="005A5B60">
              <w:rPr>
                <w:snapToGrid w:val="0"/>
                <w:sz w:val="18"/>
                <w:szCs w:val="18"/>
              </w:rPr>
              <w:t>Diesel oil</w:t>
            </w:r>
          </w:p>
        </w:tc>
        <w:tc>
          <w:tcPr>
            <w:tcW w:w="2835" w:type="dxa"/>
          </w:tcPr>
          <w:p w14:paraId="43229C2A" w14:textId="77777777" w:rsidR="00010E2E" w:rsidRPr="005A5B60" w:rsidRDefault="00404C18">
            <w:pPr>
              <w:pStyle w:val="TableCentre"/>
              <w:rPr>
                <w:sz w:val="18"/>
                <w:szCs w:val="18"/>
              </w:rPr>
            </w:pPr>
            <w:r>
              <w:rPr>
                <w:sz w:val="18"/>
                <w:szCs w:val="18"/>
              </w:rPr>
              <w:t>3.6</w:t>
            </w:r>
          </w:p>
        </w:tc>
      </w:tr>
      <w:tr w:rsidR="00010E2E" w:rsidRPr="005A5B60" w14:paraId="3A33BF49" w14:textId="77777777" w:rsidTr="00E719D0">
        <w:tc>
          <w:tcPr>
            <w:tcW w:w="5529" w:type="dxa"/>
          </w:tcPr>
          <w:p w14:paraId="71F7E570" w14:textId="77777777" w:rsidR="00010E2E" w:rsidRPr="005A5B60" w:rsidRDefault="00010E2E">
            <w:pPr>
              <w:pStyle w:val="Table"/>
              <w:rPr>
                <w:snapToGrid w:val="0"/>
                <w:sz w:val="18"/>
                <w:szCs w:val="18"/>
              </w:rPr>
            </w:pPr>
            <w:r w:rsidRPr="005A5B60">
              <w:rPr>
                <w:snapToGrid w:val="0"/>
                <w:sz w:val="18"/>
                <w:szCs w:val="18"/>
              </w:rPr>
              <w:t>Fuel oil</w:t>
            </w:r>
          </w:p>
        </w:tc>
        <w:tc>
          <w:tcPr>
            <w:tcW w:w="2835" w:type="dxa"/>
          </w:tcPr>
          <w:p w14:paraId="4E29F1F2" w14:textId="77777777" w:rsidR="00010E2E" w:rsidRPr="005A5B60" w:rsidRDefault="00404C18">
            <w:pPr>
              <w:pStyle w:val="TableCentre"/>
              <w:rPr>
                <w:sz w:val="18"/>
                <w:szCs w:val="18"/>
              </w:rPr>
            </w:pPr>
            <w:r>
              <w:rPr>
                <w:sz w:val="18"/>
                <w:szCs w:val="18"/>
              </w:rPr>
              <w:t>3.6</w:t>
            </w:r>
          </w:p>
        </w:tc>
      </w:tr>
      <w:tr w:rsidR="00010E2E" w:rsidRPr="005A5B60" w14:paraId="27573101" w14:textId="77777777" w:rsidTr="00E719D0">
        <w:tc>
          <w:tcPr>
            <w:tcW w:w="5529" w:type="dxa"/>
          </w:tcPr>
          <w:p w14:paraId="6E3E1C59" w14:textId="77777777" w:rsidR="00010E2E" w:rsidRPr="005A5B60" w:rsidRDefault="00010E2E">
            <w:pPr>
              <w:pStyle w:val="Table"/>
              <w:rPr>
                <w:snapToGrid w:val="0"/>
                <w:sz w:val="18"/>
                <w:szCs w:val="18"/>
              </w:rPr>
            </w:pPr>
            <w:r w:rsidRPr="005A5B60">
              <w:rPr>
                <w:snapToGrid w:val="0"/>
                <w:sz w:val="18"/>
                <w:szCs w:val="18"/>
              </w:rPr>
              <w:t xml:space="preserve">Liquefied aromatic hydrocarbons </w:t>
            </w:r>
          </w:p>
        </w:tc>
        <w:tc>
          <w:tcPr>
            <w:tcW w:w="2835" w:type="dxa"/>
          </w:tcPr>
          <w:p w14:paraId="5FD27173" w14:textId="77777777" w:rsidR="00010E2E" w:rsidRPr="005A5B60" w:rsidRDefault="00404C18">
            <w:pPr>
              <w:pStyle w:val="TableCentre"/>
              <w:rPr>
                <w:sz w:val="18"/>
                <w:szCs w:val="18"/>
              </w:rPr>
            </w:pPr>
            <w:r>
              <w:rPr>
                <w:sz w:val="18"/>
                <w:szCs w:val="18"/>
              </w:rPr>
              <w:t>3.6</w:t>
            </w:r>
          </w:p>
        </w:tc>
      </w:tr>
      <w:tr w:rsidR="00010E2E" w:rsidRPr="005A5B60" w14:paraId="17627F9F" w14:textId="77777777" w:rsidTr="00E719D0">
        <w:tc>
          <w:tcPr>
            <w:tcW w:w="5529" w:type="dxa"/>
          </w:tcPr>
          <w:p w14:paraId="56FFC03D" w14:textId="77777777" w:rsidR="00010E2E" w:rsidRPr="005A5B60" w:rsidRDefault="00010E2E">
            <w:pPr>
              <w:pStyle w:val="Table"/>
              <w:rPr>
                <w:snapToGrid w:val="0"/>
                <w:sz w:val="18"/>
                <w:szCs w:val="18"/>
              </w:rPr>
            </w:pPr>
            <w:r w:rsidRPr="005A5B60">
              <w:rPr>
                <w:snapToGrid w:val="0"/>
                <w:sz w:val="18"/>
                <w:szCs w:val="18"/>
              </w:rPr>
              <w:t>Solvents if mineral turpentine or white spirits</w:t>
            </w:r>
          </w:p>
        </w:tc>
        <w:tc>
          <w:tcPr>
            <w:tcW w:w="2835" w:type="dxa"/>
          </w:tcPr>
          <w:p w14:paraId="2C7ECBF0" w14:textId="77777777" w:rsidR="00010E2E" w:rsidRPr="005A5B60" w:rsidRDefault="00404C18">
            <w:pPr>
              <w:pStyle w:val="TableCentre"/>
              <w:rPr>
                <w:sz w:val="18"/>
                <w:szCs w:val="18"/>
              </w:rPr>
            </w:pPr>
            <w:r>
              <w:rPr>
                <w:sz w:val="18"/>
                <w:szCs w:val="18"/>
              </w:rPr>
              <w:t>3.6</w:t>
            </w:r>
          </w:p>
        </w:tc>
      </w:tr>
      <w:tr w:rsidR="00010E2E" w:rsidRPr="005A5B60" w14:paraId="031BE756" w14:textId="77777777" w:rsidTr="00E719D0">
        <w:tc>
          <w:tcPr>
            <w:tcW w:w="5529" w:type="dxa"/>
          </w:tcPr>
          <w:p w14:paraId="38C6AA8A" w14:textId="77777777" w:rsidR="00010E2E" w:rsidRPr="005A5B60" w:rsidRDefault="00010E2E" w:rsidP="00226707">
            <w:pPr>
              <w:pStyle w:val="Table"/>
              <w:rPr>
                <w:sz w:val="18"/>
                <w:szCs w:val="18"/>
              </w:rPr>
            </w:pPr>
            <w:r w:rsidRPr="005A5B60">
              <w:rPr>
                <w:sz w:val="18"/>
                <w:szCs w:val="18"/>
              </w:rPr>
              <w:t xml:space="preserve">Liquefied Petroleum Gas </w:t>
            </w:r>
          </w:p>
        </w:tc>
        <w:tc>
          <w:tcPr>
            <w:tcW w:w="2835" w:type="dxa"/>
          </w:tcPr>
          <w:p w14:paraId="38893751" w14:textId="77777777" w:rsidR="00010E2E" w:rsidRPr="005A5B60" w:rsidRDefault="00404C18">
            <w:pPr>
              <w:pStyle w:val="TableCentre"/>
              <w:rPr>
                <w:sz w:val="18"/>
                <w:szCs w:val="18"/>
              </w:rPr>
            </w:pPr>
            <w:r>
              <w:rPr>
                <w:sz w:val="18"/>
                <w:szCs w:val="18"/>
              </w:rPr>
              <w:t>3.6</w:t>
            </w:r>
          </w:p>
        </w:tc>
      </w:tr>
      <w:tr w:rsidR="00010E2E" w:rsidRPr="005A5B60" w14:paraId="265B7E1C" w14:textId="77777777" w:rsidTr="00E719D0">
        <w:tc>
          <w:tcPr>
            <w:tcW w:w="5529" w:type="dxa"/>
          </w:tcPr>
          <w:p w14:paraId="6086779A" w14:textId="77777777" w:rsidR="00010E2E" w:rsidRPr="005A5B60" w:rsidRDefault="00010E2E">
            <w:pPr>
              <w:pStyle w:val="Table"/>
              <w:rPr>
                <w:sz w:val="18"/>
                <w:szCs w:val="18"/>
              </w:rPr>
            </w:pPr>
            <w:r w:rsidRPr="005A5B60">
              <w:rPr>
                <w:sz w:val="18"/>
                <w:szCs w:val="18"/>
              </w:rPr>
              <w:t>Naphtha</w:t>
            </w:r>
          </w:p>
        </w:tc>
        <w:tc>
          <w:tcPr>
            <w:tcW w:w="2835" w:type="dxa"/>
          </w:tcPr>
          <w:p w14:paraId="21A732FB" w14:textId="77777777" w:rsidR="00010E2E" w:rsidRPr="005A5B60" w:rsidRDefault="00404C18">
            <w:pPr>
              <w:pStyle w:val="TableCentre"/>
              <w:rPr>
                <w:sz w:val="18"/>
                <w:szCs w:val="18"/>
              </w:rPr>
            </w:pPr>
            <w:r>
              <w:rPr>
                <w:sz w:val="18"/>
                <w:szCs w:val="18"/>
              </w:rPr>
              <w:t>3.6</w:t>
            </w:r>
          </w:p>
        </w:tc>
      </w:tr>
      <w:tr w:rsidR="00010E2E" w:rsidRPr="005A5B60" w14:paraId="2ACC123B" w14:textId="77777777" w:rsidTr="00E719D0">
        <w:tc>
          <w:tcPr>
            <w:tcW w:w="5529" w:type="dxa"/>
          </w:tcPr>
          <w:p w14:paraId="1F01B11F" w14:textId="77777777" w:rsidR="00010E2E" w:rsidRPr="005A5B60" w:rsidRDefault="00010E2E">
            <w:pPr>
              <w:pStyle w:val="Table"/>
              <w:rPr>
                <w:snapToGrid w:val="0"/>
                <w:sz w:val="18"/>
                <w:szCs w:val="18"/>
              </w:rPr>
            </w:pPr>
            <w:r w:rsidRPr="005A5B60">
              <w:rPr>
                <w:snapToGrid w:val="0"/>
                <w:sz w:val="18"/>
                <w:szCs w:val="18"/>
              </w:rPr>
              <w:t>Petroleum coke</w:t>
            </w:r>
          </w:p>
        </w:tc>
        <w:tc>
          <w:tcPr>
            <w:tcW w:w="2835" w:type="dxa"/>
          </w:tcPr>
          <w:p w14:paraId="1EF4A78A" w14:textId="77777777" w:rsidR="00010E2E" w:rsidRPr="005A5B60" w:rsidRDefault="00404C18">
            <w:pPr>
              <w:pStyle w:val="TableCentre"/>
              <w:rPr>
                <w:sz w:val="18"/>
                <w:szCs w:val="18"/>
              </w:rPr>
            </w:pPr>
            <w:r>
              <w:rPr>
                <w:sz w:val="18"/>
                <w:szCs w:val="18"/>
              </w:rPr>
              <w:t>3.6</w:t>
            </w:r>
          </w:p>
        </w:tc>
      </w:tr>
      <w:tr w:rsidR="00010E2E" w:rsidRPr="005A5B60" w14:paraId="41F2D9DB" w14:textId="77777777" w:rsidTr="00E719D0">
        <w:tc>
          <w:tcPr>
            <w:tcW w:w="5529" w:type="dxa"/>
          </w:tcPr>
          <w:p w14:paraId="71E424A4" w14:textId="77777777" w:rsidR="00010E2E" w:rsidRPr="005A5B60" w:rsidRDefault="00010E2E">
            <w:pPr>
              <w:pStyle w:val="Table"/>
              <w:rPr>
                <w:snapToGrid w:val="0"/>
                <w:sz w:val="18"/>
                <w:szCs w:val="18"/>
              </w:rPr>
            </w:pPr>
            <w:r w:rsidRPr="005A5B60">
              <w:rPr>
                <w:snapToGrid w:val="0"/>
                <w:sz w:val="18"/>
                <w:szCs w:val="18"/>
              </w:rPr>
              <w:t>Refinery gas and liquids</w:t>
            </w:r>
          </w:p>
        </w:tc>
        <w:tc>
          <w:tcPr>
            <w:tcW w:w="2835" w:type="dxa"/>
          </w:tcPr>
          <w:p w14:paraId="585EA528" w14:textId="77777777" w:rsidR="00010E2E" w:rsidRPr="005A5B60" w:rsidRDefault="00404C18">
            <w:pPr>
              <w:pStyle w:val="TableCentre"/>
              <w:rPr>
                <w:sz w:val="18"/>
                <w:szCs w:val="18"/>
              </w:rPr>
            </w:pPr>
            <w:r>
              <w:rPr>
                <w:sz w:val="18"/>
                <w:szCs w:val="18"/>
              </w:rPr>
              <w:t>3.6</w:t>
            </w:r>
          </w:p>
        </w:tc>
      </w:tr>
      <w:tr w:rsidR="00010E2E" w:rsidRPr="005A5B60" w14:paraId="101F4F11" w14:textId="77777777" w:rsidTr="00E719D0">
        <w:trPr>
          <w:trHeight w:val="74"/>
        </w:trPr>
        <w:tc>
          <w:tcPr>
            <w:tcW w:w="5529" w:type="dxa"/>
          </w:tcPr>
          <w:p w14:paraId="1C9C76BC" w14:textId="77777777" w:rsidR="00010E2E" w:rsidRPr="005A5B60" w:rsidRDefault="00010E2E">
            <w:pPr>
              <w:pStyle w:val="Table"/>
              <w:rPr>
                <w:snapToGrid w:val="0"/>
                <w:sz w:val="18"/>
                <w:szCs w:val="18"/>
              </w:rPr>
            </w:pPr>
            <w:r w:rsidRPr="005A5B60">
              <w:rPr>
                <w:snapToGrid w:val="0"/>
                <w:sz w:val="18"/>
                <w:szCs w:val="18"/>
              </w:rPr>
              <w:t>Refinery  coke</w:t>
            </w:r>
          </w:p>
        </w:tc>
        <w:tc>
          <w:tcPr>
            <w:tcW w:w="2835" w:type="dxa"/>
          </w:tcPr>
          <w:p w14:paraId="3983CB69" w14:textId="77777777" w:rsidR="00010E2E" w:rsidRPr="005A5B60" w:rsidRDefault="00404C18">
            <w:pPr>
              <w:pStyle w:val="TableCentre"/>
              <w:rPr>
                <w:sz w:val="18"/>
                <w:szCs w:val="18"/>
              </w:rPr>
            </w:pPr>
            <w:r>
              <w:rPr>
                <w:sz w:val="18"/>
                <w:szCs w:val="18"/>
              </w:rPr>
              <w:t>3.6</w:t>
            </w:r>
          </w:p>
        </w:tc>
      </w:tr>
      <w:tr w:rsidR="00010E2E" w:rsidRPr="005A5B60" w14:paraId="78560480" w14:textId="77777777" w:rsidTr="00E719D0">
        <w:tc>
          <w:tcPr>
            <w:tcW w:w="5529" w:type="dxa"/>
          </w:tcPr>
          <w:p w14:paraId="1C290370" w14:textId="77777777" w:rsidR="00010E2E" w:rsidRPr="005A5B60" w:rsidRDefault="00010E2E">
            <w:pPr>
              <w:pStyle w:val="Table"/>
              <w:rPr>
                <w:snapToGrid w:val="0"/>
                <w:sz w:val="18"/>
                <w:szCs w:val="18"/>
              </w:rPr>
            </w:pPr>
            <w:r w:rsidRPr="005A5B60">
              <w:rPr>
                <w:snapToGrid w:val="0"/>
                <w:sz w:val="18"/>
                <w:szCs w:val="18"/>
              </w:rPr>
              <w:t>Petroleum based products other than mentioned in items above</w:t>
            </w:r>
          </w:p>
        </w:tc>
        <w:tc>
          <w:tcPr>
            <w:tcW w:w="2835" w:type="dxa"/>
          </w:tcPr>
          <w:p w14:paraId="6C75A55E" w14:textId="77777777" w:rsidR="00010E2E" w:rsidRPr="005A5B60" w:rsidRDefault="00404C18">
            <w:pPr>
              <w:pStyle w:val="TableCentre"/>
              <w:rPr>
                <w:sz w:val="18"/>
                <w:szCs w:val="18"/>
              </w:rPr>
            </w:pPr>
            <w:r>
              <w:rPr>
                <w:sz w:val="18"/>
                <w:szCs w:val="18"/>
              </w:rPr>
              <w:t>3.6</w:t>
            </w:r>
          </w:p>
        </w:tc>
      </w:tr>
      <w:tr w:rsidR="00010E2E" w:rsidRPr="005A5B60" w14:paraId="1DBD126B" w14:textId="77777777" w:rsidTr="00E719D0">
        <w:tc>
          <w:tcPr>
            <w:tcW w:w="5529" w:type="dxa"/>
          </w:tcPr>
          <w:p w14:paraId="16F79E5C" w14:textId="77777777" w:rsidR="00010E2E" w:rsidRPr="005A5B60" w:rsidRDefault="00010E2E">
            <w:pPr>
              <w:pStyle w:val="Table"/>
              <w:rPr>
                <w:snapToGrid w:val="0"/>
                <w:sz w:val="18"/>
                <w:szCs w:val="18"/>
              </w:rPr>
            </w:pPr>
            <w:r w:rsidRPr="005A5B60">
              <w:rPr>
                <w:snapToGrid w:val="0"/>
                <w:sz w:val="18"/>
                <w:szCs w:val="18"/>
              </w:rPr>
              <w:t>Biofuels</w:t>
            </w:r>
          </w:p>
        </w:tc>
        <w:tc>
          <w:tcPr>
            <w:tcW w:w="2835" w:type="dxa"/>
          </w:tcPr>
          <w:p w14:paraId="3482ECA4" w14:textId="77777777" w:rsidR="00010E2E" w:rsidRPr="005A5B60" w:rsidRDefault="00010E2E">
            <w:pPr>
              <w:pStyle w:val="TableCentre"/>
              <w:rPr>
                <w:sz w:val="18"/>
                <w:szCs w:val="18"/>
              </w:rPr>
            </w:pPr>
            <w:r w:rsidRPr="005A5B60">
              <w:rPr>
                <w:sz w:val="18"/>
                <w:szCs w:val="18"/>
              </w:rPr>
              <w:t>NE</w:t>
            </w:r>
          </w:p>
        </w:tc>
      </w:tr>
    </w:tbl>
    <w:p w14:paraId="7978473E" w14:textId="77777777" w:rsidR="00010E2E" w:rsidRDefault="00010E2E">
      <w:pPr>
        <w:ind w:left="0"/>
        <w:rPr>
          <w:rFonts w:ascii="Arial" w:hAnsi="Arial" w:cs="Arial"/>
          <w:sz w:val="16"/>
        </w:rPr>
      </w:pPr>
      <w:r>
        <w:rPr>
          <w:rFonts w:ascii="Arial" w:hAnsi="Arial" w:cs="Arial"/>
          <w:sz w:val="16"/>
        </w:rPr>
        <w:t>Note: NE = Not estimated</w:t>
      </w:r>
    </w:p>
    <w:p w14:paraId="16521474" w14:textId="77777777" w:rsidR="00010E2E" w:rsidRDefault="00010E2E">
      <w:pPr>
        <w:pStyle w:val="TableNote"/>
        <w:tabs>
          <w:tab w:val="left" w:pos="0"/>
          <w:tab w:val="left" w:pos="2250"/>
        </w:tabs>
        <w:spacing w:before="60"/>
      </w:pPr>
      <w:r>
        <w:t xml:space="preserve">Note: Scope 3 factors for biofuels such as biodiesels and ethanol are highly dependent on individual plant and project characteristics, and therefore have not been estimated </w:t>
      </w:r>
    </w:p>
    <w:p w14:paraId="65E77497" w14:textId="77777777" w:rsidR="005804D7" w:rsidRDefault="005804D7">
      <w:pPr>
        <w:ind w:left="0"/>
        <w:rPr>
          <w:rFonts w:ascii="Arial" w:hAnsi="Arial" w:cs="Arial"/>
          <w:b/>
          <w:spacing w:val="-4"/>
          <w:kern w:val="28"/>
          <w:sz w:val="22"/>
        </w:rPr>
      </w:pPr>
    </w:p>
    <w:p w14:paraId="7B70A582" w14:textId="77777777" w:rsidR="003F782F" w:rsidRDefault="003F782F">
      <w:pPr>
        <w:ind w:left="0"/>
        <w:rPr>
          <w:rFonts w:ascii="Arial" w:hAnsi="Arial" w:cs="Arial"/>
          <w:b/>
          <w:spacing w:val="-4"/>
          <w:kern w:val="28"/>
          <w:sz w:val="22"/>
        </w:rPr>
      </w:pPr>
      <w:r>
        <w:rPr>
          <w:rFonts w:ascii="Arial" w:hAnsi="Arial" w:cs="Arial"/>
        </w:rPr>
        <w:br w:type="page"/>
      </w:r>
    </w:p>
    <w:p w14:paraId="2B8A7892" w14:textId="77777777" w:rsidR="00010E2E" w:rsidRDefault="00010E2E">
      <w:pPr>
        <w:pStyle w:val="Heading2"/>
        <w:numPr>
          <w:ilvl w:val="0"/>
          <w:numId w:val="0"/>
        </w:numPr>
        <w:tabs>
          <w:tab w:val="left" w:pos="0"/>
          <w:tab w:val="left" w:pos="2250"/>
        </w:tabs>
        <w:spacing w:before="120" w:after="0" w:line="312" w:lineRule="auto"/>
      </w:pPr>
      <w:r>
        <w:rPr>
          <w:rFonts w:ascii="Arial" w:hAnsi="Arial" w:cs="Arial"/>
        </w:rPr>
        <w:t>Electricity emission factors for end users</w:t>
      </w:r>
    </w:p>
    <w:p w14:paraId="7A4034C1" w14:textId="77777777" w:rsidR="00D76245" w:rsidRDefault="00491D41" w:rsidP="00C23E3B">
      <w:pPr>
        <w:pStyle w:val="Caption"/>
      </w:pPr>
      <w:bookmarkStart w:id="165" w:name="_Toc391646726"/>
      <w:bookmarkStart w:id="166" w:name="_Toc485728149"/>
      <w:r>
        <w:t xml:space="preserve">Table </w:t>
      </w:r>
      <w:r w:rsidR="00DC52E0">
        <w:fldChar w:fldCharType="begin"/>
      </w:r>
      <w:r>
        <w:instrText xml:space="preserve"> SEQ Table \* ARABIC </w:instrText>
      </w:r>
      <w:r w:rsidR="00DC52E0">
        <w:fldChar w:fldCharType="separate"/>
      </w:r>
      <w:r w:rsidR="004A1330">
        <w:rPr>
          <w:noProof/>
        </w:rPr>
        <w:t>41</w:t>
      </w:r>
      <w:r w:rsidR="00DC52E0">
        <w:fldChar w:fldCharType="end"/>
      </w:r>
      <w:r w:rsidR="00B80F09" w:rsidRPr="00B80F09">
        <w:t>: Scope 2 and 3 emissions factors - consumption of purchased electricity by end users</w:t>
      </w:r>
      <w:bookmarkEnd w:id="165"/>
      <w:bookmarkEnd w:id="166"/>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05"/>
        <w:gridCol w:w="1134"/>
        <w:gridCol w:w="1276"/>
        <w:gridCol w:w="1134"/>
        <w:gridCol w:w="1275"/>
        <w:gridCol w:w="1276"/>
      </w:tblGrid>
      <w:tr w:rsidR="00010E2E" w:rsidRPr="005A5B60" w14:paraId="0D1EDAEB" w14:textId="77777777" w:rsidTr="00656706">
        <w:trPr>
          <w:cantSplit/>
          <w:trHeight w:val="575"/>
          <w:tblHeader/>
        </w:trPr>
        <w:tc>
          <w:tcPr>
            <w:tcW w:w="1134" w:type="dxa"/>
            <w:vMerge w:val="restart"/>
            <w:shd w:val="pct15" w:color="auto" w:fill="auto"/>
          </w:tcPr>
          <w:p w14:paraId="0C34C767" w14:textId="77777777" w:rsidR="00010E2E" w:rsidRPr="005A5B60" w:rsidRDefault="00010E2E">
            <w:pPr>
              <w:pStyle w:val="Table"/>
              <w:rPr>
                <w:b/>
                <w:bCs/>
                <w:sz w:val="18"/>
                <w:szCs w:val="18"/>
              </w:rPr>
            </w:pPr>
            <w:r w:rsidRPr="005A5B60">
              <w:rPr>
                <w:b/>
                <w:bCs/>
                <w:sz w:val="18"/>
                <w:szCs w:val="18"/>
              </w:rPr>
              <w:t>Financial year</w:t>
            </w:r>
          </w:p>
        </w:tc>
        <w:tc>
          <w:tcPr>
            <w:tcW w:w="2439" w:type="dxa"/>
            <w:gridSpan w:val="2"/>
            <w:shd w:val="pct15" w:color="auto" w:fill="auto"/>
          </w:tcPr>
          <w:p w14:paraId="5FD2747C" w14:textId="77777777" w:rsidR="00010E2E" w:rsidRPr="005A5B60" w:rsidRDefault="00010E2E">
            <w:pPr>
              <w:pStyle w:val="TableCentre"/>
              <w:rPr>
                <w:b/>
                <w:bCs/>
                <w:sz w:val="18"/>
                <w:szCs w:val="18"/>
              </w:rPr>
            </w:pPr>
            <w:r w:rsidRPr="005A5B60">
              <w:rPr>
                <w:b/>
                <w:bCs/>
                <w:sz w:val="18"/>
                <w:szCs w:val="18"/>
              </w:rPr>
              <w:t xml:space="preserve">EF for scope 2 </w:t>
            </w:r>
            <w:r w:rsidRPr="005A5B60">
              <w:rPr>
                <w:b/>
                <w:bCs/>
                <w:sz w:val="18"/>
                <w:szCs w:val="18"/>
              </w:rPr>
              <w:br/>
            </w:r>
          </w:p>
        </w:tc>
        <w:tc>
          <w:tcPr>
            <w:tcW w:w="2410" w:type="dxa"/>
            <w:gridSpan w:val="2"/>
            <w:shd w:val="pct15" w:color="auto" w:fill="auto"/>
          </w:tcPr>
          <w:p w14:paraId="27CBB07C" w14:textId="77777777" w:rsidR="00010E2E" w:rsidRPr="005A5B60" w:rsidRDefault="00010E2E">
            <w:pPr>
              <w:pStyle w:val="TableCentre"/>
              <w:rPr>
                <w:b/>
                <w:bCs/>
                <w:sz w:val="18"/>
                <w:szCs w:val="18"/>
              </w:rPr>
            </w:pPr>
            <w:r w:rsidRPr="005A5B60">
              <w:rPr>
                <w:b/>
                <w:bCs/>
                <w:sz w:val="18"/>
                <w:szCs w:val="18"/>
              </w:rPr>
              <w:t>EF for scope 3</w:t>
            </w:r>
            <w:r w:rsidRPr="005A5B60">
              <w:rPr>
                <w:b/>
                <w:bCs/>
                <w:sz w:val="18"/>
                <w:szCs w:val="18"/>
              </w:rPr>
              <w:br/>
            </w:r>
          </w:p>
        </w:tc>
        <w:tc>
          <w:tcPr>
            <w:tcW w:w="2551" w:type="dxa"/>
            <w:gridSpan w:val="2"/>
            <w:shd w:val="pct15" w:color="auto" w:fill="auto"/>
          </w:tcPr>
          <w:p w14:paraId="4C3E4D0D" w14:textId="77777777" w:rsidR="00010E2E" w:rsidRPr="005A5B60" w:rsidRDefault="00010E2E">
            <w:pPr>
              <w:pStyle w:val="TableCentre"/>
              <w:rPr>
                <w:b/>
                <w:bCs/>
                <w:sz w:val="18"/>
                <w:szCs w:val="18"/>
              </w:rPr>
            </w:pPr>
            <w:r w:rsidRPr="005A5B60">
              <w:rPr>
                <w:b/>
                <w:bCs/>
                <w:sz w:val="18"/>
                <w:szCs w:val="18"/>
              </w:rPr>
              <w:t>Full fuel cycle EF</w:t>
            </w:r>
            <w:r w:rsidRPr="005A5B60">
              <w:rPr>
                <w:b/>
                <w:bCs/>
                <w:sz w:val="18"/>
                <w:szCs w:val="18"/>
              </w:rPr>
              <w:br/>
              <w:t>(EF for scope 2 + EF for scope 3)</w:t>
            </w:r>
          </w:p>
        </w:tc>
      </w:tr>
      <w:tr w:rsidR="00010E2E" w:rsidRPr="005A5B60" w14:paraId="745EDE2E" w14:textId="77777777" w:rsidTr="00656706">
        <w:trPr>
          <w:cantSplit/>
          <w:tblHeader/>
        </w:trPr>
        <w:tc>
          <w:tcPr>
            <w:tcW w:w="1134" w:type="dxa"/>
            <w:vMerge/>
            <w:shd w:val="pct15" w:color="auto" w:fill="auto"/>
          </w:tcPr>
          <w:p w14:paraId="73C13220" w14:textId="77777777" w:rsidR="00010E2E" w:rsidRPr="005A5B60" w:rsidRDefault="00010E2E">
            <w:pPr>
              <w:pStyle w:val="Table"/>
              <w:rPr>
                <w:b/>
                <w:bCs/>
                <w:sz w:val="18"/>
                <w:szCs w:val="18"/>
              </w:rPr>
            </w:pPr>
          </w:p>
        </w:tc>
        <w:tc>
          <w:tcPr>
            <w:tcW w:w="1305" w:type="dxa"/>
            <w:shd w:val="pct15" w:color="auto" w:fill="auto"/>
          </w:tcPr>
          <w:p w14:paraId="55ACDDC6" w14:textId="77777777" w:rsidR="00010E2E" w:rsidRPr="005A5B60" w:rsidRDefault="00010E2E">
            <w:pPr>
              <w:pStyle w:val="TableCentre"/>
              <w:rPr>
                <w:b/>
                <w:bCs/>
                <w:sz w:val="18"/>
                <w:szCs w:val="18"/>
              </w:rPr>
            </w:pPr>
            <w:r w:rsidRPr="005A5B60">
              <w:rPr>
                <w:b/>
                <w:bCs/>
                <w:sz w:val="18"/>
                <w:szCs w:val="18"/>
              </w:rPr>
              <w:t>A</w:t>
            </w:r>
          </w:p>
        </w:tc>
        <w:tc>
          <w:tcPr>
            <w:tcW w:w="1134" w:type="dxa"/>
            <w:shd w:val="pct15" w:color="auto" w:fill="auto"/>
          </w:tcPr>
          <w:p w14:paraId="63C4E159" w14:textId="77777777" w:rsidR="00010E2E" w:rsidRPr="005A5B60" w:rsidRDefault="00010E2E">
            <w:pPr>
              <w:pStyle w:val="TableCentre"/>
              <w:rPr>
                <w:b/>
                <w:bCs/>
                <w:sz w:val="18"/>
                <w:szCs w:val="18"/>
              </w:rPr>
            </w:pPr>
            <w:r w:rsidRPr="005A5B60">
              <w:rPr>
                <w:b/>
                <w:bCs/>
                <w:sz w:val="18"/>
                <w:szCs w:val="18"/>
              </w:rPr>
              <w:t>B</w:t>
            </w:r>
          </w:p>
        </w:tc>
        <w:tc>
          <w:tcPr>
            <w:tcW w:w="1276" w:type="dxa"/>
            <w:shd w:val="pct15" w:color="auto" w:fill="auto"/>
          </w:tcPr>
          <w:p w14:paraId="13060D2B" w14:textId="77777777" w:rsidR="00010E2E" w:rsidRPr="005A5B60" w:rsidRDefault="00010E2E">
            <w:pPr>
              <w:pStyle w:val="TableCentre"/>
              <w:rPr>
                <w:b/>
                <w:bCs/>
                <w:sz w:val="18"/>
                <w:szCs w:val="18"/>
              </w:rPr>
            </w:pPr>
            <w:r w:rsidRPr="005A5B60">
              <w:rPr>
                <w:b/>
                <w:bCs/>
                <w:sz w:val="18"/>
                <w:szCs w:val="18"/>
              </w:rPr>
              <w:t>C</w:t>
            </w:r>
          </w:p>
        </w:tc>
        <w:tc>
          <w:tcPr>
            <w:tcW w:w="1134" w:type="dxa"/>
            <w:shd w:val="pct15" w:color="auto" w:fill="auto"/>
          </w:tcPr>
          <w:p w14:paraId="6A33EB6F" w14:textId="77777777" w:rsidR="00010E2E" w:rsidRPr="005A5B60" w:rsidRDefault="00010E2E">
            <w:pPr>
              <w:pStyle w:val="TableCentre"/>
              <w:rPr>
                <w:b/>
                <w:bCs/>
                <w:sz w:val="18"/>
                <w:szCs w:val="18"/>
              </w:rPr>
            </w:pPr>
            <w:r w:rsidRPr="005A5B60">
              <w:rPr>
                <w:b/>
                <w:bCs/>
                <w:sz w:val="18"/>
                <w:szCs w:val="18"/>
              </w:rPr>
              <w:t>D</w:t>
            </w:r>
          </w:p>
        </w:tc>
        <w:tc>
          <w:tcPr>
            <w:tcW w:w="1275" w:type="dxa"/>
            <w:shd w:val="pct15" w:color="auto" w:fill="auto"/>
          </w:tcPr>
          <w:p w14:paraId="64DBDFBB" w14:textId="77777777" w:rsidR="00010E2E" w:rsidRPr="005A5B60" w:rsidRDefault="00010E2E">
            <w:pPr>
              <w:pStyle w:val="TableCentre"/>
              <w:rPr>
                <w:b/>
                <w:bCs/>
                <w:sz w:val="18"/>
                <w:szCs w:val="18"/>
              </w:rPr>
            </w:pPr>
            <w:r w:rsidRPr="005A5B60">
              <w:rPr>
                <w:b/>
                <w:bCs/>
                <w:sz w:val="18"/>
                <w:szCs w:val="18"/>
              </w:rPr>
              <w:t>E</w:t>
            </w:r>
          </w:p>
        </w:tc>
        <w:tc>
          <w:tcPr>
            <w:tcW w:w="1276" w:type="dxa"/>
            <w:shd w:val="pct15" w:color="auto" w:fill="auto"/>
          </w:tcPr>
          <w:p w14:paraId="6223040A" w14:textId="77777777" w:rsidR="00010E2E" w:rsidRPr="005A5B60" w:rsidRDefault="00010E2E">
            <w:pPr>
              <w:pStyle w:val="TableCentre"/>
              <w:rPr>
                <w:b/>
                <w:bCs/>
                <w:sz w:val="18"/>
                <w:szCs w:val="18"/>
              </w:rPr>
            </w:pPr>
            <w:r w:rsidRPr="005A5B60">
              <w:rPr>
                <w:b/>
                <w:bCs/>
                <w:sz w:val="18"/>
                <w:szCs w:val="18"/>
              </w:rPr>
              <w:t>F</w:t>
            </w:r>
          </w:p>
        </w:tc>
      </w:tr>
      <w:tr w:rsidR="00010E2E" w:rsidRPr="005A5B60" w14:paraId="34211D05" w14:textId="77777777" w:rsidTr="00656706">
        <w:trPr>
          <w:cantSplit/>
          <w:tblHeader/>
        </w:trPr>
        <w:tc>
          <w:tcPr>
            <w:tcW w:w="1134" w:type="dxa"/>
            <w:vMerge/>
            <w:shd w:val="pct15" w:color="auto" w:fill="auto"/>
          </w:tcPr>
          <w:p w14:paraId="767E6FC9" w14:textId="77777777" w:rsidR="00010E2E" w:rsidRPr="005A5B60" w:rsidRDefault="00010E2E">
            <w:pPr>
              <w:pStyle w:val="Table"/>
              <w:rPr>
                <w:b/>
                <w:bCs/>
                <w:sz w:val="18"/>
                <w:szCs w:val="18"/>
              </w:rPr>
            </w:pPr>
          </w:p>
        </w:tc>
        <w:tc>
          <w:tcPr>
            <w:tcW w:w="1305" w:type="dxa"/>
            <w:shd w:val="pct15" w:color="auto" w:fill="auto"/>
          </w:tcPr>
          <w:p w14:paraId="6B937391" w14:textId="77777777" w:rsidR="00010E2E" w:rsidRPr="005A5B60" w:rsidRDefault="00010E2E">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-e/kWh</w:t>
            </w:r>
          </w:p>
        </w:tc>
        <w:tc>
          <w:tcPr>
            <w:tcW w:w="1134" w:type="dxa"/>
            <w:shd w:val="pct15" w:color="auto" w:fill="auto"/>
          </w:tcPr>
          <w:p w14:paraId="12C58421" w14:textId="77777777" w:rsidR="00010E2E" w:rsidRPr="005A5B60" w:rsidRDefault="00010E2E">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-e/GJ</w:t>
            </w:r>
          </w:p>
        </w:tc>
        <w:tc>
          <w:tcPr>
            <w:tcW w:w="1276" w:type="dxa"/>
            <w:shd w:val="pct15" w:color="auto" w:fill="auto"/>
          </w:tcPr>
          <w:p w14:paraId="3E6AA29B" w14:textId="77777777" w:rsidR="00010E2E" w:rsidRPr="005A5B60" w:rsidRDefault="00010E2E">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-e/kWh</w:t>
            </w:r>
          </w:p>
        </w:tc>
        <w:tc>
          <w:tcPr>
            <w:tcW w:w="1134" w:type="dxa"/>
            <w:shd w:val="pct15" w:color="auto" w:fill="auto"/>
          </w:tcPr>
          <w:p w14:paraId="1BECEC21" w14:textId="77777777" w:rsidR="00010E2E" w:rsidRPr="005A5B60" w:rsidRDefault="00010E2E">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-e/GJ</w:t>
            </w:r>
          </w:p>
        </w:tc>
        <w:tc>
          <w:tcPr>
            <w:tcW w:w="1275" w:type="dxa"/>
            <w:shd w:val="pct15" w:color="auto" w:fill="auto"/>
          </w:tcPr>
          <w:p w14:paraId="6B2B5CF7" w14:textId="77777777" w:rsidR="00010E2E" w:rsidRPr="005A5B60" w:rsidRDefault="00010E2E">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-e/kWh</w:t>
            </w:r>
          </w:p>
        </w:tc>
        <w:tc>
          <w:tcPr>
            <w:tcW w:w="1276" w:type="dxa"/>
            <w:shd w:val="pct15" w:color="auto" w:fill="auto"/>
          </w:tcPr>
          <w:p w14:paraId="799A6BA9" w14:textId="77777777" w:rsidR="00010E2E" w:rsidRPr="005A5B60" w:rsidRDefault="00010E2E">
            <w:pPr>
              <w:pStyle w:val="TableCentre"/>
              <w:rPr>
                <w:b/>
                <w:bCs/>
                <w:sz w:val="18"/>
                <w:szCs w:val="18"/>
              </w:rPr>
            </w:pPr>
            <w:r w:rsidRPr="005A5B60">
              <w:rPr>
                <w:b/>
                <w:bCs/>
                <w:sz w:val="18"/>
                <w:szCs w:val="18"/>
              </w:rPr>
              <w:t>kg CO</w:t>
            </w:r>
            <w:r w:rsidRPr="005A5B60">
              <w:rPr>
                <w:rStyle w:val="Subscript"/>
                <w:b/>
                <w:bCs/>
                <w:sz w:val="18"/>
                <w:szCs w:val="18"/>
              </w:rPr>
              <w:t>2</w:t>
            </w:r>
            <w:r w:rsidRPr="005A5B60">
              <w:rPr>
                <w:b/>
                <w:bCs/>
                <w:sz w:val="18"/>
                <w:szCs w:val="18"/>
              </w:rPr>
              <w:t>-e/GJ</w:t>
            </w:r>
          </w:p>
        </w:tc>
      </w:tr>
      <w:tr w:rsidR="00010E2E" w:rsidRPr="005A5B60" w14:paraId="7432FB5C" w14:textId="77777777" w:rsidTr="00656706">
        <w:trPr>
          <w:cantSplit/>
        </w:trPr>
        <w:tc>
          <w:tcPr>
            <w:tcW w:w="8534" w:type="dxa"/>
            <w:gridSpan w:val="7"/>
            <w:shd w:val="pct15" w:color="auto" w:fill="auto"/>
          </w:tcPr>
          <w:p w14:paraId="75630E92" w14:textId="77777777" w:rsidR="00010E2E" w:rsidRPr="005A5B60" w:rsidRDefault="00010E2E">
            <w:pPr>
              <w:pStyle w:val="Table"/>
              <w:rPr>
                <w:b/>
                <w:bCs/>
                <w:sz w:val="18"/>
                <w:szCs w:val="18"/>
              </w:rPr>
            </w:pPr>
            <w:r w:rsidRPr="005A5B60">
              <w:rPr>
                <w:b/>
                <w:bCs/>
                <w:sz w:val="18"/>
                <w:szCs w:val="18"/>
              </w:rPr>
              <w:t>NEW SOUTH WALES and AUSTRALIAN CAPITAL TERRITORY</w:t>
            </w:r>
          </w:p>
        </w:tc>
      </w:tr>
      <w:tr w:rsidR="00611389" w:rsidRPr="005A5B60" w14:paraId="466C0B4C" w14:textId="77777777" w:rsidTr="00656706">
        <w:tc>
          <w:tcPr>
            <w:tcW w:w="1134" w:type="dxa"/>
          </w:tcPr>
          <w:p w14:paraId="62E1F03B" w14:textId="77777777" w:rsidR="00611389" w:rsidRDefault="00611389" w:rsidP="00611389">
            <w:pPr>
              <w:pStyle w:val="TableCentre"/>
            </w:pPr>
            <w:r w:rsidRPr="00B75991">
              <w:t>1989/90</w:t>
            </w:r>
          </w:p>
        </w:tc>
        <w:tc>
          <w:tcPr>
            <w:tcW w:w="1305" w:type="dxa"/>
          </w:tcPr>
          <w:p w14:paraId="10C9F25C" w14:textId="5B2F9006" w:rsidR="00611389" w:rsidRPr="008B63D8" w:rsidRDefault="00611389" w:rsidP="00611389">
            <w:pPr>
              <w:pStyle w:val="TableCentre"/>
            </w:pPr>
            <w:r w:rsidRPr="00D607E9">
              <w:t>0.90</w:t>
            </w:r>
          </w:p>
        </w:tc>
        <w:tc>
          <w:tcPr>
            <w:tcW w:w="1134" w:type="dxa"/>
          </w:tcPr>
          <w:p w14:paraId="2E636E9E" w14:textId="22399EB4" w:rsidR="00611389" w:rsidRPr="008B63D8" w:rsidRDefault="00611389" w:rsidP="00611389">
            <w:pPr>
              <w:pStyle w:val="TableCentre"/>
            </w:pPr>
            <w:r w:rsidRPr="00D607E9">
              <w:t>249</w:t>
            </w:r>
          </w:p>
        </w:tc>
        <w:tc>
          <w:tcPr>
            <w:tcW w:w="1276" w:type="dxa"/>
          </w:tcPr>
          <w:p w14:paraId="379769E8" w14:textId="2789BA3E" w:rsidR="00611389" w:rsidRPr="008B63D8" w:rsidRDefault="00611389" w:rsidP="00611389">
            <w:pPr>
              <w:pStyle w:val="TableCentre"/>
            </w:pPr>
            <w:r w:rsidRPr="00D607E9">
              <w:t>0.09</w:t>
            </w:r>
          </w:p>
        </w:tc>
        <w:tc>
          <w:tcPr>
            <w:tcW w:w="1134" w:type="dxa"/>
          </w:tcPr>
          <w:p w14:paraId="46C6C033" w14:textId="3A99C377" w:rsidR="00611389" w:rsidRPr="008B63D8" w:rsidRDefault="00611389" w:rsidP="00611389">
            <w:pPr>
              <w:pStyle w:val="TableCentre"/>
            </w:pPr>
            <w:r w:rsidRPr="00D607E9">
              <w:t>24</w:t>
            </w:r>
          </w:p>
        </w:tc>
        <w:tc>
          <w:tcPr>
            <w:tcW w:w="1275" w:type="dxa"/>
          </w:tcPr>
          <w:p w14:paraId="51C832FA" w14:textId="37EC9249" w:rsidR="00611389" w:rsidRPr="008B63D8" w:rsidRDefault="00611389" w:rsidP="00611389">
            <w:pPr>
              <w:pStyle w:val="TableCentre"/>
            </w:pPr>
            <w:r w:rsidRPr="00D607E9">
              <w:t>0.98</w:t>
            </w:r>
          </w:p>
        </w:tc>
        <w:tc>
          <w:tcPr>
            <w:tcW w:w="1276" w:type="dxa"/>
          </w:tcPr>
          <w:p w14:paraId="0858817B" w14:textId="75C8872F" w:rsidR="00611389" w:rsidRPr="008B63D8" w:rsidRDefault="00611389" w:rsidP="00611389">
            <w:pPr>
              <w:pStyle w:val="TableCentre"/>
            </w:pPr>
            <w:r w:rsidRPr="00D607E9">
              <w:t>273</w:t>
            </w:r>
          </w:p>
        </w:tc>
      </w:tr>
      <w:tr w:rsidR="00611389" w:rsidRPr="005A5B60" w14:paraId="6E4B409B" w14:textId="77777777" w:rsidTr="00656706">
        <w:tc>
          <w:tcPr>
            <w:tcW w:w="1134" w:type="dxa"/>
          </w:tcPr>
          <w:p w14:paraId="39FA449E" w14:textId="77777777" w:rsidR="00611389" w:rsidRDefault="00611389" w:rsidP="00611389">
            <w:pPr>
              <w:pStyle w:val="TableCentre"/>
            </w:pPr>
            <w:r w:rsidRPr="00B75991">
              <w:t>1994/95</w:t>
            </w:r>
          </w:p>
        </w:tc>
        <w:tc>
          <w:tcPr>
            <w:tcW w:w="1305" w:type="dxa"/>
          </w:tcPr>
          <w:p w14:paraId="51272B5A" w14:textId="2608229E" w:rsidR="00611389" w:rsidRPr="008B63D8" w:rsidRDefault="00611389" w:rsidP="00611389">
            <w:pPr>
              <w:pStyle w:val="TableCentre"/>
            </w:pPr>
            <w:r w:rsidRPr="009444C1">
              <w:t>0.85</w:t>
            </w:r>
          </w:p>
        </w:tc>
        <w:tc>
          <w:tcPr>
            <w:tcW w:w="1134" w:type="dxa"/>
          </w:tcPr>
          <w:p w14:paraId="66B7003F" w14:textId="1AB18313" w:rsidR="00611389" w:rsidRPr="008B63D8" w:rsidRDefault="00611389" w:rsidP="00611389">
            <w:pPr>
              <w:pStyle w:val="TableCentre"/>
            </w:pPr>
            <w:r w:rsidRPr="009444C1">
              <w:t>236</w:t>
            </w:r>
          </w:p>
        </w:tc>
        <w:tc>
          <w:tcPr>
            <w:tcW w:w="1276" w:type="dxa"/>
          </w:tcPr>
          <w:p w14:paraId="159167F3" w14:textId="7EF36E28" w:rsidR="00611389" w:rsidRPr="008B63D8" w:rsidRDefault="00611389" w:rsidP="00611389">
            <w:pPr>
              <w:pStyle w:val="TableCentre"/>
            </w:pPr>
            <w:r w:rsidRPr="009444C1">
              <w:t>0.08</w:t>
            </w:r>
          </w:p>
        </w:tc>
        <w:tc>
          <w:tcPr>
            <w:tcW w:w="1134" w:type="dxa"/>
          </w:tcPr>
          <w:p w14:paraId="064DA0CF" w14:textId="5BD5EFDD" w:rsidR="00611389" w:rsidRPr="008B63D8" w:rsidRDefault="00611389" w:rsidP="00611389">
            <w:pPr>
              <w:pStyle w:val="TableCentre"/>
            </w:pPr>
            <w:r w:rsidRPr="009444C1">
              <w:t>23</w:t>
            </w:r>
          </w:p>
        </w:tc>
        <w:tc>
          <w:tcPr>
            <w:tcW w:w="1275" w:type="dxa"/>
          </w:tcPr>
          <w:p w14:paraId="6B1EDC45" w14:textId="2AE95D55" w:rsidR="00611389" w:rsidRPr="008B63D8" w:rsidRDefault="00611389" w:rsidP="00611389">
            <w:pPr>
              <w:pStyle w:val="TableCentre"/>
            </w:pPr>
            <w:r w:rsidRPr="009444C1">
              <w:t>0.93</w:t>
            </w:r>
          </w:p>
        </w:tc>
        <w:tc>
          <w:tcPr>
            <w:tcW w:w="1276" w:type="dxa"/>
          </w:tcPr>
          <w:p w14:paraId="19F53051" w14:textId="1CBAB19B" w:rsidR="00611389" w:rsidRPr="008B63D8" w:rsidRDefault="00611389" w:rsidP="00611389">
            <w:pPr>
              <w:pStyle w:val="TableCentre"/>
            </w:pPr>
            <w:r w:rsidRPr="009444C1">
              <w:t>259</w:t>
            </w:r>
          </w:p>
        </w:tc>
      </w:tr>
      <w:tr w:rsidR="00611389" w:rsidRPr="005A5B60" w14:paraId="697EAD32" w14:textId="77777777" w:rsidTr="00656706">
        <w:tc>
          <w:tcPr>
            <w:tcW w:w="1134" w:type="dxa"/>
          </w:tcPr>
          <w:p w14:paraId="57FA6874" w14:textId="77777777" w:rsidR="00611389" w:rsidRDefault="00611389" w:rsidP="00611389">
            <w:pPr>
              <w:pStyle w:val="TableCentre"/>
            </w:pPr>
            <w:r w:rsidRPr="00B75991">
              <w:t>1999/2000</w:t>
            </w:r>
          </w:p>
        </w:tc>
        <w:tc>
          <w:tcPr>
            <w:tcW w:w="1305" w:type="dxa"/>
          </w:tcPr>
          <w:p w14:paraId="3C860494" w14:textId="413C48DF" w:rsidR="00611389" w:rsidRDefault="00611389" w:rsidP="00611389">
            <w:pPr>
              <w:pStyle w:val="TableCentre"/>
            </w:pPr>
            <w:r w:rsidRPr="003A4126">
              <w:t>0.86</w:t>
            </w:r>
          </w:p>
        </w:tc>
        <w:tc>
          <w:tcPr>
            <w:tcW w:w="1134" w:type="dxa"/>
          </w:tcPr>
          <w:p w14:paraId="7C6A84D1" w14:textId="40C46A61" w:rsidR="00611389" w:rsidRDefault="00611389" w:rsidP="00611389">
            <w:pPr>
              <w:pStyle w:val="TableCentre"/>
            </w:pPr>
            <w:r w:rsidRPr="003A4126">
              <w:t>239</w:t>
            </w:r>
          </w:p>
        </w:tc>
        <w:tc>
          <w:tcPr>
            <w:tcW w:w="1276" w:type="dxa"/>
          </w:tcPr>
          <w:p w14:paraId="1D764B13" w14:textId="4A31DD22" w:rsidR="00611389" w:rsidRDefault="00611389" w:rsidP="00611389">
            <w:pPr>
              <w:pStyle w:val="TableCentre"/>
            </w:pPr>
            <w:r w:rsidRPr="003A4126">
              <w:t>0.09</w:t>
            </w:r>
          </w:p>
        </w:tc>
        <w:tc>
          <w:tcPr>
            <w:tcW w:w="1134" w:type="dxa"/>
          </w:tcPr>
          <w:p w14:paraId="5E2AE933" w14:textId="75FD4FA5" w:rsidR="00611389" w:rsidRDefault="00611389" w:rsidP="00611389">
            <w:pPr>
              <w:pStyle w:val="TableCentre"/>
            </w:pPr>
            <w:r w:rsidRPr="003A4126">
              <w:t>24</w:t>
            </w:r>
          </w:p>
        </w:tc>
        <w:tc>
          <w:tcPr>
            <w:tcW w:w="1275" w:type="dxa"/>
          </w:tcPr>
          <w:p w14:paraId="2F412671" w14:textId="26011F93" w:rsidR="00611389" w:rsidRDefault="00611389" w:rsidP="00611389">
            <w:pPr>
              <w:pStyle w:val="TableCentre"/>
            </w:pPr>
            <w:r w:rsidRPr="003A4126">
              <w:t>0.95</w:t>
            </w:r>
          </w:p>
        </w:tc>
        <w:tc>
          <w:tcPr>
            <w:tcW w:w="1276" w:type="dxa"/>
          </w:tcPr>
          <w:p w14:paraId="716C7984" w14:textId="142512C9" w:rsidR="00611389" w:rsidRDefault="00611389" w:rsidP="00611389">
            <w:pPr>
              <w:pStyle w:val="TableCentre"/>
            </w:pPr>
            <w:r w:rsidRPr="003A4126">
              <w:t>263</w:t>
            </w:r>
          </w:p>
        </w:tc>
      </w:tr>
      <w:tr w:rsidR="00611389" w:rsidRPr="005A5B60" w14:paraId="2215A17E" w14:textId="77777777" w:rsidTr="00656706">
        <w:tc>
          <w:tcPr>
            <w:tcW w:w="1134" w:type="dxa"/>
          </w:tcPr>
          <w:p w14:paraId="3BC734E6" w14:textId="77777777" w:rsidR="00611389" w:rsidRDefault="00611389" w:rsidP="00611389">
            <w:pPr>
              <w:pStyle w:val="TableCentre"/>
            </w:pPr>
            <w:r w:rsidRPr="00B75991">
              <w:t>2004/05</w:t>
            </w:r>
          </w:p>
        </w:tc>
        <w:tc>
          <w:tcPr>
            <w:tcW w:w="1305" w:type="dxa"/>
          </w:tcPr>
          <w:p w14:paraId="64453E4F" w14:textId="6D4E6E53" w:rsidR="00611389" w:rsidRDefault="00611389" w:rsidP="00611389">
            <w:pPr>
              <w:pStyle w:val="TableCentre"/>
            </w:pPr>
            <w:r w:rsidRPr="002468E0">
              <w:t>0.89</w:t>
            </w:r>
          </w:p>
        </w:tc>
        <w:tc>
          <w:tcPr>
            <w:tcW w:w="1134" w:type="dxa"/>
          </w:tcPr>
          <w:p w14:paraId="4F7445F9" w14:textId="74EB6707" w:rsidR="00611389" w:rsidRDefault="00611389" w:rsidP="00611389">
            <w:pPr>
              <w:pStyle w:val="TableCentre"/>
            </w:pPr>
            <w:r w:rsidRPr="002468E0">
              <w:t>247</w:t>
            </w:r>
          </w:p>
        </w:tc>
        <w:tc>
          <w:tcPr>
            <w:tcW w:w="1276" w:type="dxa"/>
          </w:tcPr>
          <w:p w14:paraId="3AAD432A" w14:textId="05DC6192" w:rsidR="00611389" w:rsidRDefault="00611389" w:rsidP="00611389">
            <w:pPr>
              <w:pStyle w:val="TableCentre"/>
            </w:pPr>
            <w:r w:rsidRPr="002468E0">
              <w:t>0.11</w:t>
            </w:r>
          </w:p>
        </w:tc>
        <w:tc>
          <w:tcPr>
            <w:tcW w:w="1134" w:type="dxa"/>
          </w:tcPr>
          <w:p w14:paraId="23F676B4" w14:textId="7297D269" w:rsidR="00611389" w:rsidRDefault="00611389" w:rsidP="00611389">
            <w:pPr>
              <w:pStyle w:val="TableCentre"/>
            </w:pPr>
            <w:r w:rsidRPr="002468E0">
              <w:t>31</w:t>
            </w:r>
          </w:p>
        </w:tc>
        <w:tc>
          <w:tcPr>
            <w:tcW w:w="1275" w:type="dxa"/>
          </w:tcPr>
          <w:p w14:paraId="4134A611" w14:textId="45700513" w:rsidR="00611389" w:rsidRDefault="00611389" w:rsidP="00611389">
            <w:pPr>
              <w:pStyle w:val="TableCentre"/>
            </w:pPr>
            <w:r w:rsidRPr="002468E0">
              <w:t>1.00</w:t>
            </w:r>
          </w:p>
        </w:tc>
        <w:tc>
          <w:tcPr>
            <w:tcW w:w="1276" w:type="dxa"/>
          </w:tcPr>
          <w:p w14:paraId="1BD3A961" w14:textId="757F7859" w:rsidR="00611389" w:rsidRDefault="00611389" w:rsidP="00611389">
            <w:pPr>
              <w:pStyle w:val="TableCentre"/>
            </w:pPr>
            <w:r w:rsidRPr="002468E0">
              <w:t>278</w:t>
            </w:r>
          </w:p>
        </w:tc>
      </w:tr>
      <w:tr w:rsidR="00611389" w:rsidRPr="005A5B60" w14:paraId="2F3C1E4C" w14:textId="77777777" w:rsidTr="00656706">
        <w:tc>
          <w:tcPr>
            <w:tcW w:w="1134" w:type="dxa"/>
          </w:tcPr>
          <w:p w14:paraId="32E11B8B" w14:textId="77777777" w:rsidR="00611389" w:rsidRDefault="00611389" w:rsidP="00611389">
            <w:pPr>
              <w:pStyle w:val="TableCentre"/>
            </w:pPr>
            <w:r w:rsidRPr="00B75991">
              <w:t xml:space="preserve">2005/06 </w:t>
            </w:r>
          </w:p>
        </w:tc>
        <w:tc>
          <w:tcPr>
            <w:tcW w:w="1305" w:type="dxa"/>
          </w:tcPr>
          <w:p w14:paraId="00EA62E4" w14:textId="3638F55B" w:rsidR="00611389" w:rsidRDefault="00611389" w:rsidP="00611389">
            <w:pPr>
              <w:pStyle w:val="TableCentre"/>
            </w:pPr>
            <w:r w:rsidRPr="002468E0">
              <w:t>0.89</w:t>
            </w:r>
          </w:p>
        </w:tc>
        <w:tc>
          <w:tcPr>
            <w:tcW w:w="1134" w:type="dxa"/>
          </w:tcPr>
          <w:p w14:paraId="3AE06B91" w14:textId="422963D3" w:rsidR="00611389" w:rsidRDefault="00611389" w:rsidP="00611389">
            <w:pPr>
              <w:pStyle w:val="TableCentre"/>
            </w:pPr>
            <w:r w:rsidRPr="002468E0">
              <w:t>248</w:t>
            </w:r>
          </w:p>
        </w:tc>
        <w:tc>
          <w:tcPr>
            <w:tcW w:w="1276" w:type="dxa"/>
          </w:tcPr>
          <w:p w14:paraId="4E8B6FFE" w14:textId="48E75F3B" w:rsidR="00611389" w:rsidRDefault="00611389" w:rsidP="00611389">
            <w:pPr>
              <w:pStyle w:val="TableCentre"/>
            </w:pPr>
            <w:r w:rsidRPr="002468E0">
              <w:t>0.12</w:t>
            </w:r>
          </w:p>
        </w:tc>
        <w:tc>
          <w:tcPr>
            <w:tcW w:w="1134" w:type="dxa"/>
          </w:tcPr>
          <w:p w14:paraId="5654522B" w14:textId="6F3D4282" w:rsidR="00611389" w:rsidRDefault="00611389" w:rsidP="00611389">
            <w:pPr>
              <w:pStyle w:val="TableCentre"/>
            </w:pPr>
            <w:r w:rsidRPr="002468E0">
              <w:t>34</w:t>
            </w:r>
          </w:p>
        </w:tc>
        <w:tc>
          <w:tcPr>
            <w:tcW w:w="1275" w:type="dxa"/>
          </w:tcPr>
          <w:p w14:paraId="7BE10EDD" w14:textId="1C2D5A88" w:rsidR="00611389" w:rsidRDefault="00611389" w:rsidP="00611389">
            <w:pPr>
              <w:pStyle w:val="TableCentre"/>
            </w:pPr>
            <w:r w:rsidRPr="002468E0">
              <w:t>1.01</w:t>
            </w:r>
          </w:p>
        </w:tc>
        <w:tc>
          <w:tcPr>
            <w:tcW w:w="1276" w:type="dxa"/>
          </w:tcPr>
          <w:p w14:paraId="04042CEC" w14:textId="12F6DD10" w:rsidR="00611389" w:rsidRDefault="00611389" w:rsidP="00611389">
            <w:pPr>
              <w:pStyle w:val="TableCentre"/>
            </w:pPr>
            <w:r w:rsidRPr="002468E0">
              <w:t>282</w:t>
            </w:r>
          </w:p>
        </w:tc>
      </w:tr>
      <w:tr w:rsidR="00611389" w:rsidRPr="005A5B60" w14:paraId="22774D4B" w14:textId="77777777" w:rsidTr="00656706">
        <w:tc>
          <w:tcPr>
            <w:tcW w:w="1134" w:type="dxa"/>
          </w:tcPr>
          <w:p w14:paraId="306304CE" w14:textId="77777777" w:rsidR="00611389" w:rsidRDefault="00611389" w:rsidP="00611389">
            <w:pPr>
              <w:pStyle w:val="TableCentre"/>
            </w:pPr>
            <w:r w:rsidRPr="00B75991">
              <w:t>2006/07</w:t>
            </w:r>
          </w:p>
        </w:tc>
        <w:tc>
          <w:tcPr>
            <w:tcW w:w="1305" w:type="dxa"/>
          </w:tcPr>
          <w:p w14:paraId="61BC1957" w14:textId="238B777F" w:rsidR="00611389" w:rsidRDefault="00611389" w:rsidP="00611389">
            <w:pPr>
              <w:pStyle w:val="TableCentre"/>
            </w:pPr>
            <w:r w:rsidRPr="002468E0">
              <w:t>0.89</w:t>
            </w:r>
          </w:p>
        </w:tc>
        <w:tc>
          <w:tcPr>
            <w:tcW w:w="1134" w:type="dxa"/>
          </w:tcPr>
          <w:p w14:paraId="08251BE4" w14:textId="3873FDF5" w:rsidR="00611389" w:rsidRDefault="00611389" w:rsidP="00611389">
            <w:pPr>
              <w:pStyle w:val="TableCentre"/>
            </w:pPr>
            <w:r w:rsidRPr="002468E0">
              <w:t>248</w:t>
            </w:r>
          </w:p>
        </w:tc>
        <w:tc>
          <w:tcPr>
            <w:tcW w:w="1276" w:type="dxa"/>
          </w:tcPr>
          <w:p w14:paraId="12ABA1EB" w14:textId="54E26A08" w:rsidR="00611389" w:rsidRDefault="00611389" w:rsidP="00611389">
            <w:pPr>
              <w:pStyle w:val="TableCentre"/>
            </w:pPr>
            <w:r w:rsidRPr="002468E0">
              <w:t>0.11</w:t>
            </w:r>
          </w:p>
        </w:tc>
        <w:tc>
          <w:tcPr>
            <w:tcW w:w="1134" w:type="dxa"/>
          </w:tcPr>
          <w:p w14:paraId="5D6F6EAA" w14:textId="0D0AA06F" w:rsidR="00611389" w:rsidRDefault="00611389" w:rsidP="00611389">
            <w:pPr>
              <w:pStyle w:val="TableCentre"/>
            </w:pPr>
            <w:r w:rsidRPr="002468E0">
              <w:t>32</w:t>
            </w:r>
          </w:p>
        </w:tc>
        <w:tc>
          <w:tcPr>
            <w:tcW w:w="1275" w:type="dxa"/>
          </w:tcPr>
          <w:p w14:paraId="16F555BD" w14:textId="6BB96889" w:rsidR="00611389" w:rsidRDefault="00611389" w:rsidP="00611389">
            <w:pPr>
              <w:pStyle w:val="TableCentre"/>
            </w:pPr>
            <w:r w:rsidRPr="002468E0">
              <w:t>1.01</w:t>
            </w:r>
          </w:p>
        </w:tc>
        <w:tc>
          <w:tcPr>
            <w:tcW w:w="1276" w:type="dxa"/>
          </w:tcPr>
          <w:p w14:paraId="5CE6EF4D" w14:textId="42EC4209" w:rsidR="00611389" w:rsidRDefault="00611389" w:rsidP="00611389">
            <w:pPr>
              <w:pStyle w:val="TableCentre"/>
            </w:pPr>
            <w:r w:rsidRPr="002468E0">
              <w:t>279</w:t>
            </w:r>
          </w:p>
        </w:tc>
      </w:tr>
      <w:tr w:rsidR="00611389" w:rsidRPr="005A5B60" w14:paraId="7FBD58C9" w14:textId="77777777" w:rsidTr="00656706">
        <w:tc>
          <w:tcPr>
            <w:tcW w:w="1134" w:type="dxa"/>
          </w:tcPr>
          <w:p w14:paraId="55DCF470" w14:textId="77777777" w:rsidR="00611389" w:rsidRDefault="00611389" w:rsidP="00611389">
            <w:pPr>
              <w:pStyle w:val="TableCentre"/>
            </w:pPr>
            <w:r w:rsidRPr="00B75991">
              <w:t>2007/08</w:t>
            </w:r>
          </w:p>
        </w:tc>
        <w:tc>
          <w:tcPr>
            <w:tcW w:w="1305" w:type="dxa"/>
          </w:tcPr>
          <w:p w14:paraId="189A3D63" w14:textId="7CAE2D41" w:rsidR="00611389" w:rsidRDefault="00611389" w:rsidP="00611389">
            <w:pPr>
              <w:pStyle w:val="TableCentre"/>
            </w:pPr>
            <w:r w:rsidRPr="002468E0">
              <w:t>0.89</w:t>
            </w:r>
          </w:p>
        </w:tc>
        <w:tc>
          <w:tcPr>
            <w:tcW w:w="1134" w:type="dxa"/>
          </w:tcPr>
          <w:p w14:paraId="7031CA7D" w14:textId="410B1C96" w:rsidR="00611389" w:rsidRDefault="00611389" w:rsidP="00611389">
            <w:pPr>
              <w:pStyle w:val="TableCentre"/>
            </w:pPr>
            <w:r w:rsidRPr="002468E0">
              <w:t>248</w:t>
            </w:r>
          </w:p>
        </w:tc>
        <w:tc>
          <w:tcPr>
            <w:tcW w:w="1276" w:type="dxa"/>
          </w:tcPr>
          <w:p w14:paraId="41322136" w14:textId="625477A3" w:rsidR="00611389" w:rsidRDefault="00611389" w:rsidP="00611389">
            <w:pPr>
              <w:pStyle w:val="TableCentre"/>
            </w:pPr>
            <w:r w:rsidRPr="002468E0">
              <w:t>0.11</w:t>
            </w:r>
          </w:p>
        </w:tc>
        <w:tc>
          <w:tcPr>
            <w:tcW w:w="1134" w:type="dxa"/>
          </w:tcPr>
          <w:p w14:paraId="3B30DB93" w14:textId="5D7E9D8D" w:rsidR="00611389" w:rsidRDefault="00611389" w:rsidP="00611389">
            <w:pPr>
              <w:pStyle w:val="TableCentre"/>
            </w:pPr>
            <w:r w:rsidRPr="002468E0">
              <w:t>30</w:t>
            </w:r>
          </w:p>
        </w:tc>
        <w:tc>
          <w:tcPr>
            <w:tcW w:w="1275" w:type="dxa"/>
          </w:tcPr>
          <w:p w14:paraId="5C6470C4" w14:textId="5D6F154B" w:rsidR="00611389" w:rsidRDefault="00611389" w:rsidP="00611389">
            <w:pPr>
              <w:pStyle w:val="TableCentre"/>
            </w:pPr>
            <w:r w:rsidRPr="002468E0">
              <w:t>1.00</w:t>
            </w:r>
          </w:p>
        </w:tc>
        <w:tc>
          <w:tcPr>
            <w:tcW w:w="1276" w:type="dxa"/>
          </w:tcPr>
          <w:p w14:paraId="1446EB4B" w14:textId="0990CDBE" w:rsidR="00611389" w:rsidRDefault="00611389" w:rsidP="00611389">
            <w:pPr>
              <w:pStyle w:val="TableCentre"/>
            </w:pPr>
            <w:r w:rsidRPr="002468E0">
              <w:t>278</w:t>
            </w:r>
          </w:p>
        </w:tc>
      </w:tr>
      <w:tr w:rsidR="00611389" w:rsidRPr="005A5B60" w14:paraId="1CAC5D78" w14:textId="77777777" w:rsidTr="00656706">
        <w:tc>
          <w:tcPr>
            <w:tcW w:w="1134" w:type="dxa"/>
          </w:tcPr>
          <w:p w14:paraId="1E040E3C" w14:textId="77777777" w:rsidR="00611389" w:rsidRDefault="00611389" w:rsidP="00611389">
            <w:pPr>
              <w:pStyle w:val="TableCentre"/>
            </w:pPr>
            <w:r w:rsidRPr="00B75991">
              <w:t>2008/09</w:t>
            </w:r>
          </w:p>
        </w:tc>
        <w:tc>
          <w:tcPr>
            <w:tcW w:w="1305" w:type="dxa"/>
          </w:tcPr>
          <w:p w14:paraId="1CA2C6FA" w14:textId="1331B04B" w:rsidR="00611389" w:rsidRDefault="00611389" w:rsidP="00611389">
            <w:pPr>
              <w:pStyle w:val="TableCentre"/>
            </w:pPr>
            <w:r w:rsidRPr="002468E0">
              <w:t>0.89</w:t>
            </w:r>
          </w:p>
        </w:tc>
        <w:tc>
          <w:tcPr>
            <w:tcW w:w="1134" w:type="dxa"/>
          </w:tcPr>
          <w:p w14:paraId="2BB81A9F" w14:textId="7444DE8C" w:rsidR="00611389" w:rsidRDefault="00611389" w:rsidP="00611389">
            <w:pPr>
              <w:pStyle w:val="TableCentre"/>
            </w:pPr>
            <w:r w:rsidRPr="002468E0">
              <w:t>248</w:t>
            </w:r>
          </w:p>
        </w:tc>
        <w:tc>
          <w:tcPr>
            <w:tcW w:w="1276" w:type="dxa"/>
          </w:tcPr>
          <w:p w14:paraId="50E20945" w14:textId="111A8EA2" w:rsidR="00611389" w:rsidRDefault="00611389" w:rsidP="00611389">
            <w:pPr>
              <w:pStyle w:val="TableCentre"/>
            </w:pPr>
            <w:r w:rsidRPr="002468E0">
              <w:t>0.11</w:t>
            </w:r>
          </w:p>
        </w:tc>
        <w:tc>
          <w:tcPr>
            <w:tcW w:w="1134" w:type="dxa"/>
          </w:tcPr>
          <w:p w14:paraId="0A8A8F29" w14:textId="42DE9460" w:rsidR="00611389" w:rsidRDefault="00611389" w:rsidP="00611389">
            <w:pPr>
              <w:pStyle w:val="TableCentre"/>
            </w:pPr>
            <w:r w:rsidRPr="002468E0">
              <w:t>29</w:t>
            </w:r>
          </w:p>
        </w:tc>
        <w:tc>
          <w:tcPr>
            <w:tcW w:w="1275" w:type="dxa"/>
          </w:tcPr>
          <w:p w14:paraId="00A2CB60" w14:textId="6FEEF134" w:rsidR="00611389" w:rsidRDefault="00611389" w:rsidP="00611389">
            <w:pPr>
              <w:pStyle w:val="TableCentre"/>
            </w:pPr>
            <w:r w:rsidRPr="002468E0">
              <w:t>1.00</w:t>
            </w:r>
          </w:p>
        </w:tc>
        <w:tc>
          <w:tcPr>
            <w:tcW w:w="1276" w:type="dxa"/>
          </w:tcPr>
          <w:p w14:paraId="0060CD30" w14:textId="3CA838EC" w:rsidR="00611389" w:rsidRDefault="00611389" w:rsidP="00611389">
            <w:pPr>
              <w:pStyle w:val="TableCentre"/>
            </w:pPr>
            <w:r w:rsidRPr="002468E0">
              <w:t>277</w:t>
            </w:r>
          </w:p>
        </w:tc>
      </w:tr>
      <w:tr w:rsidR="00611389" w:rsidRPr="005A5B60" w14:paraId="68C4F1EA" w14:textId="77777777" w:rsidTr="00656706">
        <w:tc>
          <w:tcPr>
            <w:tcW w:w="1134" w:type="dxa"/>
          </w:tcPr>
          <w:p w14:paraId="1B8A77F5" w14:textId="77777777" w:rsidR="00611389" w:rsidRDefault="00611389" w:rsidP="00611389">
            <w:pPr>
              <w:pStyle w:val="TableCentre"/>
            </w:pPr>
            <w:r w:rsidRPr="00B75991">
              <w:t>2009/10</w:t>
            </w:r>
          </w:p>
        </w:tc>
        <w:tc>
          <w:tcPr>
            <w:tcW w:w="1305" w:type="dxa"/>
          </w:tcPr>
          <w:p w14:paraId="2A28B84A" w14:textId="1C9C9844" w:rsidR="00611389" w:rsidRDefault="00611389" w:rsidP="00611389">
            <w:pPr>
              <w:pStyle w:val="TableCentre"/>
            </w:pPr>
            <w:r w:rsidRPr="002468E0">
              <w:t>0.89</w:t>
            </w:r>
          </w:p>
        </w:tc>
        <w:tc>
          <w:tcPr>
            <w:tcW w:w="1134" w:type="dxa"/>
          </w:tcPr>
          <w:p w14:paraId="7732B0E4" w14:textId="3E8A3D13" w:rsidR="00611389" w:rsidRDefault="00611389" w:rsidP="00611389">
            <w:pPr>
              <w:pStyle w:val="TableCentre"/>
            </w:pPr>
            <w:r w:rsidRPr="002468E0">
              <w:t>247</w:t>
            </w:r>
          </w:p>
        </w:tc>
        <w:tc>
          <w:tcPr>
            <w:tcW w:w="1276" w:type="dxa"/>
          </w:tcPr>
          <w:p w14:paraId="6EB91C01" w14:textId="5855C99C" w:rsidR="00611389" w:rsidRDefault="00611389" w:rsidP="00611389">
            <w:pPr>
              <w:pStyle w:val="TableCentre"/>
            </w:pPr>
            <w:r w:rsidRPr="002468E0">
              <w:t>0.11</w:t>
            </w:r>
          </w:p>
        </w:tc>
        <w:tc>
          <w:tcPr>
            <w:tcW w:w="1134" w:type="dxa"/>
          </w:tcPr>
          <w:p w14:paraId="4E7431E5" w14:textId="6E2438FD" w:rsidR="00611389" w:rsidRDefault="00611389" w:rsidP="00611389">
            <w:pPr>
              <w:pStyle w:val="TableCentre"/>
            </w:pPr>
            <w:r w:rsidRPr="002468E0">
              <w:t>31</w:t>
            </w:r>
          </w:p>
        </w:tc>
        <w:tc>
          <w:tcPr>
            <w:tcW w:w="1275" w:type="dxa"/>
          </w:tcPr>
          <w:p w14:paraId="5AAB0ECF" w14:textId="7EAB4182" w:rsidR="00611389" w:rsidRDefault="00611389" w:rsidP="00611389">
            <w:pPr>
              <w:pStyle w:val="TableCentre"/>
            </w:pPr>
            <w:r w:rsidRPr="002468E0">
              <w:t>1.00</w:t>
            </w:r>
          </w:p>
        </w:tc>
        <w:tc>
          <w:tcPr>
            <w:tcW w:w="1276" w:type="dxa"/>
          </w:tcPr>
          <w:p w14:paraId="6F63F543" w14:textId="0AFD2552" w:rsidR="00611389" w:rsidRDefault="00611389" w:rsidP="00611389">
            <w:pPr>
              <w:pStyle w:val="TableCentre"/>
            </w:pPr>
            <w:r w:rsidRPr="002468E0">
              <w:t>278</w:t>
            </w:r>
          </w:p>
        </w:tc>
      </w:tr>
      <w:tr w:rsidR="00611389" w:rsidRPr="005A5B60" w14:paraId="2AFC13EA" w14:textId="77777777" w:rsidTr="00656706">
        <w:tc>
          <w:tcPr>
            <w:tcW w:w="1134" w:type="dxa"/>
          </w:tcPr>
          <w:p w14:paraId="66819178" w14:textId="77777777" w:rsidR="00611389" w:rsidRDefault="00611389" w:rsidP="00611389">
            <w:pPr>
              <w:pStyle w:val="TableCentre"/>
            </w:pPr>
            <w:r w:rsidRPr="00B75991">
              <w:t>2010/11</w:t>
            </w:r>
          </w:p>
        </w:tc>
        <w:tc>
          <w:tcPr>
            <w:tcW w:w="1305" w:type="dxa"/>
          </w:tcPr>
          <w:p w14:paraId="13B6A547" w14:textId="2C8D6F77" w:rsidR="00611389" w:rsidRDefault="00611389" w:rsidP="00611389">
            <w:pPr>
              <w:pStyle w:val="TableCentre"/>
            </w:pPr>
            <w:r w:rsidRPr="002468E0">
              <w:t>0.88</w:t>
            </w:r>
          </w:p>
        </w:tc>
        <w:tc>
          <w:tcPr>
            <w:tcW w:w="1134" w:type="dxa"/>
          </w:tcPr>
          <w:p w14:paraId="60EF51DC" w14:textId="48F9F64E" w:rsidR="00611389" w:rsidRDefault="00611389" w:rsidP="00611389">
            <w:pPr>
              <w:pStyle w:val="TableCentre"/>
            </w:pPr>
            <w:r w:rsidRPr="002468E0">
              <w:t>244</w:t>
            </w:r>
          </w:p>
        </w:tc>
        <w:tc>
          <w:tcPr>
            <w:tcW w:w="1276" w:type="dxa"/>
          </w:tcPr>
          <w:p w14:paraId="5824402F" w14:textId="386AF284" w:rsidR="00611389" w:rsidRDefault="00611389" w:rsidP="00611389">
            <w:pPr>
              <w:pStyle w:val="TableCentre"/>
            </w:pPr>
            <w:r w:rsidRPr="002468E0">
              <w:t>0.12</w:t>
            </w:r>
          </w:p>
        </w:tc>
        <w:tc>
          <w:tcPr>
            <w:tcW w:w="1134" w:type="dxa"/>
          </w:tcPr>
          <w:p w14:paraId="01BF2E0F" w14:textId="79E6862B" w:rsidR="00611389" w:rsidRDefault="00611389" w:rsidP="00611389">
            <w:pPr>
              <w:pStyle w:val="TableCentre"/>
            </w:pPr>
            <w:r w:rsidRPr="002468E0">
              <w:t>33</w:t>
            </w:r>
          </w:p>
        </w:tc>
        <w:tc>
          <w:tcPr>
            <w:tcW w:w="1275" w:type="dxa"/>
          </w:tcPr>
          <w:p w14:paraId="1E56A6E7" w14:textId="1BB6261F" w:rsidR="00611389" w:rsidRDefault="00611389" w:rsidP="00611389">
            <w:pPr>
              <w:pStyle w:val="TableCentre"/>
            </w:pPr>
            <w:r w:rsidRPr="002468E0">
              <w:t>1.00</w:t>
            </w:r>
          </w:p>
        </w:tc>
        <w:tc>
          <w:tcPr>
            <w:tcW w:w="1276" w:type="dxa"/>
          </w:tcPr>
          <w:p w14:paraId="7D4DC143" w14:textId="35E12889" w:rsidR="00611389" w:rsidRDefault="00611389" w:rsidP="00611389">
            <w:pPr>
              <w:pStyle w:val="TableCentre"/>
            </w:pPr>
            <w:r w:rsidRPr="002468E0">
              <w:t>277</w:t>
            </w:r>
          </w:p>
        </w:tc>
      </w:tr>
      <w:tr w:rsidR="00611389" w:rsidRPr="005A5B60" w14:paraId="284C68BC" w14:textId="77777777" w:rsidTr="00656706">
        <w:tc>
          <w:tcPr>
            <w:tcW w:w="1134" w:type="dxa"/>
          </w:tcPr>
          <w:p w14:paraId="2394B321" w14:textId="77777777" w:rsidR="00611389" w:rsidRDefault="00611389" w:rsidP="00611389">
            <w:pPr>
              <w:pStyle w:val="TableCentre"/>
            </w:pPr>
            <w:r w:rsidRPr="00B75991">
              <w:t>2011/12</w:t>
            </w:r>
          </w:p>
        </w:tc>
        <w:tc>
          <w:tcPr>
            <w:tcW w:w="1305" w:type="dxa"/>
          </w:tcPr>
          <w:p w14:paraId="1AA8B888" w14:textId="19DCEF3B" w:rsidR="00611389" w:rsidRDefault="00611389" w:rsidP="00611389">
            <w:pPr>
              <w:pStyle w:val="TableCentre"/>
            </w:pPr>
            <w:r w:rsidRPr="002468E0">
              <w:t>0.87</w:t>
            </w:r>
          </w:p>
        </w:tc>
        <w:tc>
          <w:tcPr>
            <w:tcW w:w="1134" w:type="dxa"/>
          </w:tcPr>
          <w:p w14:paraId="55BBEE14" w14:textId="4BD26DA5" w:rsidR="00611389" w:rsidRDefault="00611389" w:rsidP="00611389">
            <w:pPr>
              <w:pStyle w:val="TableCentre"/>
            </w:pPr>
            <w:r w:rsidRPr="002468E0">
              <w:t>241</w:t>
            </w:r>
          </w:p>
        </w:tc>
        <w:tc>
          <w:tcPr>
            <w:tcW w:w="1276" w:type="dxa"/>
          </w:tcPr>
          <w:p w14:paraId="25A969B5" w14:textId="62C52A28" w:rsidR="00611389" w:rsidRDefault="00611389" w:rsidP="00611389">
            <w:pPr>
              <w:pStyle w:val="TableCentre"/>
            </w:pPr>
            <w:r w:rsidRPr="002468E0">
              <w:t>0.12</w:t>
            </w:r>
          </w:p>
        </w:tc>
        <w:tc>
          <w:tcPr>
            <w:tcW w:w="1134" w:type="dxa"/>
          </w:tcPr>
          <w:p w14:paraId="6F490291" w14:textId="40EF2ADB" w:rsidR="00611389" w:rsidRDefault="00611389" w:rsidP="00611389">
            <w:pPr>
              <w:pStyle w:val="TableCentre"/>
            </w:pPr>
            <w:r w:rsidRPr="002468E0">
              <w:t>34</w:t>
            </w:r>
          </w:p>
        </w:tc>
        <w:tc>
          <w:tcPr>
            <w:tcW w:w="1275" w:type="dxa"/>
          </w:tcPr>
          <w:p w14:paraId="5EF46F42" w14:textId="324BE3BC" w:rsidR="00611389" w:rsidRDefault="00611389" w:rsidP="00611389">
            <w:pPr>
              <w:pStyle w:val="TableCentre"/>
            </w:pPr>
            <w:r w:rsidRPr="002468E0">
              <w:t>0.99</w:t>
            </w:r>
          </w:p>
        </w:tc>
        <w:tc>
          <w:tcPr>
            <w:tcW w:w="1276" w:type="dxa"/>
          </w:tcPr>
          <w:p w14:paraId="625D171C" w14:textId="246C6469" w:rsidR="00611389" w:rsidRDefault="00611389" w:rsidP="00611389">
            <w:pPr>
              <w:pStyle w:val="TableCentre"/>
            </w:pPr>
            <w:r w:rsidRPr="002468E0">
              <w:t>276</w:t>
            </w:r>
          </w:p>
        </w:tc>
      </w:tr>
      <w:tr w:rsidR="00611389" w:rsidRPr="005A5B60" w14:paraId="1A65BAAA" w14:textId="77777777" w:rsidTr="00656706">
        <w:tc>
          <w:tcPr>
            <w:tcW w:w="1134" w:type="dxa"/>
          </w:tcPr>
          <w:p w14:paraId="165ACCCA" w14:textId="77777777" w:rsidR="00611389" w:rsidRDefault="00611389" w:rsidP="00611389">
            <w:pPr>
              <w:pStyle w:val="TableCentre"/>
            </w:pPr>
            <w:r w:rsidRPr="00B75991">
              <w:t>2012/13</w:t>
            </w:r>
          </w:p>
        </w:tc>
        <w:tc>
          <w:tcPr>
            <w:tcW w:w="1305" w:type="dxa"/>
          </w:tcPr>
          <w:p w14:paraId="346F28B7" w14:textId="6D54E410" w:rsidR="00611389" w:rsidRDefault="00611389" w:rsidP="00611389">
            <w:pPr>
              <w:pStyle w:val="TableCentre"/>
            </w:pPr>
            <w:r w:rsidRPr="002468E0">
              <w:t>0.86</w:t>
            </w:r>
          </w:p>
        </w:tc>
        <w:tc>
          <w:tcPr>
            <w:tcW w:w="1134" w:type="dxa"/>
          </w:tcPr>
          <w:p w14:paraId="2779CB53" w14:textId="6CBE246F" w:rsidR="00611389" w:rsidRDefault="00611389" w:rsidP="00611389">
            <w:pPr>
              <w:pStyle w:val="TableCentre"/>
            </w:pPr>
            <w:r w:rsidRPr="002468E0">
              <w:t>238</w:t>
            </w:r>
          </w:p>
        </w:tc>
        <w:tc>
          <w:tcPr>
            <w:tcW w:w="1276" w:type="dxa"/>
          </w:tcPr>
          <w:p w14:paraId="0679F6A3" w14:textId="5588A272" w:rsidR="00611389" w:rsidRDefault="00611389" w:rsidP="00611389">
            <w:pPr>
              <w:pStyle w:val="TableCentre"/>
            </w:pPr>
            <w:r w:rsidRPr="002468E0">
              <w:t>0.12</w:t>
            </w:r>
          </w:p>
        </w:tc>
        <w:tc>
          <w:tcPr>
            <w:tcW w:w="1134" w:type="dxa"/>
          </w:tcPr>
          <w:p w14:paraId="0FF789A2" w14:textId="75CCCD72" w:rsidR="00611389" w:rsidRDefault="00611389" w:rsidP="00611389">
            <w:pPr>
              <w:pStyle w:val="TableCentre"/>
            </w:pPr>
            <w:r w:rsidRPr="002468E0">
              <w:t>33</w:t>
            </w:r>
          </w:p>
        </w:tc>
        <w:tc>
          <w:tcPr>
            <w:tcW w:w="1275" w:type="dxa"/>
          </w:tcPr>
          <w:p w14:paraId="2667CB18" w14:textId="4CF28D0B" w:rsidR="00611389" w:rsidRDefault="00611389" w:rsidP="00611389">
            <w:pPr>
              <w:pStyle w:val="TableCentre"/>
            </w:pPr>
            <w:r w:rsidRPr="002468E0">
              <w:t>0.98</w:t>
            </w:r>
          </w:p>
        </w:tc>
        <w:tc>
          <w:tcPr>
            <w:tcW w:w="1276" w:type="dxa"/>
          </w:tcPr>
          <w:p w14:paraId="76E716E1" w14:textId="1019B7F0" w:rsidR="00611389" w:rsidRDefault="00611389" w:rsidP="00611389">
            <w:pPr>
              <w:pStyle w:val="TableCentre"/>
            </w:pPr>
            <w:r w:rsidRPr="002468E0">
              <w:t>271</w:t>
            </w:r>
          </w:p>
        </w:tc>
      </w:tr>
      <w:tr w:rsidR="00611389" w:rsidRPr="005A5B60" w14:paraId="5E4A7019" w14:textId="77777777" w:rsidTr="00656706">
        <w:tc>
          <w:tcPr>
            <w:tcW w:w="1134" w:type="dxa"/>
          </w:tcPr>
          <w:p w14:paraId="4BB6C839" w14:textId="77777777" w:rsidR="00611389" w:rsidRDefault="00611389" w:rsidP="00611389">
            <w:pPr>
              <w:pStyle w:val="TableCentre"/>
            </w:pPr>
            <w:r w:rsidRPr="00B75991">
              <w:t>2013/14</w:t>
            </w:r>
          </w:p>
        </w:tc>
        <w:tc>
          <w:tcPr>
            <w:tcW w:w="1305" w:type="dxa"/>
          </w:tcPr>
          <w:p w14:paraId="3E2C22F3" w14:textId="45B23CF7" w:rsidR="00611389" w:rsidRDefault="00611389" w:rsidP="00611389">
            <w:pPr>
              <w:pStyle w:val="TableCentre"/>
            </w:pPr>
            <w:r w:rsidRPr="002468E0">
              <w:t>0.84</w:t>
            </w:r>
          </w:p>
        </w:tc>
        <w:tc>
          <w:tcPr>
            <w:tcW w:w="1134" w:type="dxa"/>
          </w:tcPr>
          <w:p w14:paraId="3E45A1DD" w14:textId="61D9B435" w:rsidR="00611389" w:rsidRDefault="00611389" w:rsidP="00611389">
            <w:pPr>
              <w:pStyle w:val="TableCentre"/>
            </w:pPr>
            <w:r w:rsidRPr="002468E0">
              <w:t>234</w:t>
            </w:r>
          </w:p>
        </w:tc>
        <w:tc>
          <w:tcPr>
            <w:tcW w:w="1276" w:type="dxa"/>
          </w:tcPr>
          <w:p w14:paraId="105F701B" w14:textId="77E34558" w:rsidR="00611389" w:rsidRDefault="00611389" w:rsidP="00611389">
            <w:pPr>
              <w:pStyle w:val="TableCentre"/>
            </w:pPr>
            <w:r w:rsidRPr="002468E0">
              <w:t>0.13</w:t>
            </w:r>
          </w:p>
        </w:tc>
        <w:tc>
          <w:tcPr>
            <w:tcW w:w="1134" w:type="dxa"/>
          </w:tcPr>
          <w:p w14:paraId="385C86F6" w14:textId="64E836FB" w:rsidR="00611389" w:rsidRDefault="00611389" w:rsidP="00611389">
            <w:pPr>
              <w:pStyle w:val="TableCentre"/>
            </w:pPr>
            <w:r w:rsidRPr="002468E0">
              <w:t>35</w:t>
            </w:r>
          </w:p>
        </w:tc>
        <w:tc>
          <w:tcPr>
            <w:tcW w:w="1275" w:type="dxa"/>
          </w:tcPr>
          <w:p w14:paraId="50B26C53" w14:textId="3B921852" w:rsidR="00611389" w:rsidRDefault="00611389" w:rsidP="00611389">
            <w:pPr>
              <w:pStyle w:val="TableCentre"/>
            </w:pPr>
            <w:r w:rsidRPr="002468E0">
              <w:t>0.97</w:t>
            </w:r>
          </w:p>
        </w:tc>
        <w:tc>
          <w:tcPr>
            <w:tcW w:w="1276" w:type="dxa"/>
          </w:tcPr>
          <w:p w14:paraId="67F287A3" w14:textId="6EBBD329" w:rsidR="00611389" w:rsidRDefault="00611389" w:rsidP="00611389">
            <w:pPr>
              <w:pStyle w:val="TableCentre"/>
            </w:pPr>
            <w:r w:rsidRPr="002468E0">
              <w:t>269</w:t>
            </w:r>
          </w:p>
        </w:tc>
      </w:tr>
      <w:tr w:rsidR="00611389" w:rsidRPr="005A5B60" w14:paraId="5909DB66" w14:textId="77777777" w:rsidTr="00656706">
        <w:tc>
          <w:tcPr>
            <w:tcW w:w="1134" w:type="dxa"/>
          </w:tcPr>
          <w:p w14:paraId="68BB60E5" w14:textId="36A0AFC6" w:rsidR="00611389" w:rsidRDefault="00611389" w:rsidP="007C5A97">
            <w:pPr>
              <w:pStyle w:val="TableCentre"/>
            </w:pPr>
            <w:r>
              <w:t>2014/15</w:t>
            </w:r>
          </w:p>
        </w:tc>
        <w:tc>
          <w:tcPr>
            <w:tcW w:w="1305" w:type="dxa"/>
          </w:tcPr>
          <w:p w14:paraId="77812E05" w14:textId="4D841DB7" w:rsidR="00611389" w:rsidRDefault="00611389" w:rsidP="00611389">
            <w:pPr>
              <w:pStyle w:val="TableCentre"/>
            </w:pPr>
            <w:r w:rsidRPr="002468E0">
              <w:t>0.83</w:t>
            </w:r>
          </w:p>
        </w:tc>
        <w:tc>
          <w:tcPr>
            <w:tcW w:w="1134" w:type="dxa"/>
          </w:tcPr>
          <w:p w14:paraId="31CF672F" w14:textId="6074C6B3" w:rsidR="00611389" w:rsidRDefault="00611389" w:rsidP="00611389">
            <w:pPr>
              <w:pStyle w:val="TableCentre"/>
            </w:pPr>
            <w:r w:rsidRPr="002468E0">
              <w:t>232</w:t>
            </w:r>
          </w:p>
        </w:tc>
        <w:tc>
          <w:tcPr>
            <w:tcW w:w="1276" w:type="dxa"/>
          </w:tcPr>
          <w:p w14:paraId="7CB6492B" w14:textId="7AF7BD55" w:rsidR="00611389" w:rsidRDefault="00611389" w:rsidP="00611389">
            <w:pPr>
              <w:pStyle w:val="TableCentre"/>
            </w:pPr>
            <w:r w:rsidRPr="002468E0">
              <w:t>0.12</w:t>
            </w:r>
          </w:p>
        </w:tc>
        <w:tc>
          <w:tcPr>
            <w:tcW w:w="1134" w:type="dxa"/>
          </w:tcPr>
          <w:p w14:paraId="7821E151" w14:textId="0D274CD5" w:rsidR="00611389" w:rsidRDefault="00611389" w:rsidP="00611389">
            <w:pPr>
              <w:pStyle w:val="TableCentre"/>
            </w:pPr>
            <w:r w:rsidRPr="002468E0">
              <w:t>34</w:t>
            </w:r>
          </w:p>
        </w:tc>
        <w:tc>
          <w:tcPr>
            <w:tcW w:w="1275" w:type="dxa"/>
          </w:tcPr>
          <w:p w14:paraId="46CDD371" w14:textId="37BB5109" w:rsidR="00611389" w:rsidRDefault="00611389" w:rsidP="00611389">
            <w:pPr>
              <w:pStyle w:val="TableCentre"/>
            </w:pPr>
            <w:r w:rsidRPr="002468E0">
              <w:t>0.96</w:t>
            </w:r>
          </w:p>
        </w:tc>
        <w:tc>
          <w:tcPr>
            <w:tcW w:w="1276" w:type="dxa"/>
          </w:tcPr>
          <w:p w14:paraId="613568FF" w14:textId="28208EF4" w:rsidR="00611389" w:rsidRDefault="00611389" w:rsidP="00611389">
            <w:pPr>
              <w:pStyle w:val="TableCentre"/>
            </w:pPr>
            <w:r w:rsidRPr="002468E0">
              <w:t>266</w:t>
            </w:r>
          </w:p>
        </w:tc>
      </w:tr>
      <w:tr w:rsidR="00611389" w:rsidRPr="005A5B60" w14:paraId="16A1CA79" w14:textId="77777777" w:rsidTr="00656706">
        <w:tc>
          <w:tcPr>
            <w:tcW w:w="1134" w:type="dxa"/>
          </w:tcPr>
          <w:p w14:paraId="6460F861" w14:textId="78C50621" w:rsidR="00611389" w:rsidRPr="00B75991" w:rsidRDefault="00611389" w:rsidP="00611389">
            <w:pPr>
              <w:pStyle w:val="TableCentre"/>
            </w:pPr>
            <w:r w:rsidRPr="00B75991">
              <w:t>Latest Estimate</w:t>
            </w:r>
          </w:p>
        </w:tc>
        <w:tc>
          <w:tcPr>
            <w:tcW w:w="1305" w:type="dxa"/>
          </w:tcPr>
          <w:p w14:paraId="77259081" w14:textId="4E2E8AC7" w:rsidR="00611389" w:rsidRPr="00B75991" w:rsidRDefault="00611389" w:rsidP="00611389">
            <w:pPr>
              <w:pStyle w:val="TableCentre"/>
            </w:pPr>
            <w:r w:rsidRPr="002468E0">
              <w:t>0.83</w:t>
            </w:r>
          </w:p>
        </w:tc>
        <w:tc>
          <w:tcPr>
            <w:tcW w:w="1134" w:type="dxa"/>
          </w:tcPr>
          <w:p w14:paraId="77259AF2" w14:textId="6A8ED4E0" w:rsidR="00611389" w:rsidRDefault="00611389" w:rsidP="00611389">
            <w:pPr>
              <w:pStyle w:val="TableCentre"/>
            </w:pPr>
            <w:r w:rsidRPr="002468E0">
              <w:t>230</w:t>
            </w:r>
          </w:p>
        </w:tc>
        <w:tc>
          <w:tcPr>
            <w:tcW w:w="1276" w:type="dxa"/>
          </w:tcPr>
          <w:p w14:paraId="78B6404E" w14:textId="04897463" w:rsidR="00611389" w:rsidRDefault="00611389" w:rsidP="00611389">
            <w:pPr>
              <w:pStyle w:val="TableCentre"/>
            </w:pPr>
            <w:r w:rsidRPr="002468E0">
              <w:t>0.12</w:t>
            </w:r>
          </w:p>
        </w:tc>
        <w:tc>
          <w:tcPr>
            <w:tcW w:w="1134" w:type="dxa"/>
          </w:tcPr>
          <w:p w14:paraId="02CDDD10" w14:textId="2842B9BB" w:rsidR="00611389" w:rsidRDefault="00611389" w:rsidP="00611389">
            <w:pPr>
              <w:pStyle w:val="TableCentre"/>
            </w:pPr>
            <w:r w:rsidRPr="002468E0">
              <w:t>33</w:t>
            </w:r>
          </w:p>
        </w:tc>
        <w:tc>
          <w:tcPr>
            <w:tcW w:w="1275" w:type="dxa"/>
          </w:tcPr>
          <w:p w14:paraId="2EA65181" w14:textId="22DC0484" w:rsidR="00611389" w:rsidRDefault="00611389" w:rsidP="00611389">
            <w:pPr>
              <w:pStyle w:val="TableCentre"/>
            </w:pPr>
            <w:r w:rsidRPr="002468E0">
              <w:t>0.95</w:t>
            </w:r>
          </w:p>
        </w:tc>
        <w:tc>
          <w:tcPr>
            <w:tcW w:w="1276" w:type="dxa"/>
          </w:tcPr>
          <w:p w14:paraId="3D919F87" w14:textId="1746234D" w:rsidR="00611389" w:rsidRDefault="00611389" w:rsidP="00611389">
            <w:pPr>
              <w:pStyle w:val="TableCentre"/>
            </w:pPr>
            <w:r w:rsidRPr="002468E0">
              <w:t>263</w:t>
            </w:r>
          </w:p>
        </w:tc>
      </w:tr>
      <w:tr w:rsidR="00C466CC" w:rsidRPr="005A5B60" w14:paraId="3521B866" w14:textId="77777777" w:rsidTr="00656706">
        <w:trPr>
          <w:cantSplit/>
        </w:trPr>
        <w:tc>
          <w:tcPr>
            <w:tcW w:w="8534" w:type="dxa"/>
            <w:gridSpan w:val="7"/>
            <w:shd w:val="pct15" w:color="auto" w:fill="auto"/>
          </w:tcPr>
          <w:p w14:paraId="6A32ACF2" w14:textId="77777777" w:rsidR="00C466CC" w:rsidRPr="005A5B60" w:rsidRDefault="00C466CC">
            <w:pPr>
              <w:pStyle w:val="Table"/>
              <w:rPr>
                <w:b/>
                <w:bCs/>
                <w:sz w:val="18"/>
                <w:szCs w:val="18"/>
              </w:rPr>
            </w:pPr>
            <w:r w:rsidRPr="005A5B60">
              <w:rPr>
                <w:b/>
                <w:bCs/>
                <w:sz w:val="18"/>
                <w:szCs w:val="18"/>
              </w:rPr>
              <w:t>VICTORIA</w:t>
            </w:r>
          </w:p>
        </w:tc>
      </w:tr>
      <w:tr w:rsidR="00C466CC" w:rsidRPr="005A5B60" w14:paraId="716B7230" w14:textId="77777777" w:rsidTr="00656706">
        <w:tc>
          <w:tcPr>
            <w:tcW w:w="1134" w:type="dxa"/>
          </w:tcPr>
          <w:p w14:paraId="69ABFDE3" w14:textId="77777777" w:rsidR="008B7F00" w:rsidRDefault="00B75991">
            <w:pPr>
              <w:pStyle w:val="TableCentre"/>
            </w:pPr>
            <w:r w:rsidRPr="00B75991">
              <w:t>1989/90</w:t>
            </w:r>
          </w:p>
        </w:tc>
        <w:tc>
          <w:tcPr>
            <w:tcW w:w="1305" w:type="dxa"/>
            <w:vAlign w:val="bottom"/>
          </w:tcPr>
          <w:p w14:paraId="0637EFB2" w14:textId="77777777" w:rsidR="008B63D8" w:rsidRDefault="00C466CC">
            <w:pPr>
              <w:pStyle w:val="TableCentre"/>
            </w:pPr>
            <w:r w:rsidRPr="00D44E6B">
              <w:t>1.24</w:t>
            </w:r>
          </w:p>
        </w:tc>
        <w:tc>
          <w:tcPr>
            <w:tcW w:w="1134" w:type="dxa"/>
            <w:vAlign w:val="bottom"/>
          </w:tcPr>
          <w:p w14:paraId="2AF3274E" w14:textId="77777777" w:rsidR="008B63D8" w:rsidRDefault="00C466CC">
            <w:pPr>
              <w:pStyle w:val="TableCentre"/>
            </w:pPr>
            <w:r w:rsidRPr="00D44E6B">
              <w:t>345</w:t>
            </w:r>
          </w:p>
        </w:tc>
        <w:tc>
          <w:tcPr>
            <w:tcW w:w="1276" w:type="dxa"/>
            <w:vAlign w:val="bottom"/>
          </w:tcPr>
          <w:p w14:paraId="4D37922F" w14:textId="77777777" w:rsidR="008B63D8" w:rsidRDefault="00C466CC">
            <w:pPr>
              <w:pStyle w:val="TableCentre"/>
            </w:pPr>
            <w:r w:rsidRPr="00D44E6B">
              <w:t>0.20</w:t>
            </w:r>
          </w:p>
        </w:tc>
        <w:tc>
          <w:tcPr>
            <w:tcW w:w="1134" w:type="dxa"/>
            <w:vAlign w:val="bottom"/>
          </w:tcPr>
          <w:p w14:paraId="67EFED6A" w14:textId="77777777" w:rsidR="008B63D8" w:rsidRDefault="00C466CC">
            <w:pPr>
              <w:pStyle w:val="TableCentre"/>
            </w:pPr>
            <w:r w:rsidRPr="00D44E6B">
              <w:t>55</w:t>
            </w:r>
          </w:p>
        </w:tc>
        <w:tc>
          <w:tcPr>
            <w:tcW w:w="1275" w:type="dxa"/>
          </w:tcPr>
          <w:p w14:paraId="7A73DB43" w14:textId="77777777" w:rsidR="008B63D8" w:rsidRDefault="00C466CC">
            <w:pPr>
              <w:pStyle w:val="TableCentre"/>
            </w:pPr>
            <w:r w:rsidRPr="00747D74">
              <w:t>1.44</w:t>
            </w:r>
          </w:p>
        </w:tc>
        <w:tc>
          <w:tcPr>
            <w:tcW w:w="1276" w:type="dxa"/>
          </w:tcPr>
          <w:p w14:paraId="49AF9EC9" w14:textId="77777777" w:rsidR="008B63D8" w:rsidRDefault="00C466CC">
            <w:pPr>
              <w:pStyle w:val="TableCentre"/>
            </w:pPr>
            <w:r>
              <w:t>400</w:t>
            </w:r>
          </w:p>
        </w:tc>
      </w:tr>
      <w:tr w:rsidR="00C466CC" w:rsidRPr="005A5B60" w14:paraId="06B6A4A1" w14:textId="77777777" w:rsidTr="00656706">
        <w:tc>
          <w:tcPr>
            <w:tcW w:w="1134" w:type="dxa"/>
          </w:tcPr>
          <w:p w14:paraId="42088E3A" w14:textId="77777777" w:rsidR="008B7F00" w:rsidRDefault="00B75991">
            <w:pPr>
              <w:pStyle w:val="TableCentre"/>
            </w:pPr>
            <w:r w:rsidRPr="00B75991">
              <w:t>1994/95</w:t>
            </w:r>
          </w:p>
        </w:tc>
        <w:tc>
          <w:tcPr>
            <w:tcW w:w="1305" w:type="dxa"/>
            <w:vAlign w:val="bottom"/>
          </w:tcPr>
          <w:p w14:paraId="5D452B66" w14:textId="77777777" w:rsidR="008B63D8" w:rsidRDefault="00C466CC">
            <w:pPr>
              <w:pStyle w:val="TableCentre"/>
            </w:pPr>
            <w:r w:rsidRPr="00D44E6B">
              <w:t>1.22</w:t>
            </w:r>
          </w:p>
        </w:tc>
        <w:tc>
          <w:tcPr>
            <w:tcW w:w="1134" w:type="dxa"/>
            <w:vAlign w:val="bottom"/>
          </w:tcPr>
          <w:p w14:paraId="419ECA36" w14:textId="77777777" w:rsidR="008B63D8" w:rsidRDefault="00C466CC">
            <w:pPr>
              <w:pStyle w:val="TableCentre"/>
            </w:pPr>
            <w:r w:rsidRPr="00D44E6B">
              <w:t>340</w:t>
            </w:r>
          </w:p>
        </w:tc>
        <w:tc>
          <w:tcPr>
            <w:tcW w:w="1276" w:type="dxa"/>
            <w:vAlign w:val="bottom"/>
          </w:tcPr>
          <w:p w14:paraId="03C05183" w14:textId="77777777" w:rsidR="008B63D8" w:rsidRDefault="00C466CC">
            <w:pPr>
              <w:pStyle w:val="TableCentre"/>
            </w:pPr>
            <w:r w:rsidRPr="00D44E6B">
              <w:t>0.14</w:t>
            </w:r>
          </w:p>
        </w:tc>
        <w:tc>
          <w:tcPr>
            <w:tcW w:w="1134" w:type="dxa"/>
            <w:vAlign w:val="bottom"/>
          </w:tcPr>
          <w:p w14:paraId="0403C48B" w14:textId="77777777" w:rsidR="008B63D8" w:rsidRDefault="00C466CC">
            <w:pPr>
              <w:pStyle w:val="TableCentre"/>
            </w:pPr>
            <w:r w:rsidRPr="00D44E6B">
              <w:t>38</w:t>
            </w:r>
          </w:p>
        </w:tc>
        <w:tc>
          <w:tcPr>
            <w:tcW w:w="1275" w:type="dxa"/>
          </w:tcPr>
          <w:p w14:paraId="1F97B395" w14:textId="77777777" w:rsidR="008B63D8" w:rsidRDefault="00C466CC">
            <w:pPr>
              <w:pStyle w:val="TableCentre"/>
            </w:pPr>
            <w:r w:rsidRPr="00747D74">
              <w:t>1.3</w:t>
            </w:r>
            <w:r>
              <w:t>6</w:t>
            </w:r>
          </w:p>
        </w:tc>
        <w:tc>
          <w:tcPr>
            <w:tcW w:w="1276" w:type="dxa"/>
          </w:tcPr>
          <w:p w14:paraId="19D11F9E" w14:textId="0418E177" w:rsidR="008B63D8" w:rsidRDefault="00C466CC">
            <w:pPr>
              <w:pStyle w:val="TableCentre"/>
            </w:pPr>
            <w:r w:rsidRPr="00747D74">
              <w:t>3</w:t>
            </w:r>
            <w:r>
              <w:t>7</w:t>
            </w:r>
            <w:r w:rsidR="008B2A81">
              <w:t>8</w:t>
            </w:r>
          </w:p>
        </w:tc>
      </w:tr>
      <w:tr w:rsidR="00C466CC" w:rsidRPr="005A5B60" w14:paraId="4DADCE47" w14:textId="77777777" w:rsidTr="00656706">
        <w:tc>
          <w:tcPr>
            <w:tcW w:w="1134" w:type="dxa"/>
          </w:tcPr>
          <w:p w14:paraId="27D658C1" w14:textId="77777777" w:rsidR="008B7F00" w:rsidRDefault="00B75991">
            <w:pPr>
              <w:pStyle w:val="TableCentre"/>
            </w:pPr>
            <w:r w:rsidRPr="00B75991">
              <w:t>1999/2000</w:t>
            </w:r>
          </w:p>
        </w:tc>
        <w:tc>
          <w:tcPr>
            <w:tcW w:w="1305" w:type="dxa"/>
            <w:vAlign w:val="bottom"/>
          </w:tcPr>
          <w:p w14:paraId="6517BAA7" w14:textId="77777777" w:rsidR="008B63D8" w:rsidRDefault="00C466CC">
            <w:pPr>
              <w:pStyle w:val="TableCentre"/>
            </w:pPr>
            <w:r w:rsidRPr="00D44E6B">
              <w:t>1.33</w:t>
            </w:r>
          </w:p>
        </w:tc>
        <w:tc>
          <w:tcPr>
            <w:tcW w:w="1134" w:type="dxa"/>
            <w:vAlign w:val="bottom"/>
          </w:tcPr>
          <w:p w14:paraId="5A609100" w14:textId="77777777" w:rsidR="008B63D8" w:rsidRDefault="00C466CC">
            <w:pPr>
              <w:pStyle w:val="TableCentre"/>
            </w:pPr>
            <w:r w:rsidRPr="00D44E6B">
              <w:t>370</w:t>
            </w:r>
          </w:p>
        </w:tc>
        <w:tc>
          <w:tcPr>
            <w:tcW w:w="1276" w:type="dxa"/>
            <w:vAlign w:val="bottom"/>
          </w:tcPr>
          <w:p w14:paraId="45A7A243" w14:textId="77777777" w:rsidR="008B63D8" w:rsidRDefault="00C466CC">
            <w:pPr>
              <w:pStyle w:val="TableCentre"/>
            </w:pPr>
            <w:r w:rsidRPr="00D44E6B">
              <w:t>0.12</w:t>
            </w:r>
          </w:p>
        </w:tc>
        <w:tc>
          <w:tcPr>
            <w:tcW w:w="1134" w:type="dxa"/>
            <w:vAlign w:val="bottom"/>
          </w:tcPr>
          <w:p w14:paraId="4B08C872" w14:textId="77777777" w:rsidR="008B63D8" w:rsidRDefault="00C466CC">
            <w:pPr>
              <w:pStyle w:val="TableCentre"/>
            </w:pPr>
            <w:r w:rsidRPr="00D44E6B">
              <w:t>33</w:t>
            </w:r>
          </w:p>
        </w:tc>
        <w:tc>
          <w:tcPr>
            <w:tcW w:w="1275" w:type="dxa"/>
            <w:vAlign w:val="bottom"/>
          </w:tcPr>
          <w:p w14:paraId="2AFE8AAB" w14:textId="77777777" w:rsidR="008B63D8" w:rsidRDefault="00C466CC">
            <w:pPr>
              <w:pStyle w:val="TableCentre"/>
            </w:pPr>
            <w:r w:rsidRPr="00D44E6B">
              <w:t>1.45</w:t>
            </w:r>
          </w:p>
        </w:tc>
        <w:tc>
          <w:tcPr>
            <w:tcW w:w="1276" w:type="dxa"/>
            <w:vAlign w:val="bottom"/>
          </w:tcPr>
          <w:p w14:paraId="021A8004" w14:textId="77777777" w:rsidR="008B63D8" w:rsidRDefault="00C466CC">
            <w:pPr>
              <w:pStyle w:val="TableCentre"/>
            </w:pPr>
            <w:r w:rsidRPr="00D44E6B">
              <w:t>404</w:t>
            </w:r>
          </w:p>
        </w:tc>
      </w:tr>
      <w:tr w:rsidR="00C466CC" w:rsidRPr="005A5B60" w14:paraId="58573574" w14:textId="77777777" w:rsidTr="00656706">
        <w:tc>
          <w:tcPr>
            <w:tcW w:w="1134" w:type="dxa"/>
          </w:tcPr>
          <w:p w14:paraId="1FCF55CF" w14:textId="77777777" w:rsidR="008B7F00" w:rsidRDefault="00B75991">
            <w:pPr>
              <w:pStyle w:val="TableCentre"/>
            </w:pPr>
            <w:r w:rsidRPr="00B75991">
              <w:t>2004/05</w:t>
            </w:r>
          </w:p>
        </w:tc>
        <w:tc>
          <w:tcPr>
            <w:tcW w:w="1305" w:type="dxa"/>
            <w:vAlign w:val="bottom"/>
          </w:tcPr>
          <w:p w14:paraId="701BB2C6" w14:textId="77777777" w:rsidR="008B63D8" w:rsidRDefault="00C466CC">
            <w:pPr>
              <w:pStyle w:val="TableCentre"/>
            </w:pPr>
            <w:r w:rsidRPr="006F7A0D">
              <w:t>1.23</w:t>
            </w:r>
          </w:p>
        </w:tc>
        <w:tc>
          <w:tcPr>
            <w:tcW w:w="1134" w:type="dxa"/>
            <w:vAlign w:val="bottom"/>
          </w:tcPr>
          <w:p w14:paraId="71A64831" w14:textId="77777777" w:rsidR="008B63D8" w:rsidRDefault="00C466CC">
            <w:pPr>
              <w:pStyle w:val="TableCentre"/>
            </w:pPr>
            <w:r w:rsidRPr="006F7A0D">
              <w:t>342</w:t>
            </w:r>
          </w:p>
        </w:tc>
        <w:tc>
          <w:tcPr>
            <w:tcW w:w="1276" w:type="dxa"/>
            <w:vAlign w:val="bottom"/>
          </w:tcPr>
          <w:p w14:paraId="132C8028" w14:textId="77777777" w:rsidR="008B63D8" w:rsidRDefault="00C466CC">
            <w:pPr>
              <w:pStyle w:val="TableCentre"/>
            </w:pPr>
            <w:r w:rsidRPr="006F7A0D">
              <w:t>0.10</w:t>
            </w:r>
          </w:p>
        </w:tc>
        <w:tc>
          <w:tcPr>
            <w:tcW w:w="1134" w:type="dxa"/>
            <w:vAlign w:val="bottom"/>
          </w:tcPr>
          <w:p w14:paraId="2D3D37DA" w14:textId="77777777" w:rsidR="008B63D8" w:rsidRDefault="00C466CC">
            <w:pPr>
              <w:pStyle w:val="TableCentre"/>
            </w:pPr>
            <w:r w:rsidRPr="006F7A0D">
              <w:t>28</w:t>
            </w:r>
          </w:p>
        </w:tc>
        <w:tc>
          <w:tcPr>
            <w:tcW w:w="1275" w:type="dxa"/>
            <w:vAlign w:val="bottom"/>
          </w:tcPr>
          <w:p w14:paraId="20947E50" w14:textId="77777777" w:rsidR="008B63D8" w:rsidRDefault="00C466CC">
            <w:pPr>
              <w:pStyle w:val="TableCentre"/>
            </w:pPr>
            <w:r w:rsidRPr="006F7A0D">
              <w:t>1.33</w:t>
            </w:r>
          </w:p>
        </w:tc>
        <w:tc>
          <w:tcPr>
            <w:tcW w:w="1276" w:type="dxa"/>
            <w:vAlign w:val="bottom"/>
          </w:tcPr>
          <w:p w14:paraId="7BBE8DEA" w14:textId="77777777" w:rsidR="008B63D8" w:rsidRDefault="00C466CC">
            <w:pPr>
              <w:pStyle w:val="TableCentre"/>
            </w:pPr>
            <w:r w:rsidRPr="006F7A0D">
              <w:t>370</w:t>
            </w:r>
          </w:p>
        </w:tc>
      </w:tr>
      <w:tr w:rsidR="008B2A81" w:rsidRPr="005A5B60" w14:paraId="33EEB43C" w14:textId="77777777" w:rsidTr="00656706">
        <w:tc>
          <w:tcPr>
            <w:tcW w:w="1134" w:type="dxa"/>
          </w:tcPr>
          <w:p w14:paraId="24AA8F44" w14:textId="2D7F4EF3" w:rsidR="008B2A81" w:rsidRDefault="008B2A81" w:rsidP="008B2A81">
            <w:pPr>
              <w:pStyle w:val="TableCentre"/>
            </w:pPr>
            <w:r w:rsidRPr="00B75991">
              <w:t xml:space="preserve">2005/06 </w:t>
            </w:r>
          </w:p>
        </w:tc>
        <w:tc>
          <w:tcPr>
            <w:tcW w:w="1305" w:type="dxa"/>
          </w:tcPr>
          <w:p w14:paraId="3E46DB4D" w14:textId="498E35E5" w:rsidR="008B2A81" w:rsidRDefault="008B2A81" w:rsidP="008B2A81">
            <w:pPr>
              <w:pStyle w:val="TableCentre"/>
            </w:pPr>
            <w:r w:rsidRPr="006C5783">
              <w:t>1.23</w:t>
            </w:r>
          </w:p>
        </w:tc>
        <w:tc>
          <w:tcPr>
            <w:tcW w:w="1134" w:type="dxa"/>
          </w:tcPr>
          <w:p w14:paraId="3F57EA45" w14:textId="6FB67DB6" w:rsidR="008B2A81" w:rsidRDefault="008B2A81" w:rsidP="008B2A81">
            <w:pPr>
              <w:pStyle w:val="TableCentre"/>
            </w:pPr>
            <w:r w:rsidRPr="006C5783">
              <w:t>342</w:t>
            </w:r>
          </w:p>
        </w:tc>
        <w:tc>
          <w:tcPr>
            <w:tcW w:w="1276" w:type="dxa"/>
          </w:tcPr>
          <w:p w14:paraId="2AC335FB" w14:textId="4701A20F" w:rsidR="008B2A81" w:rsidRDefault="008B2A81" w:rsidP="008B2A81">
            <w:pPr>
              <w:pStyle w:val="TableCentre"/>
            </w:pPr>
            <w:r w:rsidRPr="006C5783">
              <w:t>0.10</w:t>
            </w:r>
          </w:p>
        </w:tc>
        <w:tc>
          <w:tcPr>
            <w:tcW w:w="1134" w:type="dxa"/>
          </w:tcPr>
          <w:p w14:paraId="1DFA9AA7" w14:textId="24B2E581" w:rsidR="008B2A81" w:rsidRDefault="008B2A81" w:rsidP="008B2A81">
            <w:pPr>
              <w:pStyle w:val="TableCentre"/>
            </w:pPr>
            <w:r w:rsidRPr="006C5783">
              <w:t>28</w:t>
            </w:r>
          </w:p>
        </w:tc>
        <w:tc>
          <w:tcPr>
            <w:tcW w:w="1275" w:type="dxa"/>
          </w:tcPr>
          <w:p w14:paraId="320BC28C" w14:textId="7E1B4759" w:rsidR="008B2A81" w:rsidRDefault="008B2A81" w:rsidP="008B2A81">
            <w:pPr>
              <w:pStyle w:val="TableCentre"/>
            </w:pPr>
            <w:r w:rsidRPr="006C5783">
              <w:t>1.33</w:t>
            </w:r>
          </w:p>
        </w:tc>
        <w:tc>
          <w:tcPr>
            <w:tcW w:w="1276" w:type="dxa"/>
          </w:tcPr>
          <w:p w14:paraId="08335273" w14:textId="778D1817" w:rsidR="008B2A81" w:rsidRDefault="008B2A81" w:rsidP="008B2A81">
            <w:pPr>
              <w:pStyle w:val="TableCentre"/>
            </w:pPr>
            <w:r w:rsidRPr="006C5783">
              <w:t>370</w:t>
            </w:r>
          </w:p>
        </w:tc>
      </w:tr>
      <w:tr w:rsidR="008B2A81" w:rsidRPr="005A5B60" w14:paraId="7065D15D" w14:textId="77777777" w:rsidTr="00656706">
        <w:tc>
          <w:tcPr>
            <w:tcW w:w="1134" w:type="dxa"/>
          </w:tcPr>
          <w:p w14:paraId="67852CF3" w14:textId="04D4E99E" w:rsidR="008B2A81" w:rsidRDefault="008B2A81" w:rsidP="008B2A81">
            <w:pPr>
              <w:pStyle w:val="TableCentre"/>
            </w:pPr>
            <w:r w:rsidRPr="00B75991">
              <w:t>2006/07</w:t>
            </w:r>
          </w:p>
        </w:tc>
        <w:tc>
          <w:tcPr>
            <w:tcW w:w="1305" w:type="dxa"/>
          </w:tcPr>
          <w:p w14:paraId="7B1A473B" w14:textId="7AE226CF" w:rsidR="008B2A81" w:rsidRDefault="008B2A81" w:rsidP="008B2A81">
            <w:pPr>
              <w:pStyle w:val="TableCentre"/>
            </w:pPr>
            <w:r w:rsidRPr="006C5783">
              <w:t>1.23</w:t>
            </w:r>
          </w:p>
        </w:tc>
        <w:tc>
          <w:tcPr>
            <w:tcW w:w="1134" w:type="dxa"/>
          </w:tcPr>
          <w:p w14:paraId="3A2BA449" w14:textId="50F7C829" w:rsidR="008B2A81" w:rsidRDefault="008B2A81" w:rsidP="008B2A81">
            <w:pPr>
              <w:pStyle w:val="TableCentre"/>
            </w:pPr>
            <w:r w:rsidRPr="006C5783">
              <w:t>341</w:t>
            </w:r>
          </w:p>
        </w:tc>
        <w:tc>
          <w:tcPr>
            <w:tcW w:w="1276" w:type="dxa"/>
          </w:tcPr>
          <w:p w14:paraId="374A561E" w14:textId="4CC6BB90" w:rsidR="008B2A81" w:rsidRDefault="008B2A81" w:rsidP="008B2A81">
            <w:pPr>
              <w:pStyle w:val="TableCentre"/>
            </w:pPr>
            <w:r w:rsidRPr="006C5783">
              <w:t>0.09</w:t>
            </w:r>
          </w:p>
        </w:tc>
        <w:tc>
          <w:tcPr>
            <w:tcW w:w="1134" w:type="dxa"/>
          </w:tcPr>
          <w:p w14:paraId="39D68F52" w14:textId="7F166803" w:rsidR="008B2A81" w:rsidRDefault="008B2A81" w:rsidP="008B2A81">
            <w:pPr>
              <w:pStyle w:val="TableCentre"/>
            </w:pPr>
            <w:r w:rsidRPr="006C5783">
              <w:t>24</w:t>
            </w:r>
          </w:p>
        </w:tc>
        <w:tc>
          <w:tcPr>
            <w:tcW w:w="1275" w:type="dxa"/>
          </w:tcPr>
          <w:p w14:paraId="77450F22" w14:textId="19A14017" w:rsidR="008B2A81" w:rsidRDefault="008B2A81" w:rsidP="008B2A81">
            <w:pPr>
              <w:pStyle w:val="TableCentre"/>
            </w:pPr>
            <w:r w:rsidRPr="006C5783">
              <w:t>1.31</w:t>
            </w:r>
          </w:p>
        </w:tc>
        <w:tc>
          <w:tcPr>
            <w:tcW w:w="1276" w:type="dxa"/>
          </w:tcPr>
          <w:p w14:paraId="2F627D18" w14:textId="5A2475B7" w:rsidR="008B2A81" w:rsidRDefault="008B2A81" w:rsidP="008B2A81">
            <w:pPr>
              <w:pStyle w:val="TableCentre"/>
            </w:pPr>
            <w:r w:rsidRPr="006C5783">
              <w:t>365</w:t>
            </w:r>
          </w:p>
        </w:tc>
      </w:tr>
      <w:tr w:rsidR="008B2A81" w:rsidRPr="005A5B60" w14:paraId="39E0ED2A" w14:textId="77777777" w:rsidTr="00656706">
        <w:tc>
          <w:tcPr>
            <w:tcW w:w="1134" w:type="dxa"/>
          </w:tcPr>
          <w:p w14:paraId="0D1DE036" w14:textId="563FC7DA" w:rsidR="008B2A81" w:rsidRDefault="008B2A81" w:rsidP="008B2A81">
            <w:pPr>
              <w:pStyle w:val="TableCentre"/>
            </w:pPr>
            <w:r w:rsidRPr="00B75991">
              <w:t>2007/08</w:t>
            </w:r>
          </w:p>
        </w:tc>
        <w:tc>
          <w:tcPr>
            <w:tcW w:w="1305" w:type="dxa"/>
          </w:tcPr>
          <w:p w14:paraId="4E2F422C" w14:textId="43C4D2A2" w:rsidR="008B2A81" w:rsidRDefault="008B2A81" w:rsidP="008B2A81">
            <w:pPr>
              <w:pStyle w:val="TableCentre"/>
            </w:pPr>
            <w:r w:rsidRPr="006C5783">
              <w:t>1.22</w:t>
            </w:r>
          </w:p>
        </w:tc>
        <w:tc>
          <w:tcPr>
            <w:tcW w:w="1134" w:type="dxa"/>
          </w:tcPr>
          <w:p w14:paraId="060A6190" w14:textId="70D172EE" w:rsidR="008B2A81" w:rsidRDefault="008B2A81" w:rsidP="008B2A81">
            <w:pPr>
              <w:pStyle w:val="TableCentre"/>
            </w:pPr>
            <w:r w:rsidRPr="006C5783">
              <w:t>340</w:t>
            </w:r>
          </w:p>
        </w:tc>
        <w:tc>
          <w:tcPr>
            <w:tcW w:w="1276" w:type="dxa"/>
          </w:tcPr>
          <w:p w14:paraId="574D810A" w14:textId="2E330BC0" w:rsidR="008B2A81" w:rsidRDefault="008B2A81" w:rsidP="008B2A81">
            <w:pPr>
              <w:pStyle w:val="TableCentre"/>
            </w:pPr>
            <w:r w:rsidRPr="006C5783">
              <w:t>0.10</w:t>
            </w:r>
          </w:p>
        </w:tc>
        <w:tc>
          <w:tcPr>
            <w:tcW w:w="1134" w:type="dxa"/>
          </w:tcPr>
          <w:p w14:paraId="535C5185" w14:textId="77567ED1" w:rsidR="008B2A81" w:rsidRDefault="008B2A81" w:rsidP="008B2A81">
            <w:pPr>
              <w:pStyle w:val="TableCentre"/>
            </w:pPr>
            <w:r w:rsidRPr="006C5783">
              <w:t>28</w:t>
            </w:r>
          </w:p>
        </w:tc>
        <w:tc>
          <w:tcPr>
            <w:tcW w:w="1275" w:type="dxa"/>
          </w:tcPr>
          <w:p w14:paraId="17B042F2" w14:textId="4C4C0F5C" w:rsidR="008B2A81" w:rsidRDefault="008B2A81" w:rsidP="008B2A81">
            <w:pPr>
              <w:pStyle w:val="TableCentre"/>
            </w:pPr>
            <w:r w:rsidRPr="006C5783">
              <w:t>1.32</w:t>
            </w:r>
          </w:p>
        </w:tc>
        <w:tc>
          <w:tcPr>
            <w:tcW w:w="1276" w:type="dxa"/>
          </w:tcPr>
          <w:p w14:paraId="6004F968" w14:textId="1CF62AF2" w:rsidR="008B2A81" w:rsidRDefault="008B2A81" w:rsidP="008B2A81">
            <w:pPr>
              <w:pStyle w:val="TableCentre"/>
            </w:pPr>
            <w:r w:rsidRPr="006C5783">
              <w:t>367</w:t>
            </w:r>
          </w:p>
        </w:tc>
      </w:tr>
      <w:tr w:rsidR="008B2A81" w:rsidRPr="005A5B60" w14:paraId="2B060960" w14:textId="77777777" w:rsidTr="00656706">
        <w:tc>
          <w:tcPr>
            <w:tcW w:w="1134" w:type="dxa"/>
          </w:tcPr>
          <w:p w14:paraId="04F72AB2" w14:textId="68D40AA4" w:rsidR="008B2A81" w:rsidRDefault="008B2A81" w:rsidP="008B2A81">
            <w:pPr>
              <w:pStyle w:val="TableCentre"/>
            </w:pPr>
            <w:r w:rsidRPr="00B75991">
              <w:t>2008/09</w:t>
            </w:r>
          </w:p>
        </w:tc>
        <w:tc>
          <w:tcPr>
            <w:tcW w:w="1305" w:type="dxa"/>
          </w:tcPr>
          <w:p w14:paraId="192D9841" w14:textId="2ADA3652" w:rsidR="008B2A81" w:rsidRDefault="008B2A81" w:rsidP="008B2A81">
            <w:pPr>
              <w:pStyle w:val="TableCentre"/>
            </w:pPr>
            <w:r w:rsidRPr="006C5783">
              <w:t>1.22</w:t>
            </w:r>
          </w:p>
        </w:tc>
        <w:tc>
          <w:tcPr>
            <w:tcW w:w="1134" w:type="dxa"/>
          </w:tcPr>
          <w:p w14:paraId="0536A1D3" w14:textId="1062A84E" w:rsidR="008B2A81" w:rsidRDefault="008B2A81" w:rsidP="008B2A81">
            <w:pPr>
              <w:pStyle w:val="TableCentre"/>
            </w:pPr>
            <w:r w:rsidRPr="006C5783">
              <w:t>338</w:t>
            </w:r>
          </w:p>
        </w:tc>
        <w:tc>
          <w:tcPr>
            <w:tcW w:w="1276" w:type="dxa"/>
          </w:tcPr>
          <w:p w14:paraId="1BEAD593" w14:textId="33DF7AE0" w:rsidR="008B2A81" w:rsidRDefault="008B2A81" w:rsidP="008B2A81">
            <w:pPr>
              <w:pStyle w:val="TableCentre"/>
            </w:pPr>
            <w:r w:rsidRPr="006C5783">
              <w:t>0.13</w:t>
            </w:r>
          </w:p>
        </w:tc>
        <w:tc>
          <w:tcPr>
            <w:tcW w:w="1134" w:type="dxa"/>
          </w:tcPr>
          <w:p w14:paraId="1B102B8A" w14:textId="1F79A23E" w:rsidR="008B2A81" w:rsidRDefault="008B2A81" w:rsidP="008B2A81">
            <w:pPr>
              <w:pStyle w:val="TableCentre"/>
            </w:pPr>
            <w:r w:rsidRPr="006C5783">
              <w:t>37</w:t>
            </w:r>
          </w:p>
        </w:tc>
        <w:tc>
          <w:tcPr>
            <w:tcW w:w="1275" w:type="dxa"/>
          </w:tcPr>
          <w:p w14:paraId="56631D61" w14:textId="1851E736" w:rsidR="008B2A81" w:rsidRDefault="008B2A81" w:rsidP="008B2A81">
            <w:pPr>
              <w:pStyle w:val="TableCentre"/>
            </w:pPr>
            <w:r w:rsidRPr="006C5783">
              <w:t>1.35</w:t>
            </w:r>
          </w:p>
        </w:tc>
        <w:tc>
          <w:tcPr>
            <w:tcW w:w="1276" w:type="dxa"/>
          </w:tcPr>
          <w:p w14:paraId="336B00AF" w14:textId="191FCF6C" w:rsidR="008B2A81" w:rsidRDefault="008B2A81" w:rsidP="008B2A81">
            <w:pPr>
              <w:pStyle w:val="TableCentre"/>
            </w:pPr>
            <w:r w:rsidRPr="006C5783">
              <w:t>375</w:t>
            </w:r>
          </w:p>
        </w:tc>
      </w:tr>
      <w:tr w:rsidR="008B2A81" w:rsidRPr="005A5B60" w14:paraId="7FB9CFEA" w14:textId="77777777" w:rsidTr="00656706">
        <w:tc>
          <w:tcPr>
            <w:tcW w:w="1134" w:type="dxa"/>
          </w:tcPr>
          <w:p w14:paraId="21A26C83" w14:textId="6936FDA0" w:rsidR="008B2A81" w:rsidRDefault="008B2A81" w:rsidP="008B2A81">
            <w:pPr>
              <w:pStyle w:val="TableCentre"/>
            </w:pPr>
            <w:r w:rsidRPr="00B75991">
              <w:t>2009/10</w:t>
            </w:r>
          </w:p>
        </w:tc>
        <w:tc>
          <w:tcPr>
            <w:tcW w:w="1305" w:type="dxa"/>
          </w:tcPr>
          <w:p w14:paraId="6F299FC0" w14:textId="74651CAD" w:rsidR="008B2A81" w:rsidRDefault="008B2A81" w:rsidP="008B2A81">
            <w:pPr>
              <w:pStyle w:val="TableCentre"/>
            </w:pPr>
            <w:r w:rsidRPr="006C5783">
              <w:t>1.22</w:t>
            </w:r>
          </w:p>
        </w:tc>
        <w:tc>
          <w:tcPr>
            <w:tcW w:w="1134" w:type="dxa"/>
          </w:tcPr>
          <w:p w14:paraId="2AE27180" w14:textId="660A0CC2" w:rsidR="008B2A81" w:rsidRDefault="008B2A81" w:rsidP="008B2A81">
            <w:pPr>
              <w:pStyle w:val="TableCentre"/>
            </w:pPr>
            <w:r w:rsidRPr="006C5783">
              <w:t>339</w:t>
            </w:r>
          </w:p>
        </w:tc>
        <w:tc>
          <w:tcPr>
            <w:tcW w:w="1276" w:type="dxa"/>
          </w:tcPr>
          <w:p w14:paraId="4C2912F1" w14:textId="2A986EAE" w:rsidR="008B2A81" w:rsidRDefault="008B2A81" w:rsidP="008B2A81">
            <w:pPr>
              <w:pStyle w:val="TableCentre"/>
            </w:pPr>
            <w:r w:rsidRPr="006C5783">
              <w:t>0.14</w:t>
            </w:r>
          </w:p>
        </w:tc>
        <w:tc>
          <w:tcPr>
            <w:tcW w:w="1134" w:type="dxa"/>
          </w:tcPr>
          <w:p w14:paraId="5EC8806A" w14:textId="34DADAE2" w:rsidR="008B2A81" w:rsidRDefault="008B2A81" w:rsidP="008B2A81">
            <w:pPr>
              <w:pStyle w:val="TableCentre"/>
            </w:pPr>
            <w:r w:rsidRPr="006C5783">
              <w:t>39</w:t>
            </w:r>
          </w:p>
        </w:tc>
        <w:tc>
          <w:tcPr>
            <w:tcW w:w="1275" w:type="dxa"/>
          </w:tcPr>
          <w:p w14:paraId="4CF34CAE" w14:textId="4B0BE97E" w:rsidR="008B2A81" w:rsidRDefault="008B2A81" w:rsidP="008B2A81">
            <w:pPr>
              <w:pStyle w:val="TableCentre"/>
            </w:pPr>
            <w:r w:rsidRPr="006C5783">
              <w:t>1.36</w:t>
            </w:r>
          </w:p>
        </w:tc>
        <w:tc>
          <w:tcPr>
            <w:tcW w:w="1276" w:type="dxa"/>
          </w:tcPr>
          <w:p w14:paraId="2CD197D0" w14:textId="23095500" w:rsidR="008B2A81" w:rsidRDefault="008B2A81" w:rsidP="008B2A81">
            <w:pPr>
              <w:pStyle w:val="TableCentre"/>
            </w:pPr>
            <w:r w:rsidRPr="006C5783">
              <w:t>378</w:t>
            </w:r>
          </w:p>
        </w:tc>
      </w:tr>
      <w:tr w:rsidR="008B2A81" w:rsidRPr="005A5B60" w14:paraId="1DB72232" w14:textId="77777777" w:rsidTr="00656706">
        <w:tc>
          <w:tcPr>
            <w:tcW w:w="1134" w:type="dxa"/>
          </w:tcPr>
          <w:p w14:paraId="166A3D8B" w14:textId="25B032A1" w:rsidR="008B2A81" w:rsidRDefault="008B2A81" w:rsidP="008B2A81">
            <w:pPr>
              <w:pStyle w:val="TableCentre"/>
            </w:pPr>
            <w:r w:rsidRPr="00B75991">
              <w:t>2010/11</w:t>
            </w:r>
          </w:p>
        </w:tc>
        <w:tc>
          <w:tcPr>
            <w:tcW w:w="1305" w:type="dxa"/>
          </w:tcPr>
          <w:p w14:paraId="04C7C8F4" w14:textId="380EACC1" w:rsidR="008B2A81" w:rsidRDefault="008B2A81" w:rsidP="008B2A81">
            <w:pPr>
              <w:pStyle w:val="TableCentre"/>
            </w:pPr>
            <w:r w:rsidRPr="006C5783">
              <w:t>1.20</w:t>
            </w:r>
          </w:p>
        </w:tc>
        <w:tc>
          <w:tcPr>
            <w:tcW w:w="1134" w:type="dxa"/>
          </w:tcPr>
          <w:p w14:paraId="7F74E8BE" w14:textId="26063418" w:rsidR="008B2A81" w:rsidRDefault="008B2A81" w:rsidP="008B2A81">
            <w:pPr>
              <w:pStyle w:val="TableCentre"/>
            </w:pPr>
            <w:r w:rsidRPr="006C5783">
              <w:t>334</w:t>
            </w:r>
          </w:p>
        </w:tc>
        <w:tc>
          <w:tcPr>
            <w:tcW w:w="1276" w:type="dxa"/>
          </w:tcPr>
          <w:p w14:paraId="4311B264" w14:textId="5709373D" w:rsidR="008B2A81" w:rsidRDefault="008B2A81" w:rsidP="008B2A81">
            <w:pPr>
              <w:pStyle w:val="TableCentre"/>
            </w:pPr>
            <w:r w:rsidRPr="006C5783">
              <w:t>0.15</w:t>
            </w:r>
          </w:p>
        </w:tc>
        <w:tc>
          <w:tcPr>
            <w:tcW w:w="1134" w:type="dxa"/>
          </w:tcPr>
          <w:p w14:paraId="18F5796D" w14:textId="1798F3AF" w:rsidR="008B2A81" w:rsidRDefault="008B2A81" w:rsidP="008B2A81">
            <w:pPr>
              <w:pStyle w:val="TableCentre"/>
            </w:pPr>
            <w:r w:rsidRPr="006C5783">
              <w:t>42</w:t>
            </w:r>
          </w:p>
        </w:tc>
        <w:tc>
          <w:tcPr>
            <w:tcW w:w="1275" w:type="dxa"/>
          </w:tcPr>
          <w:p w14:paraId="1C400EEF" w14:textId="61C92FDA" w:rsidR="008B2A81" w:rsidRDefault="008B2A81" w:rsidP="008B2A81">
            <w:pPr>
              <w:pStyle w:val="TableCentre"/>
            </w:pPr>
            <w:r w:rsidRPr="006C5783">
              <w:t>1.35</w:t>
            </w:r>
          </w:p>
        </w:tc>
        <w:tc>
          <w:tcPr>
            <w:tcW w:w="1276" w:type="dxa"/>
          </w:tcPr>
          <w:p w14:paraId="6089B379" w14:textId="7E3DAFA2" w:rsidR="008B2A81" w:rsidRDefault="008B2A81" w:rsidP="008B2A81">
            <w:pPr>
              <w:pStyle w:val="TableCentre"/>
            </w:pPr>
            <w:r w:rsidRPr="006C5783">
              <w:t>376</w:t>
            </w:r>
          </w:p>
        </w:tc>
      </w:tr>
      <w:tr w:rsidR="008B2A81" w:rsidRPr="005A5B60" w14:paraId="1577C404" w14:textId="77777777" w:rsidTr="00656706">
        <w:tc>
          <w:tcPr>
            <w:tcW w:w="1134" w:type="dxa"/>
          </w:tcPr>
          <w:p w14:paraId="15A78799" w14:textId="27BA4F1C" w:rsidR="008B2A81" w:rsidRDefault="008B2A81" w:rsidP="008B2A81">
            <w:pPr>
              <w:pStyle w:val="TableCentre"/>
            </w:pPr>
            <w:r w:rsidRPr="00B75991">
              <w:t>2011/12</w:t>
            </w:r>
          </w:p>
        </w:tc>
        <w:tc>
          <w:tcPr>
            <w:tcW w:w="1305" w:type="dxa"/>
          </w:tcPr>
          <w:p w14:paraId="5709AB3C" w14:textId="1F87DA35" w:rsidR="008B2A81" w:rsidRDefault="008B2A81" w:rsidP="008B2A81">
            <w:pPr>
              <w:pStyle w:val="TableCentre"/>
            </w:pPr>
            <w:r w:rsidRPr="006C5783">
              <w:t>1.19</w:t>
            </w:r>
          </w:p>
        </w:tc>
        <w:tc>
          <w:tcPr>
            <w:tcW w:w="1134" w:type="dxa"/>
          </w:tcPr>
          <w:p w14:paraId="28FAEE8C" w14:textId="39CADC93" w:rsidR="008B2A81" w:rsidRDefault="008B2A81" w:rsidP="008B2A81">
            <w:pPr>
              <w:pStyle w:val="TableCentre"/>
            </w:pPr>
            <w:r w:rsidRPr="006C5783">
              <w:t>330</w:t>
            </w:r>
          </w:p>
        </w:tc>
        <w:tc>
          <w:tcPr>
            <w:tcW w:w="1276" w:type="dxa"/>
          </w:tcPr>
          <w:p w14:paraId="3D9E2ADB" w14:textId="367CCB85" w:rsidR="008B2A81" w:rsidRDefault="008B2A81" w:rsidP="008B2A81">
            <w:pPr>
              <w:pStyle w:val="TableCentre"/>
            </w:pPr>
            <w:r w:rsidRPr="006C5783">
              <w:t>0.15</w:t>
            </w:r>
          </w:p>
        </w:tc>
        <w:tc>
          <w:tcPr>
            <w:tcW w:w="1134" w:type="dxa"/>
          </w:tcPr>
          <w:p w14:paraId="77DEDDA9" w14:textId="6C98782B" w:rsidR="008B2A81" w:rsidRDefault="008B2A81" w:rsidP="008B2A81">
            <w:pPr>
              <w:pStyle w:val="TableCentre"/>
            </w:pPr>
            <w:r w:rsidRPr="006C5783">
              <w:t>42</w:t>
            </w:r>
          </w:p>
        </w:tc>
        <w:tc>
          <w:tcPr>
            <w:tcW w:w="1275" w:type="dxa"/>
          </w:tcPr>
          <w:p w14:paraId="3BEA8EE3" w14:textId="3046F512" w:rsidR="008B2A81" w:rsidRDefault="008B2A81" w:rsidP="008B2A81">
            <w:pPr>
              <w:pStyle w:val="TableCentre"/>
            </w:pPr>
            <w:r w:rsidRPr="006C5783">
              <w:t>1.34</w:t>
            </w:r>
          </w:p>
        </w:tc>
        <w:tc>
          <w:tcPr>
            <w:tcW w:w="1276" w:type="dxa"/>
          </w:tcPr>
          <w:p w14:paraId="307862EC" w14:textId="2D34794C" w:rsidR="008B2A81" w:rsidRDefault="008B2A81" w:rsidP="008B2A81">
            <w:pPr>
              <w:pStyle w:val="TableCentre"/>
            </w:pPr>
            <w:r w:rsidRPr="006C5783">
              <w:t>371</w:t>
            </w:r>
          </w:p>
        </w:tc>
      </w:tr>
      <w:tr w:rsidR="008B2A81" w:rsidRPr="005A5B60" w14:paraId="64EC8A5B" w14:textId="77777777" w:rsidTr="00656706">
        <w:tc>
          <w:tcPr>
            <w:tcW w:w="1134" w:type="dxa"/>
          </w:tcPr>
          <w:p w14:paraId="2EA77D7C" w14:textId="265C5A27" w:rsidR="008B2A81" w:rsidRDefault="008B2A81" w:rsidP="008B2A81">
            <w:pPr>
              <w:pStyle w:val="TableCentre"/>
            </w:pPr>
            <w:r w:rsidRPr="00B75991">
              <w:t>2012/13</w:t>
            </w:r>
          </w:p>
        </w:tc>
        <w:tc>
          <w:tcPr>
            <w:tcW w:w="1305" w:type="dxa"/>
          </w:tcPr>
          <w:p w14:paraId="6A85C214" w14:textId="511E3692" w:rsidR="008B2A81" w:rsidRDefault="008B2A81" w:rsidP="008B2A81">
            <w:pPr>
              <w:pStyle w:val="TableCentre"/>
            </w:pPr>
            <w:r w:rsidRPr="006C5783">
              <w:t>1.18</w:t>
            </w:r>
          </w:p>
        </w:tc>
        <w:tc>
          <w:tcPr>
            <w:tcW w:w="1134" w:type="dxa"/>
          </w:tcPr>
          <w:p w14:paraId="287376C6" w14:textId="0F205057" w:rsidR="008B2A81" w:rsidRDefault="008B2A81" w:rsidP="008B2A81">
            <w:pPr>
              <w:pStyle w:val="TableCentre"/>
            </w:pPr>
            <w:r w:rsidRPr="006C5783">
              <w:t>329</w:t>
            </w:r>
          </w:p>
        </w:tc>
        <w:tc>
          <w:tcPr>
            <w:tcW w:w="1276" w:type="dxa"/>
          </w:tcPr>
          <w:p w14:paraId="70A046EB" w14:textId="65B6D027" w:rsidR="008B2A81" w:rsidRDefault="008B2A81" w:rsidP="008B2A81">
            <w:pPr>
              <w:pStyle w:val="TableCentre"/>
            </w:pPr>
            <w:r w:rsidRPr="006C5783">
              <w:t>0.15</w:t>
            </w:r>
          </w:p>
        </w:tc>
        <w:tc>
          <w:tcPr>
            <w:tcW w:w="1134" w:type="dxa"/>
          </w:tcPr>
          <w:p w14:paraId="4FCDA007" w14:textId="315C4B00" w:rsidR="008B2A81" w:rsidRDefault="008B2A81" w:rsidP="008B2A81">
            <w:pPr>
              <w:pStyle w:val="TableCentre"/>
            </w:pPr>
            <w:r w:rsidRPr="006C5783">
              <w:t>43</w:t>
            </w:r>
          </w:p>
        </w:tc>
        <w:tc>
          <w:tcPr>
            <w:tcW w:w="1275" w:type="dxa"/>
          </w:tcPr>
          <w:p w14:paraId="1E8113B9" w14:textId="3CB608E1" w:rsidR="008B2A81" w:rsidRDefault="008B2A81" w:rsidP="008B2A81">
            <w:pPr>
              <w:pStyle w:val="TableCentre"/>
            </w:pPr>
            <w:r w:rsidRPr="006C5783">
              <w:t>1.34</w:t>
            </w:r>
          </w:p>
        </w:tc>
        <w:tc>
          <w:tcPr>
            <w:tcW w:w="1276" w:type="dxa"/>
          </w:tcPr>
          <w:p w14:paraId="58DE5841" w14:textId="2E7F7D53" w:rsidR="008B2A81" w:rsidRDefault="008B2A81" w:rsidP="008B2A81">
            <w:pPr>
              <w:pStyle w:val="TableCentre"/>
            </w:pPr>
            <w:r w:rsidRPr="006C5783">
              <w:t>372</w:t>
            </w:r>
          </w:p>
        </w:tc>
      </w:tr>
      <w:tr w:rsidR="008B2A81" w:rsidRPr="005A5B60" w14:paraId="64148C38" w14:textId="77777777" w:rsidTr="00656706">
        <w:tc>
          <w:tcPr>
            <w:tcW w:w="1134" w:type="dxa"/>
          </w:tcPr>
          <w:p w14:paraId="6184AF9B" w14:textId="6995749C" w:rsidR="008B2A81" w:rsidRDefault="008B2A81" w:rsidP="008B2A81">
            <w:pPr>
              <w:pStyle w:val="TableCentre"/>
            </w:pPr>
            <w:r w:rsidRPr="00B75991">
              <w:t>2013/14</w:t>
            </w:r>
          </w:p>
        </w:tc>
        <w:tc>
          <w:tcPr>
            <w:tcW w:w="1305" w:type="dxa"/>
          </w:tcPr>
          <w:p w14:paraId="3A51B263" w14:textId="6BF7ADF8" w:rsidR="008B2A81" w:rsidRDefault="008B2A81" w:rsidP="008B2A81">
            <w:pPr>
              <w:pStyle w:val="TableCentre"/>
            </w:pPr>
            <w:r w:rsidRPr="006C5783">
              <w:t>1.16</w:t>
            </w:r>
          </w:p>
        </w:tc>
        <w:tc>
          <w:tcPr>
            <w:tcW w:w="1134" w:type="dxa"/>
          </w:tcPr>
          <w:p w14:paraId="6B355B13" w14:textId="1F89E5B5" w:rsidR="008B2A81" w:rsidRDefault="008B2A81" w:rsidP="008B2A81">
            <w:pPr>
              <w:pStyle w:val="TableCentre"/>
            </w:pPr>
            <w:r w:rsidRPr="006C5783">
              <w:t>322</w:t>
            </w:r>
          </w:p>
        </w:tc>
        <w:tc>
          <w:tcPr>
            <w:tcW w:w="1276" w:type="dxa"/>
          </w:tcPr>
          <w:p w14:paraId="78F3E34E" w14:textId="4F7FAE3B" w:rsidR="008B2A81" w:rsidRDefault="008B2A81" w:rsidP="008B2A81">
            <w:pPr>
              <w:pStyle w:val="TableCentre"/>
            </w:pPr>
            <w:r w:rsidRPr="006C5783">
              <w:t>0.14</w:t>
            </w:r>
          </w:p>
        </w:tc>
        <w:tc>
          <w:tcPr>
            <w:tcW w:w="1134" w:type="dxa"/>
          </w:tcPr>
          <w:p w14:paraId="3F642DD5" w14:textId="2E9A7012" w:rsidR="008B2A81" w:rsidRDefault="008B2A81" w:rsidP="008B2A81">
            <w:pPr>
              <w:pStyle w:val="TableCentre"/>
            </w:pPr>
            <w:r w:rsidRPr="006C5783">
              <w:t>40</w:t>
            </w:r>
          </w:p>
        </w:tc>
        <w:tc>
          <w:tcPr>
            <w:tcW w:w="1275" w:type="dxa"/>
          </w:tcPr>
          <w:p w14:paraId="013F2005" w14:textId="6AEE21BC" w:rsidR="008B2A81" w:rsidRDefault="008B2A81" w:rsidP="008B2A81">
            <w:pPr>
              <w:pStyle w:val="TableCentre"/>
            </w:pPr>
            <w:r w:rsidRPr="006C5783">
              <w:t>1.30</w:t>
            </w:r>
          </w:p>
        </w:tc>
        <w:tc>
          <w:tcPr>
            <w:tcW w:w="1276" w:type="dxa"/>
          </w:tcPr>
          <w:p w14:paraId="6DBC18E9" w14:textId="7631796B" w:rsidR="008B2A81" w:rsidRDefault="008B2A81" w:rsidP="008B2A81">
            <w:pPr>
              <w:pStyle w:val="TableCentre"/>
            </w:pPr>
            <w:r w:rsidRPr="006C5783">
              <w:t>362</w:t>
            </w:r>
          </w:p>
        </w:tc>
      </w:tr>
      <w:tr w:rsidR="008B2A81" w:rsidRPr="005A5B60" w14:paraId="7948582C" w14:textId="77777777" w:rsidTr="00656706">
        <w:tc>
          <w:tcPr>
            <w:tcW w:w="1134" w:type="dxa"/>
          </w:tcPr>
          <w:p w14:paraId="1ACAB3B1" w14:textId="1AF327D6" w:rsidR="008B2A81" w:rsidRPr="00B75991" w:rsidRDefault="008B2A81" w:rsidP="008B2A81">
            <w:pPr>
              <w:pStyle w:val="TableCentre"/>
            </w:pPr>
            <w:r>
              <w:t>2014/15</w:t>
            </w:r>
          </w:p>
        </w:tc>
        <w:tc>
          <w:tcPr>
            <w:tcW w:w="1305" w:type="dxa"/>
          </w:tcPr>
          <w:p w14:paraId="6D5C5A79" w14:textId="08C9DC4E" w:rsidR="008B2A81" w:rsidRPr="006F7A0D" w:rsidRDefault="008B2A81" w:rsidP="008B2A81">
            <w:pPr>
              <w:pStyle w:val="TableCentre"/>
            </w:pPr>
            <w:r w:rsidRPr="006C5783">
              <w:t>1.12</w:t>
            </w:r>
          </w:p>
        </w:tc>
        <w:tc>
          <w:tcPr>
            <w:tcW w:w="1134" w:type="dxa"/>
          </w:tcPr>
          <w:p w14:paraId="0B07D79C" w14:textId="21DAA4CD" w:rsidR="008B2A81" w:rsidRPr="006F7A0D" w:rsidRDefault="008B2A81" w:rsidP="008B2A81">
            <w:pPr>
              <w:pStyle w:val="TableCentre"/>
            </w:pPr>
            <w:r w:rsidRPr="006C5783">
              <w:t>312</w:t>
            </w:r>
          </w:p>
        </w:tc>
        <w:tc>
          <w:tcPr>
            <w:tcW w:w="1276" w:type="dxa"/>
          </w:tcPr>
          <w:p w14:paraId="46E734B1" w14:textId="47FC7A6C" w:rsidR="008B2A81" w:rsidRPr="006F7A0D" w:rsidRDefault="008B2A81" w:rsidP="008B2A81">
            <w:pPr>
              <w:pStyle w:val="TableCentre"/>
            </w:pPr>
            <w:r w:rsidRPr="006C5783">
              <w:t>0.12</w:t>
            </w:r>
          </w:p>
        </w:tc>
        <w:tc>
          <w:tcPr>
            <w:tcW w:w="1134" w:type="dxa"/>
          </w:tcPr>
          <w:p w14:paraId="2EDD4CE8" w14:textId="36900A72" w:rsidR="008B2A81" w:rsidRPr="006F7A0D" w:rsidRDefault="008B2A81" w:rsidP="008B2A81">
            <w:pPr>
              <w:pStyle w:val="TableCentre"/>
            </w:pPr>
            <w:r w:rsidRPr="006C5783">
              <w:t>34</w:t>
            </w:r>
          </w:p>
        </w:tc>
        <w:tc>
          <w:tcPr>
            <w:tcW w:w="1275" w:type="dxa"/>
          </w:tcPr>
          <w:p w14:paraId="7ADC3B9E" w14:textId="4EED7B00" w:rsidR="008B2A81" w:rsidRPr="006F7A0D" w:rsidRDefault="008B2A81" w:rsidP="008B2A81">
            <w:pPr>
              <w:pStyle w:val="TableCentre"/>
            </w:pPr>
            <w:r w:rsidRPr="006C5783">
              <w:t>1.25</w:t>
            </w:r>
          </w:p>
        </w:tc>
        <w:tc>
          <w:tcPr>
            <w:tcW w:w="1276" w:type="dxa"/>
          </w:tcPr>
          <w:p w14:paraId="6DE80658" w14:textId="106C0471" w:rsidR="008B2A81" w:rsidRPr="006F7A0D" w:rsidRDefault="008B2A81" w:rsidP="008B2A81">
            <w:pPr>
              <w:pStyle w:val="TableCentre"/>
            </w:pPr>
            <w:r w:rsidRPr="006C5783">
              <w:t>346</w:t>
            </w:r>
          </w:p>
        </w:tc>
      </w:tr>
      <w:tr w:rsidR="008B2A81" w:rsidRPr="005A5B60" w14:paraId="0C247869" w14:textId="77777777" w:rsidTr="00656706">
        <w:tc>
          <w:tcPr>
            <w:tcW w:w="1134" w:type="dxa"/>
          </w:tcPr>
          <w:p w14:paraId="0354232E" w14:textId="3B06D6D2" w:rsidR="008B2A81" w:rsidRDefault="008B2A81" w:rsidP="008B2A81">
            <w:pPr>
              <w:pStyle w:val="TableCentre"/>
            </w:pPr>
            <w:r w:rsidRPr="00B75991">
              <w:t>Latest Estimate</w:t>
            </w:r>
          </w:p>
        </w:tc>
        <w:tc>
          <w:tcPr>
            <w:tcW w:w="1305" w:type="dxa"/>
          </w:tcPr>
          <w:p w14:paraId="4DD63F3A" w14:textId="630BFB4D" w:rsidR="008B2A81" w:rsidRDefault="008B2A81" w:rsidP="008B2A81">
            <w:pPr>
              <w:pStyle w:val="TableCentre"/>
            </w:pPr>
            <w:r w:rsidRPr="006C5783">
              <w:t>1.08</w:t>
            </w:r>
          </w:p>
        </w:tc>
        <w:tc>
          <w:tcPr>
            <w:tcW w:w="1134" w:type="dxa"/>
          </w:tcPr>
          <w:p w14:paraId="2F4471A9" w14:textId="5DB49582" w:rsidR="008B2A81" w:rsidRDefault="008B2A81" w:rsidP="008B2A81">
            <w:pPr>
              <w:pStyle w:val="TableCentre"/>
            </w:pPr>
            <w:r w:rsidRPr="006C5783">
              <w:t>301</w:t>
            </w:r>
          </w:p>
        </w:tc>
        <w:tc>
          <w:tcPr>
            <w:tcW w:w="1276" w:type="dxa"/>
          </w:tcPr>
          <w:p w14:paraId="6FC925DA" w14:textId="73D88293" w:rsidR="008B2A81" w:rsidRDefault="008B2A81" w:rsidP="008B2A81">
            <w:pPr>
              <w:pStyle w:val="TableCentre"/>
            </w:pPr>
            <w:r w:rsidRPr="006C5783">
              <w:t>0.10</w:t>
            </w:r>
          </w:p>
        </w:tc>
        <w:tc>
          <w:tcPr>
            <w:tcW w:w="1134" w:type="dxa"/>
          </w:tcPr>
          <w:p w14:paraId="12BE04A6" w14:textId="54164640" w:rsidR="008B2A81" w:rsidRDefault="008B2A81" w:rsidP="008B2A81">
            <w:pPr>
              <w:pStyle w:val="TableCentre"/>
            </w:pPr>
            <w:r w:rsidRPr="006C5783">
              <w:t>28</w:t>
            </w:r>
          </w:p>
        </w:tc>
        <w:tc>
          <w:tcPr>
            <w:tcW w:w="1275" w:type="dxa"/>
          </w:tcPr>
          <w:p w14:paraId="1EC50FE0" w14:textId="7591E109" w:rsidR="008B2A81" w:rsidRDefault="008B2A81" w:rsidP="008B2A81">
            <w:pPr>
              <w:pStyle w:val="TableCentre"/>
            </w:pPr>
            <w:r w:rsidRPr="006C5783">
              <w:t>1.18</w:t>
            </w:r>
          </w:p>
        </w:tc>
        <w:tc>
          <w:tcPr>
            <w:tcW w:w="1276" w:type="dxa"/>
          </w:tcPr>
          <w:p w14:paraId="3132FD19" w14:textId="6205B465" w:rsidR="008B2A81" w:rsidRDefault="008B2A81" w:rsidP="008B2A81">
            <w:pPr>
              <w:pStyle w:val="TableCentre"/>
            </w:pPr>
            <w:r w:rsidRPr="006C5783">
              <w:t>329</w:t>
            </w:r>
          </w:p>
        </w:tc>
      </w:tr>
      <w:tr w:rsidR="00C466CC" w:rsidRPr="005A5B60" w14:paraId="288F430F" w14:textId="77777777" w:rsidTr="00656706">
        <w:trPr>
          <w:cantSplit/>
        </w:trPr>
        <w:tc>
          <w:tcPr>
            <w:tcW w:w="8534" w:type="dxa"/>
            <w:gridSpan w:val="7"/>
            <w:shd w:val="pct15" w:color="auto" w:fill="auto"/>
          </w:tcPr>
          <w:p w14:paraId="6E2BFCD4" w14:textId="77777777" w:rsidR="00C466CC" w:rsidRPr="005A5B60" w:rsidRDefault="00C466CC">
            <w:pPr>
              <w:pStyle w:val="Table"/>
              <w:rPr>
                <w:b/>
                <w:bCs/>
                <w:sz w:val="18"/>
                <w:szCs w:val="18"/>
              </w:rPr>
            </w:pPr>
            <w:r w:rsidRPr="005A5B60">
              <w:rPr>
                <w:b/>
                <w:bCs/>
                <w:sz w:val="18"/>
                <w:szCs w:val="18"/>
              </w:rPr>
              <w:t>QUEENSLAND</w:t>
            </w:r>
          </w:p>
        </w:tc>
      </w:tr>
      <w:tr w:rsidR="00C466CC" w:rsidRPr="005A5B60" w14:paraId="7AB5CAB2" w14:textId="77777777" w:rsidTr="00656706">
        <w:tc>
          <w:tcPr>
            <w:tcW w:w="1134" w:type="dxa"/>
          </w:tcPr>
          <w:p w14:paraId="1B0C5B9C" w14:textId="77777777" w:rsidR="008B7F00" w:rsidRDefault="00B75991">
            <w:pPr>
              <w:pStyle w:val="TableCentre"/>
            </w:pPr>
            <w:r w:rsidRPr="00B75991">
              <w:t>1989/90</w:t>
            </w:r>
          </w:p>
        </w:tc>
        <w:tc>
          <w:tcPr>
            <w:tcW w:w="1305" w:type="dxa"/>
            <w:vAlign w:val="bottom"/>
          </w:tcPr>
          <w:p w14:paraId="44233C40" w14:textId="77777777" w:rsidR="008B63D8" w:rsidRDefault="00C466CC">
            <w:pPr>
              <w:pStyle w:val="TableCentre"/>
            </w:pPr>
            <w:r w:rsidRPr="005F1CBF">
              <w:t>0.94</w:t>
            </w:r>
          </w:p>
        </w:tc>
        <w:tc>
          <w:tcPr>
            <w:tcW w:w="1134" w:type="dxa"/>
            <w:vAlign w:val="bottom"/>
          </w:tcPr>
          <w:p w14:paraId="16CB2F28" w14:textId="77777777" w:rsidR="008B63D8" w:rsidRDefault="00C466CC">
            <w:pPr>
              <w:pStyle w:val="TableCentre"/>
            </w:pPr>
            <w:r>
              <w:t>261</w:t>
            </w:r>
          </w:p>
        </w:tc>
        <w:tc>
          <w:tcPr>
            <w:tcW w:w="1276" w:type="dxa"/>
            <w:vAlign w:val="bottom"/>
          </w:tcPr>
          <w:p w14:paraId="0BDCC516" w14:textId="77777777" w:rsidR="008B63D8" w:rsidRDefault="00C466CC">
            <w:pPr>
              <w:pStyle w:val="TableCentre"/>
            </w:pPr>
            <w:r w:rsidRPr="005F1CBF">
              <w:t>0.13</w:t>
            </w:r>
          </w:p>
        </w:tc>
        <w:tc>
          <w:tcPr>
            <w:tcW w:w="1134" w:type="dxa"/>
            <w:vAlign w:val="bottom"/>
          </w:tcPr>
          <w:p w14:paraId="2F818F45" w14:textId="77777777" w:rsidR="008B63D8" w:rsidRDefault="00C466CC">
            <w:pPr>
              <w:pStyle w:val="TableCentre"/>
            </w:pPr>
            <w:r>
              <w:t>36</w:t>
            </w:r>
          </w:p>
        </w:tc>
        <w:tc>
          <w:tcPr>
            <w:tcW w:w="1275" w:type="dxa"/>
          </w:tcPr>
          <w:p w14:paraId="18621F56" w14:textId="77777777" w:rsidR="008B63D8" w:rsidRPr="008B63D8" w:rsidRDefault="00C466CC">
            <w:pPr>
              <w:pStyle w:val="TableCentre"/>
            </w:pPr>
            <w:r w:rsidRPr="00674270">
              <w:t>1.0</w:t>
            </w:r>
            <w:r>
              <w:t>7</w:t>
            </w:r>
          </w:p>
        </w:tc>
        <w:tc>
          <w:tcPr>
            <w:tcW w:w="1276" w:type="dxa"/>
          </w:tcPr>
          <w:p w14:paraId="0758F4D9" w14:textId="0FE67105" w:rsidR="008B63D8" w:rsidRDefault="00C466CC">
            <w:pPr>
              <w:pStyle w:val="TableCentre"/>
            </w:pPr>
            <w:r>
              <w:t>29</w:t>
            </w:r>
            <w:r w:rsidR="008B2A81">
              <w:t>7</w:t>
            </w:r>
          </w:p>
        </w:tc>
      </w:tr>
      <w:tr w:rsidR="00C466CC" w:rsidRPr="005A5B60" w14:paraId="5291C7C6" w14:textId="77777777" w:rsidTr="00656706">
        <w:tc>
          <w:tcPr>
            <w:tcW w:w="1134" w:type="dxa"/>
          </w:tcPr>
          <w:p w14:paraId="2B2E12C4" w14:textId="77777777" w:rsidR="008B7F00" w:rsidRDefault="00B75991">
            <w:pPr>
              <w:pStyle w:val="TableCentre"/>
            </w:pPr>
            <w:r w:rsidRPr="00B75991">
              <w:t>1994/95</w:t>
            </w:r>
          </w:p>
        </w:tc>
        <w:tc>
          <w:tcPr>
            <w:tcW w:w="1305" w:type="dxa"/>
            <w:vAlign w:val="bottom"/>
          </w:tcPr>
          <w:p w14:paraId="2192A5AC" w14:textId="77777777" w:rsidR="008B63D8" w:rsidRDefault="00C466CC">
            <w:pPr>
              <w:pStyle w:val="TableCentre"/>
            </w:pPr>
            <w:r w:rsidRPr="005F1CBF">
              <w:t>0.94</w:t>
            </w:r>
          </w:p>
        </w:tc>
        <w:tc>
          <w:tcPr>
            <w:tcW w:w="1134" w:type="dxa"/>
            <w:vAlign w:val="bottom"/>
          </w:tcPr>
          <w:p w14:paraId="11EA815E" w14:textId="77777777" w:rsidR="008B63D8" w:rsidRDefault="00C466CC">
            <w:pPr>
              <w:pStyle w:val="TableCentre"/>
            </w:pPr>
            <w:r>
              <w:t>262</w:t>
            </w:r>
          </w:p>
        </w:tc>
        <w:tc>
          <w:tcPr>
            <w:tcW w:w="1276" w:type="dxa"/>
            <w:vAlign w:val="bottom"/>
          </w:tcPr>
          <w:p w14:paraId="6C71AA5E" w14:textId="77777777" w:rsidR="008B63D8" w:rsidRDefault="00C466CC">
            <w:pPr>
              <w:pStyle w:val="TableCentre"/>
            </w:pPr>
            <w:r w:rsidRPr="005F1CBF">
              <w:t>0.13</w:t>
            </w:r>
          </w:p>
        </w:tc>
        <w:tc>
          <w:tcPr>
            <w:tcW w:w="1134" w:type="dxa"/>
            <w:vAlign w:val="bottom"/>
          </w:tcPr>
          <w:p w14:paraId="5FA1D354" w14:textId="77777777" w:rsidR="008B63D8" w:rsidRDefault="00C466CC">
            <w:pPr>
              <w:pStyle w:val="TableCentre"/>
            </w:pPr>
            <w:r>
              <w:t>36</w:t>
            </w:r>
          </w:p>
        </w:tc>
        <w:tc>
          <w:tcPr>
            <w:tcW w:w="1275" w:type="dxa"/>
          </w:tcPr>
          <w:p w14:paraId="5E352F08" w14:textId="77777777" w:rsidR="008B63D8" w:rsidRPr="008B63D8" w:rsidRDefault="00C466CC">
            <w:pPr>
              <w:pStyle w:val="TableCentre"/>
            </w:pPr>
            <w:r w:rsidRPr="00674270">
              <w:t>1.</w:t>
            </w:r>
            <w:r>
              <w:t>07</w:t>
            </w:r>
          </w:p>
        </w:tc>
        <w:tc>
          <w:tcPr>
            <w:tcW w:w="1276" w:type="dxa"/>
          </w:tcPr>
          <w:p w14:paraId="395A26DD" w14:textId="77777777" w:rsidR="008B63D8" w:rsidRDefault="00C466CC">
            <w:pPr>
              <w:pStyle w:val="TableCentre"/>
            </w:pPr>
            <w:r>
              <w:t>298</w:t>
            </w:r>
          </w:p>
        </w:tc>
      </w:tr>
      <w:tr w:rsidR="008B2A81" w:rsidRPr="005A5B60" w14:paraId="33FF1E1A" w14:textId="77777777" w:rsidTr="00656706">
        <w:tc>
          <w:tcPr>
            <w:tcW w:w="1134" w:type="dxa"/>
          </w:tcPr>
          <w:p w14:paraId="3DA9C874" w14:textId="77777777" w:rsidR="008B2A81" w:rsidRDefault="008B2A81" w:rsidP="008B2A81">
            <w:pPr>
              <w:pStyle w:val="TableCentre"/>
            </w:pPr>
            <w:r w:rsidRPr="00B75991">
              <w:t>1999/2000</w:t>
            </w:r>
          </w:p>
        </w:tc>
        <w:tc>
          <w:tcPr>
            <w:tcW w:w="1305" w:type="dxa"/>
          </w:tcPr>
          <w:p w14:paraId="357BD598" w14:textId="168A76A1" w:rsidR="008B2A81" w:rsidRDefault="008B2A81" w:rsidP="008B2A81">
            <w:pPr>
              <w:pStyle w:val="TableCentre"/>
            </w:pPr>
            <w:r w:rsidRPr="00F96FBB">
              <w:t>0.91</w:t>
            </w:r>
          </w:p>
        </w:tc>
        <w:tc>
          <w:tcPr>
            <w:tcW w:w="1134" w:type="dxa"/>
          </w:tcPr>
          <w:p w14:paraId="6ABDFEAF" w14:textId="58F5BF9A" w:rsidR="008B2A81" w:rsidRDefault="008B2A81" w:rsidP="008B2A81">
            <w:pPr>
              <w:pStyle w:val="TableCentre"/>
            </w:pPr>
            <w:r w:rsidRPr="00F96FBB">
              <w:t>252</w:t>
            </w:r>
          </w:p>
        </w:tc>
        <w:tc>
          <w:tcPr>
            <w:tcW w:w="1276" w:type="dxa"/>
          </w:tcPr>
          <w:p w14:paraId="15E070F2" w14:textId="66C44ADD" w:rsidR="008B2A81" w:rsidRDefault="008B2A81" w:rsidP="008B2A81">
            <w:pPr>
              <w:pStyle w:val="TableCentre"/>
            </w:pPr>
            <w:r w:rsidRPr="00F96FBB">
              <w:t>0.14</w:t>
            </w:r>
          </w:p>
        </w:tc>
        <w:tc>
          <w:tcPr>
            <w:tcW w:w="1134" w:type="dxa"/>
          </w:tcPr>
          <w:p w14:paraId="5E59A092" w14:textId="1378EAE9" w:rsidR="008B2A81" w:rsidRDefault="008B2A81" w:rsidP="008B2A81">
            <w:pPr>
              <w:pStyle w:val="TableCentre"/>
            </w:pPr>
            <w:r w:rsidRPr="00F96FBB">
              <w:t>38</w:t>
            </w:r>
          </w:p>
        </w:tc>
        <w:tc>
          <w:tcPr>
            <w:tcW w:w="1275" w:type="dxa"/>
          </w:tcPr>
          <w:p w14:paraId="2F71E4C5" w14:textId="343E1782" w:rsidR="008B2A81" w:rsidRDefault="008B2A81" w:rsidP="008B2A81">
            <w:pPr>
              <w:pStyle w:val="TableCentre"/>
            </w:pPr>
            <w:r w:rsidRPr="00F96FBB">
              <w:t>1.04</w:t>
            </w:r>
          </w:p>
        </w:tc>
        <w:tc>
          <w:tcPr>
            <w:tcW w:w="1276" w:type="dxa"/>
          </w:tcPr>
          <w:p w14:paraId="3F622A57" w14:textId="4D18ABA5" w:rsidR="008B2A81" w:rsidRDefault="008B2A81" w:rsidP="008B2A81">
            <w:pPr>
              <w:pStyle w:val="TableCentre"/>
            </w:pPr>
            <w:r w:rsidRPr="00F96FBB">
              <w:t>290</w:t>
            </w:r>
          </w:p>
        </w:tc>
      </w:tr>
      <w:tr w:rsidR="008B2A81" w:rsidRPr="005A5B60" w14:paraId="756D37AB" w14:textId="77777777" w:rsidTr="00656706">
        <w:tc>
          <w:tcPr>
            <w:tcW w:w="1134" w:type="dxa"/>
          </w:tcPr>
          <w:p w14:paraId="5D32A4C2" w14:textId="77777777" w:rsidR="008B2A81" w:rsidRDefault="008B2A81" w:rsidP="008B2A81">
            <w:pPr>
              <w:pStyle w:val="TableCentre"/>
            </w:pPr>
            <w:r w:rsidRPr="00B75991">
              <w:t>2004/05</w:t>
            </w:r>
          </w:p>
        </w:tc>
        <w:tc>
          <w:tcPr>
            <w:tcW w:w="1305" w:type="dxa"/>
          </w:tcPr>
          <w:p w14:paraId="7AE79418" w14:textId="467DB57A" w:rsidR="008B2A81" w:rsidRDefault="008B2A81" w:rsidP="008B2A81">
            <w:pPr>
              <w:pStyle w:val="TableCentre"/>
            </w:pPr>
            <w:r w:rsidRPr="007177BB">
              <w:t>0.88</w:t>
            </w:r>
          </w:p>
        </w:tc>
        <w:tc>
          <w:tcPr>
            <w:tcW w:w="1134" w:type="dxa"/>
          </w:tcPr>
          <w:p w14:paraId="212952F5" w14:textId="5FA7EFAC" w:rsidR="008B2A81" w:rsidRDefault="008B2A81" w:rsidP="008B2A81">
            <w:pPr>
              <w:pStyle w:val="TableCentre"/>
            </w:pPr>
            <w:r w:rsidRPr="007177BB">
              <w:t>244</w:t>
            </w:r>
          </w:p>
        </w:tc>
        <w:tc>
          <w:tcPr>
            <w:tcW w:w="1276" w:type="dxa"/>
          </w:tcPr>
          <w:p w14:paraId="49604CC2" w14:textId="48A277F8" w:rsidR="008B2A81" w:rsidRDefault="008B2A81" w:rsidP="008B2A81">
            <w:pPr>
              <w:pStyle w:val="TableCentre"/>
            </w:pPr>
            <w:r w:rsidRPr="007177BB">
              <w:t>0.12</w:t>
            </w:r>
          </w:p>
        </w:tc>
        <w:tc>
          <w:tcPr>
            <w:tcW w:w="1134" w:type="dxa"/>
          </w:tcPr>
          <w:p w14:paraId="0E6D7A75" w14:textId="1BE140CF" w:rsidR="008B2A81" w:rsidRDefault="008B2A81" w:rsidP="008B2A81">
            <w:pPr>
              <w:pStyle w:val="TableCentre"/>
            </w:pPr>
            <w:r w:rsidRPr="007177BB">
              <w:t>32</w:t>
            </w:r>
          </w:p>
        </w:tc>
        <w:tc>
          <w:tcPr>
            <w:tcW w:w="1275" w:type="dxa"/>
          </w:tcPr>
          <w:p w14:paraId="18FF9507" w14:textId="2B800544" w:rsidR="008B2A81" w:rsidRDefault="008B2A81" w:rsidP="008B2A81">
            <w:pPr>
              <w:pStyle w:val="TableCentre"/>
            </w:pPr>
            <w:r w:rsidRPr="007177BB">
              <w:t>1.00</w:t>
            </w:r>
          </w:p>
        </w:tc>
        <w:tc>
          <w:tcPr>
            <w:tcW w:w="1276" w:type="dxa"/>
          </w:tcPr>
          <w:p w14:paraId="2004DBB3" w14:textId="6956C0CA" w:rsidR="008B2A81" w:rsidRDefault="008B2A81" w:rsidP="008B2A81">
            <w:pPr>
              <w:pStyle w:val="TableCentre"/>
            </w:pPr>
            <w:r w:rsidRPr="007177BB">
              <w:t>277</w:t>
            </w:r>
          </w:p>
        </w:tc>
      </w:tr>
      <w:tr w:rsidR="008B2A81" w:rsidRPr="005A5B60" w14:paraId="154A99BA" w14:textId="77777777" w:rsidTr="00656706">
        <w:tc>
          <w:tcPr>
            <w:tcW w:w="1134" w:type="dxa"/>
          </w:tcPr>
          <w:p w14:paraId="79FD8C8F" w14:textId="77777777" w:rsidR="008B2A81" w:rsidRDefault="008B2A81" w:rsidP="008B2A81">
            <w:pPr>
              <w:pStyle w:val="TableCentre"/>
            </w:pPr>
            <w:r w:rsidRPr="00B75991">
              <w:t xml:space="preserve">2005/06 </w:t>
            </w:r>
          </w:p>
        </w:tc>
        <w:tc>
          <w:tcPr>
            <w:tcW w:w="1305" w:type="dxa"/>
          </w:tcPr>
          <w:p w14:paraId="0F064A74" w14:textId="402F0356" w:rsidR="008B2A81" w:rsidRDefault="008B2A81" w:rsidP="008B2A81">
            <w:pPr>
              <w:pStyle w:val="TableCentre"/>
            </w:pPr>
            <w:r w:rsidRPr="007177BB">
              <w:t>0.89</w:t>
            </w:r>
          </w:p>
        </w:tc>
        <w:tc>
          <w:tcPr>
            <w:tcW w:w="1134" w:type="dxa"/>
          </w:tcPr>
          <w:p w14:paraId="7F630B65" w14:textId="669FE10B" w:rsidR="008B2A81" w:rsidRDefault="008B2A81" w:rsidP="008B2A81">
            <w:pPr>
              <w:pStyle w:val="TableCentre"/>
            </w:pPr>
            <w:r w:rsidRPr="007177BB">
              <w:t>248</w:t>
            </w:r>
          </w:p>
        </w:tc>
        <w:tc>
          <w:tcPr>
            <w:tcW w:w="1276" w:type="dxa"/>
          </w:tcPr>
          <w:p w14:paraId="15B917EE" w14:textId="1E8944EE" w:rsidR="008B2A81" w:rsidRDefault="008B2A81" w:rsidP="008B2A81">
            <w:pPr>
              <w:pStyle w:val="TableCentre"/>
            </w:pPr>
            <w:r w:rsidRPr="007177BB">
              <w:t>0.13</w:t>
            </w:r>
          </w:p>
        </w:tc>
        <w:tc>
          <w:tcPr>
            <w:tcW w:w="1134" w:type="dxa"/>
          </w:tcPr>
          <w:p w14:paraId="78D7D136" w14:textId="13262173" w:rsidR="008B2A81" w:rsidRDefault="008B2A81" w:rsidP="008B2A81">
            <w:pPr>
              <w:pStyle w:val="TableCentre"/>
            </w:pPr>
            <w:r w:rsidRPr="007177BB">
              <w:t>37</w:t>
            </w:r>
          </w:p>
        </w:tc>
        <w:tc>
          <w:tcPr>
            <w:tcW w:w="1275" w:type="dxa"/>
          </w:tcPr>
          <w:p w14:paraId="0A81F6F6" w14:textId="38DDFB17" w:rsidR="008B2A81" w:rsidRDefault="008B2A81" w:rsidP="008B2A81">
            <w:pPr>
              <w:pStyle w:val="TableCentre"/>
            </w:pPr>
            <w:r w:rsidRPr="007177BB">
              <w:t>1.03</w:t>
            </w:r>
          </w:p>
        </w:tc>
        <w:tc>
          <w:tcPr>
            <w:tcW w:w="1276" w:type="dxa"/>
          </w:tcPr>
          <w:p w14:paraId="36EBF609" w14:textId="36F671AE" w:rsidR="008B2A81" w:rsidRDefault="008B2A81" w:rsidP="008B2A81">
            <w:pPr>
              <w:pStyle w:val="TableCentre"/>
            </w:pPr>
            <w:r w:rsidRPr="007177BB">
              <w:t>285</w:t>
            </w:r>
          </w:p>
        </w:tc>
      </w:tr>
      <w:tr w:rsidR="008B2A81" w:rsidRPr="005A5B60" w14:paraId="0B77B928" w14:textId="77777777" w:rsidTr="00656706">
        <w:tc>
          <w:tcPr>
            <w:tcW w:w="1134" w:type="dxa"/>
          </w:tcPr>
          <w:p w14:paraId="69F841F8" w14:textId="77777777" w:rsidR="008B2A81" w:rsidRDefault="008B2A81" w:rsidP="008B2A81">
            <w:pPr>
              <w:pStyle w:val="TableCentre"/>
            </w:pPr>
            <w:r w:rsidRPr="00B75991">
              <w:t>2006/07</w:t>
            </w:r>
          </w:p>
        </w:tc>
        <w:tc>
          <w:tcPr>
            <w:tcW w:w="1305" w:type="dxa"/>
          </w:tcPr>
          <w:p w14:paraId="7407B948" w14:textId="2773EF43" w:rsidR="008B2A81" w:rsidRDefault="008B2A81" w:rsidP="008B2A81">
            <w:pPr>
              <w:pStyle w:val="TableCentre"/>
            </w:pPr>
            <w:r w:rsidRPr="007177BB">
              <w:t>0.89</w:t>
            </w:r>
          </w:p>
        </w:tc>
        <w:tc>
          <w:tcPr>
            <w:tcW w:w="1134" w:type="dxa"/>
          </w:tcPr>
          <w:p w14:paraId="675BF877" w14:textId="25AEA905" w:rsidR="008B2A81" w:rsidRDefault="008B2A81" w:rsidP="008B2A81">
            <w:pPr>
              <w:pStyle w:val="TableCentre"/>
            </w:pPr>
            <w:r w:rsidRPr="007177BB">
              <w:t>246</w:t>
            </w:r>
          </w:p>
        </w:tc>
        <w:tc>
          <w:tcPr>
            <w:tcW w:w="1276" w:type="dxa"/>
          </w:tcPr>
          <w:p w14:paraId="4E57CA11" w14:textId="3896E9D3" w:rsidR="008B2A81" w:rsidRDefault="008B2A81" w:rsidP="008B2A81">
            <w:pPr>
              <w:pStyle w:val="TableCentre"/>
            </w:pPr>
            <w:r w:rsidRPr="007177BB">
              <w:t>0.14</w:t>
            </w:r>
          </w:p>
        </w:tc>
        <w:tc>
          <w:tcPr>
            <w:tcW w:w="1134" w:type="dxa"/>
          </w:tcPr>
          <w:p w14:paraId="18EFCA0A" w14:textId="109528A9" w:rsidR="008B2A81" w:rsidRDefault="008B2A81" w:rsidP="008B2A81">
            <w:pPr>
              <w:pStyle w:val="TableCentre"/>
            </w:pPr>
            <w:r w:rsidRPr="007177BB">
              <w:t>39</w:t>
            </w:r>
          </w:p>
        </w:tc>
        <w:tc>
          <w:tcPr>
            <w:tcW w:w="1275" w:type="dxa"/>
          </w:tcPr>
          <w:p w14:paraId="4226AFA2" w14:textId="4545892D" w:rsidR="008B2A81" w:rsidRDefault="008B2A81" w:rsidP="008B2A81">
            <w:pPr>
              <w:pStyle w:val="TableCentre"/>
            </w:pPr>
            <w:r w:rsidRPr="007177BB">
              <w:t>1.03</w:t>
            </w:r>
          </w:p>
        </w:tc>
        <w:tc>
          <w:tcPr>
            <w:tcW w:w="1276" w:type="dxa"/>
          </w:tcPr>
          <w:p w14:paraId="612CB710" w14:textId="17AC5C84" w:rsidR="008B2A81" w:rsidRDefault="008B2A81" w:rsidP="008B2A81">
            <w:pPr>
              <w:pStyle w:val="TableCentre"/>
            </w:pPr>
            <w:r w:rsidRPr="007177BB">
              <w:t>285</w:t>
            </w:r>
          </w:p>
        </w:tc>
      </w:tr>
      <w:tr w:rsidR="008B2A81" w:rsidRPr="005A5B60" w14:paraId="0C5881D3" w14:textId="77777777" w:rsidTr="00656706">
        <w:tc>
          <w:tcPr>
            <w:tcW w:w="1134" w:type="dxa"/>
          </w:tcPr>
          <w:p w14:paraId="0B06ECEE" w14:textId="77777777" w:rsidR="008B2A81" w:rsidRDefault="008B2A81" w:rsidP="008B2A81">
            <w:pPr>
              <w:pStyle w:val="TableCentre"/>
            </w:pPr>
            <w:r w:rsidRPr="00B75991">
              <w:t>2007/08</w:t>
            </w:r>
          </w:p>
        </w:tc>
        <w:tc>
          <w:tcPr>
            <w:tcW w:w="1305" w:type="dxa"/>
          </w:tcPr>
          <w:p w14:paraId="23BC1F2F" w14:textId="4A65ED46" w:rsidR="008B2A81" w:rsidRDefault="008B2A81" w:rsidP="008B2A81">
            <w:pPr>
              <w:pStyle w:val="TableCentre"/>
            </w:pPr>
            <w:r w:rsidRPr="007177BB">
              <w:t>0.88</w:t>
            </w:r>
          </w:p>
        </w:tc>
        <w:tc>
          <w:tcPr>
            <w:tcW w:w="1134" w:type="dxa"/>
          </w:tcPr>
          <w:p w14:paraId="030514D0" w14:textId="434C6E8C" w:rsidR="008B2A81" w:rsidRDefault="008B2A81" w:rsidP="008B2A81">
            <w:pPr>
              <w:pStyle w:val="TableCentre"/>
            </w:pPr>
            <w:r w:rsidRPr="007177BB">
              <w:t>245</w:t>
            </w:r>
          </w:p>
        </w:tc>
        <w:tc>
          <w:tcPr>
            <w:tcW w:w="1276" w:type="dxa"/>
          </w:tcPr>
          <w:p w14:paraId="74FC0EA8" w14:textId="6639BBB6" w:rsidR="008B2A81" w:rsidRDefault="008B2A81" w:rsidP="008B2A81">
            <w:pPr>
              <w:pStyle w:val="TableCentre"/>
            </w:pPr>
            <w:r w:rsidRPr="007177BB">
              <w:t>0.14</w:t>
            </w:r>
          </w:p>
        </w:tc>
        <w:tc>
          <w:tcPr>
            <w:tcW w:w="1134" w:type="dxa"/>
          </w:tcPr>
          <w:p w14:paraId="04CB2B7D" w14:textId="4FE32090" w:rsidR="008B2A81" w:rsidRDefault="008B2A81" w:rsidP="008B2A81">
            <w:pPr>
              <w:pStyle w:val="TableCentre"/>
            </w:pPr>
            <w:r w:rsidRPr="007177BB">
              <w:t>38</w:t>
            </w:r>
          </w:p>
        </w:tc>
        <w:tc>
          <w:tcPr>
            <w:tcW w:w="1275" w:type="dxa"/>
          </w:tcPr>
          <w:p w14:paraId="0150068C" w14:textId="57652048" w:rsidR="008B2A81" w:rsidRDefault="008B2A81" w:rsidP="008B2A81">
            <w:pPr>
              <w:pStyle w:val="TableCentre"/>
            </w:pPr>
            <w:r w:rsidRPr="007177BB">
              <w:t>1.02</w:t>
            </w:r>
          </w:p>
        </w:tc>
        <w:tc>
          <w:tcPr>
            <w:tcW w:w="1276" w:type="dxa"/>
          </w:tcPr>
          <w:p w14:paraId="7617DBCF" w14:textId="5D94608B" w:rsidR="008B2A81" w:rsidRDefault="008B2A81" w:rsidP="008B2A81">
            <w:pPr>
              <w:pStyle w:val="TableCentre"/>
            </w:pPr>
            <w:r w:rsidRPr="007177BB">
              <w:t>283</w:t>
            </w:r>
          </w:p>
        </w:tc>
      </w:tr>
      <w:tr w:rsidR="008B2A81" w:rsidRPr="005A5B60" w14:paraId="5EDDB6D3" w14:textId="77777777" w:rsidTr="00656706">
        <w:tc>
          <w:tcPr>
            <w:tcW w:w="1134" w:type="dxa"/>
          </w:tcPr>
          <w:p w14:paraId="3A7930C7" w14:textId="77777777" w:rsidR="008B2A81" w:rsidRDefault="008B2A81" w:rsidP="008B2A81">
            <w:pPr>
              <w:pStyle w:val="TableCentre"/>
            </w:pPr>
            <w:r w:rsidRPr="00B75991">
              <w:t>2008/09</w:t>
            </w:r>
          </w:p>
        </w:tc>
        <w:tc>
          <w:tcPr>
            <w:tcW w:w="1305" w:type="dxa"/>
          </w:tcPr>
          <w:p w14:paraId="565113D0" w14:textId="20488E0A" w:rsidR="008B2A81" w:rsidRDefault="008B2A81" w:rsidP="008B2A81">
            <w:pPr>
              <w:pStyle w:val="TableCentre"/>
            </w:pPr>
            <w:r w:rsidRPr="007177BB">
              <w:t>0.88</w:t>
            </w:r>
          </w:p>
        </w:tc>
        <w:tc>
          <w:tcPr>
            <w:tcW w:w="1134" w:type="dxa"/>
          </w:tcPr>
          <w:p w14:paraId="7F720460" w14:textId="1A7DCB6F" w:rsidR="008B2A81" w:rsidRDefault="008B2A81" w:rsidP="008B2A81">
            <w:pPr>
              <w:pStyle w:val="TableCentre"/>
            </w:pPr>
            <w:r w:rsidRPr="007177BB">
              <w:t>244</w:t>
            </w:r>
          </w:p>
        </w:tc>
        <w:tc>
          <w:tcPr>
            <w:tcW w:w="1276" w:type="dxa"/>
          </w:tcPr>
          <w:p w14:paraId="541ED3B4" w14:textId="66F224D5" w:rsidR="008B2A81" w:rsidRDefault="008B2A81" w:rsidP="008B2A81">
            <w:pPr>
              <w:pStyle w:val="TableCentre"/>
            </w:pPr>
            <w:r w:rsidRPr="007177BB">
              <w:t>0.13</w:t>
            </w:r>
          </w:p>
        </w:tc>
        <w:tc>
          <w:tcPr>
            <w:tcW w:w="1134" w:type="dxa"/>
          </w:tcPr>
          <w:p w14:paraId="3DAC91E8" w14:textId="727BF277" w:rsidR="008B2A81" w:rsidRDefault="008B2A81" w:rsidP="008B2A81">
            <w:pPr>
              <w:pStyle w:val="TableCentre"/>
            </w:pPr>
            <w:r w:rsidRPr="007177BB">
              <w:t>37</w:t>
            </w:r>
          </w:p>
        </w:tc>
        <w:tc>
          <w:tcPr>
            <w:tcW w:w="1275" w:type="dxa"/>
          </w:tcPr>
          <w:p w14:paraId="2066523E" w14:textId="1811BF6F" w:rsidR="008B2A81" w:rsidRDefault="008B2A81" w:rsidP="008B2A81">
            <w:pPr>
              <w:pStyle w:val="TableCentre"/>
            </w:pPr>
            <w:r w:rsidRPr="007177BB">
              <w:t>1.01</w:t>
            </w:r>
          </w:p>
        </w:tc>
        <w:tc>
          <w:tcPr>
            <w:tcW w:w="1276" w:type="dxa"/>
          </w:tcPr>
          <w:p w14:paraId="106DC9A7" w14:textId="7BE9D711" w:rsidR="008B2A81" w:rsidRDefault="008B2A81" w:rsidP="008B2A81">
            <w:pPr>
              <w:pStyle w:val="TableCentre"/>
            </w:pPr>
            <w:r w:rsidRPr="007177BB">
              <w:t>281</w:t>
            </w:r>
          </w:p>
        </w:tc>
      </w:tr>
      <w:tr w:rsidR="008B2A81" w:rsidRPr="005A5B60" w14:paraId="202914F3" w14:textId="77777777" w:rsidTr="00656706">
        <w:tc>
          <w:tcPr>
            <w:tcW w:w="1134" w:type="dxa"/>
          </w:tcPr>
          <w:p w14:paraId="7ABBAE77" w14:textId="77777777" w:rsidR="008B2A81" w:rsidRDefault="008B2A81" w:rsidP="008B2A81">
            <w:pPr>
              <w:pStyle w:val="TableCentre"/>
            </w:pPr>
            <w:r w:rsidRPr="00B75991">
              <w:t>2009/10</w:t>
            </w:r>
          </w:p>
        </w:tc>
        <w:tc>
          <w:tcPr>
            <w:tcW w:w="1305" w:type="dxa"/>
          </w:tcPr>
          <w:p w14:paraId="0D210810" w14:textId="54ECADE5" w:rsidR="008B2A81" w:rsidRDefault="008B2A81" w:rsidP="008B2A81">
            <w:pPr>
              <w:pStyle w:val="TableCentre"/>
            </w:pPr>
            <w:r w:rsidRPr="007177BB">
              <w:t>0.87</w:t>
            </w:r>
          </w:p>
        </w:tc>
        <w:tc>
          <w:tcPr>
            <w:tcW w:w="1134" w:type="dxa"/>
          </w:tcPr>
          <w:p w14:paraId="473F18F7" w14:textId="16D81AD0" w:rsidR="008B2A81" w:rsidRDefault="008B2A81" w:rsidP="008B2A81">
            <w:pPr>
              <w:pStyle w:val="TableCentre"/>
            </w:pPr>
            <w:r w:rsidRPr="007177BB">
              <w:t>242</w:t>
            </w:r>
          </w:p>
        </w:tc>
        <w:tc>
          <w:tcPr>
            <w:tcW w:w="1276" w:type="dxa"/>
          </w:tcPr>
          <w:p w14:paraId="5AAD9CB0" w14:textId="7B895142" w:rsidR="008B2A81" w:rsidRDefault="008B2A81" w:rsidP="008B2A81">
            <w:pPr>
              <w:pStyle w:val="TableCentre"/>
            </w:pPr>
            <w:r w:rsidRPr="007177BB">
              <w:t>0.13</w:t>
            </w:r>
          </w:p>
        </w:tc>
        <w:tc>
          <w:tcPr>
            <w:tcW w:w="1134" w:type="dxa"/>
          </w:tcPr>
          <w:p w14:paraId="5160E76D" w14:textId="5DFF5DEA" w:rsidR="008B2A81" w:rsidRDefault="008B2A81" w:rsidP="008B2A81">
            <w:pPr>
              <w:pStyle w:val="TableCentre"/>
            </w:pPr>
            <w:r w:rsidRPr="007177BB">
              <w:t>35</w:t>
            </w:r>
          </w:p>
        </w:tc>
        <w:tc>
          <w:tcPr>
            <w:tcW w:w="1275" w:type="dxa"/>
          </w:tcPr>
          <w:p w14:paraId="0D9B121F" w14:textId="28C2CD79" w:rsidR="008B2A81" w:rsidRDefault="008B2A81" w:rsidP="008B2A81">
            <w:pPr>
              <w:pStyle w:val="TableCentre"/>
            </w:pPr>
            <w:r w:rsidRPr="007177BB">
              <w:t>1.00</w:t>
            </w:r>
          </w:p>
        </w:tc>
        <w:tc>
          <w:tcPr>
            <w:tcW w:w="1276" w:type="dxa"/>
          </w:tcPr>
          <w:p w14:paraId="1112FAB8" w14:textId="54517146" w:rsidR="008B2A81" w:rsidRDefault="008B2A81" w:rsidP="008B2A81">
            <w:pPr>
              <w:pStyle w:val="TableCentre"/>
            </w:pPr>
            <w:r w:rsidRPr="007177BB">
              <w:t>277</w:t>
            </w:r>
          </w:p>
        </w:tc>
      </w:tr>
      <w:tr w:rsidR="008B2A81" w:rsidRPr="005A5B60" w14:paraId="6E95DB17" w14:textId="77777777" w:rsidTr="00656706">
        <w:tc>
          <w:tcPr>
            <w:tcW w:w="1134" w:type="dxa"/>
          </w:tcPr>
          <w:p w14:paraId="63157947" w14:textId="77777777" w:rsidR="008B2A81" w:rsidRDefault="008B2A81" w:rsidP="008B2A81">
            <w:pPr>
              <w:pStyle w:val="TableCentre"/>
            </w:pPr>
            <w:r w:rsidRPr="00B75991">
              <w:t>2010/11</w:t>
            </w:r>
          </w:p>
        </w:tc>
        <w:tc>
          <w:tcPr>
            <w:tcW w:w="1305" w:type="dxa"/>
          </w:tcPr>
          <w:p w14:paraId="49DA922D" w14:textId="53736DDC" w:rsidR="008B2A81" w:rsidRDefault="008B2A81" w:rsidP="008B2A81">
            <w:pPr>
              <w:pStyle w:val="TableCentre"/>
            </w:pPr>
            <w:r w:rsidRPr="007177BB">
              <w:t>0.85</w:t>
            </w:r>
          </w:p>
        </w:tc>
        <w:tc>
          <w:tcPr>
            <w:tcW w:w="1134" w:type="dxa"/>
          </w:tcPr>
          <w:p w14:paraId="6126AC13" w14:textId="0E4A6C30" w:rsidR="008B2A81" w:rsidRDefault="008B2A81" w:rsidP="008B2A81">
            <w:pPr>
              <w:pStyle w:val="TableCentre"/>
            </w:pPr>
            <w:r w:rsidRPr="007177BB">
              <w:t>235</w:t>
            </w:r>
          </w:p>
        </w:tc>
        <w:tc>
          <w:tcPr>
            <w:tcW w:w="1276" w:type="dxa"/>
          </w:tcPr>
          <w:p w14:paraId="23A44C0A" w14:textId="58252A0E" w:rsidR="008B2A81" w:rsidRDefault="008B2A81" w:rsidP="008B2A81">
            <w:pPr>
              <w:pStyle w:val="TableCentre"/>
            </w:pPr>
            <w:r w:rsidRPr="007177BB">
              <w:t>0.12</w:t>
            </w:r>
          </w:p>
        </w:tc>
        <w:tc>
          <w:tcPr>
            <w:tcW w:w="1134" w:type="dxa"/>
          </w:tcPr>
          <w:p w14:paraId="7105EE20" w14:textId="24CB32E7" w:rsidR="008B2A81" w:rsidRDefault="008B2A81" w:rsidP="008B2A81">
            <w:pPr>
              <w:pStyle w:val="TableCentre"/>
            </w:pPr>
            <w:r w:rsidRPr="007177BB">
              <w:t>34</w:t>
            </w:r>
          </w:p>
        </w:tc>
        <w:tc>
          <w:tcPr>
            <w:tcW w:w="1275" w:type="dxa"/>
          </w:tcPr>
          <w:p w14:paraId="0B8D414E" w14:textId="226C9D43" w:rsidR="008B2A81" w:rsidRDefault="008B2A81" w:rsidP="008B2A81">
            <w:pPr>
              <w:pStyle w:val="TableCentre"/>
            </w:pPr>
            <w:r w:rsidRPr="007177BB">
              <w:t>0.97</w:t>
            </w:r>
          </w:p>
        </w:tc>
        <w:tc>
          <w:tcPr>
            <w:tcW w:w="1276" w:type="dxa"/>
          </w:tcPr>
          <w:p w14:paraId="450F1498" w14:textId="3BD9E8E9" w:rsidR="008B2A81" w:rsidRDefault="008B2A81" w:rsidP="008B2A81">
            <w:pPr>
              <w:pStyle w:val="TableCentre"/>
            </w:pPr>
            <w:r w:rsidRPr="007177BB">
              <w:t>270</w:t>
            </w:r>
          </w:p>
        </w:tc>
      </w:tr>
      <w:tr w:rsidR="008B2A81" w:rsidRPr="005A5B60" w14:paraId="399CD7E7" w14:textId="77777777" w:rsidTr="00656706">
        <w:tc>
          <w:tcPr>
            <w:tcW w:w="1134" w:type="dxa"/>
          </w:tcPr>
          <w:p w14:paraId="0602F353" w14:textId="77777777" w:rsidR="008B2A81" w:rsidRDefault="008B2A81" w:rsidP="008B2A81">
            <w:pPr>
              <w:pStyle w:val="TableCentre"/>
            </w:pPr>
            <w:r w:rsidRPr="00B75991">
              <w:t>2011/12</w:t>
            </w:r>
          </w:p>
        </w:tc>
        <w:tc>
          <w:tcPr>
            <w:tcW w:w="1305" w:type="dxa"/>
          </w:tcPr>
          <w:p w14:paraId="3A3D7545" w14:textId="31C8F6C1" w:rsidR="008B2A81" w:rsidRDefault="008B2A81" w:rsidP="008B2A81">
            <w:pPr>
              <w:pStyle w:val="TableCentre"/>
            </w:pPr>
            <w:r w:rsidRPr="007177BB">
              <w:t>0.82</w:t>
            </w:r>
          </w:p>
        </w:tc>
        <w:tc>
          <w:tcPr>
            <w:tcW w:w="1134" w:type="dxa"/>
          </w:tcPr>
          <w:p w14:paraId="62C8A1CB" w14:textId="05AF283A" w:rsidR="008B2A81" w:rsidRDefault="008B2A81" w:rsidP="008B2A81">
            <w:pPr>
              <w:pStyle w:val="TableCentre"/>
            </w:pPr>
            <w:r w:rsidRPr="007177BB">
              <w:t>227</w:t>
            </w:r>
          </w:p>
        </w:tc>
        <w:tc>
          <w:tcPr>
            <w:tcW w:w="1276" w:type="dxa"/>
          </w:tcPr>
          <w:p w14:paraId="45F3DEC2" w14:textId="2BA6F1F1" w:rsidR="008B2A81" w:rsidRDefault="008B2A81" w:rsidP="008B2A81">
            <w:pPr>
              <w:pStyle w:val="TableCentre"/>
            </w:pPr>
            <w:r w:rsidRPr="007177BB">
              <w:t>0.13</w:t>
            </w:r>
          </w:p>
        </w:tc>
        <w:tc>
          <w:tcPr>
            <w:tcW w:w="1134" w:type="dxa"/>
          </w:tcPr>
          <w:p w14:paraId="37B5958A" w14:textId="3E9C7F38" w:rsidR="008B2A81" w:rsidRDefault="008B2A81" w:rsidP="008B2A81">
            <w:pPr>
              <w:pStyle w:val="TableCentre"/>
            </w:pPr>
            <w:r w:rsidRPr="007177BB">
              <w:t>35</w:t>
            </w:r>
          </w:p>
        </w:tc>
        <w:tc>
          <w:tcPr>
            <w:tcW w:w="1275" w:type="dxa"/>
          </w:tcPr>
          <w:p w14:paraId="4C369989" w14:textId="14C96AED" w:rsidR="008B2A81" w:rsidRDefault="008B2A81" w:rsidP="008B2A81">
            <w:pPr>
              <w:pStyle w:val="TableCentre"/>
            </w:pPr>
            <w:r w:rsidRPr="007177BB">
              <w:t>0.94</w:t>
            </w:r>
          </w:p>
        </w:tc>
        <w:tc>
          <w:tcPr>
            <w:tcW w:w="1276" w:type="dxa"/>
          </w:tcPr>
          <w:p w14:paraId="65AD04C5" w14:textId="0E17C8F0" w:rsidR="008B2A81" w:rsidRDefault="008B2A81" w:rsidP="008B2A81">
            <w:pPr>
              <w:pStyle w:val="TableCentre"/>
            </w:pPr>
            <w:r w:rsidRPr="007177BB">
              <w:t>262</w:t>
            </w:r>
          </w:p>
        </w:tc>
      </w:tr>
      <w:tr w:rsidR="008B2A81" w:rsidRPr="005A5B60" w14:paraId="48FC3492" w14:textId="77777777" w:rsidTr="00656706">
        <w:tc>
          <w:tcPr>
            <w:tcW w:w="1134" w:type="dxa"/>
          </w:tcPr>
          <w:p w14:paraId="511386B1" w14:textId="77777777" w:rsidR="008B2A81" w:rsidRDefault="008B2A81" w:rsidP="008B2A81">
            <w:pPr>
              <w:pStyle w:val="TableCentre"/>
            </w:pPr>
            <w:r w:rsidRPr="00B75991">
              <w:t>2012/13</w:t>
            </w:r>
          </w:p>
        </w:tc>
        <w:tc>
          <w:tcPr>
            <w:tcW w:w="1305" w:type="dxa"/>
          </w:tcPr>
          <w:p w14:paraId="752322F8" w14:textId="41845390" w:rsidR="008B2A81" w:rsidRDefault="008B2A81" w:rsidP="008B2A81">
            <w:pPr>
              <w:pStyle w:val="TableCentre"/>
            </w:pPr>
            <w:r w:rsidRPr="007177BB">
              <w:t>0.80</w:t>
            </w:r>
          </w:p>
        </w:tc>
        <w:tc>
          <w:tcPr>
            <w:tcW w:w="1134" w:type="dxa"/>
          </w:tcPr>
          <w:p w14:paraId="600168CC" w14:textId="0C8693E2" w:rsidR="008B2A81" w:rsidRDefault="008B2A81" w:rsidP="008B2A81">
            <w:pPr>
              <w:pStyle w:val="TableCentre"/>
            </w:pPr>
            <w:r w:rsidRPr="007177BB">
              <w:t>223</w:t>
            </w:r>
          </w:p>
        </w:tc>
        <w:tc>
          <w:tcPr>
            <w:tcW w:w="1276" w:type="dxa"/>
          </w:tcPr>
          <w:p w14:paraId="311E38BF" w14:textId="21E3ED0A" w:rsidR="008B2A81" w:rsidRDefault="008B2A81" w:rsidP="008B2A81">
            <w:pPr>
              <w:pStyle w:val="TableCentre"/>
            </w:pPr>
            <w:r w:rsidRPr="007177BB">
              <w:t>0.13</w:t>
            </w:r>
          </w:p>
        </w:tc>
        <w:tc>
          <w:tcPr>
            <w:tcW w:w="1134" w:type="dxa"/>
          </w:tcPr>
          <w:p w14:paraId="6F73BAAB" w14:textId="40096B5B" w:rsidR="008B2A81" w:rsidRDefault="008B2A81" w:rsidP="008B2A81">
            <w:pPr>
              <w:pStyle w:val="TableCentre"/>
            </w:pPr>
            <w:r w:rsidRPr="007177BB">
              <w:t>36</w:t>
            </w:r>
          </w:p>
        </w:tc>
        <w:tc>
          <w:tcPr>
            <w:tcW w:w="1275" w:type="dxa"/>
          </w:tcPr>
          <w:p w14:paraId="45CD36AB" w14:textId="446849EA" w:rsidR="008B2A81" w:rsidRDefault="008B2A81" w:rsidP="008B2A81">
            <w:pPr>
              <w:pStyle w:val="TableCentre"/>
            </w:pPr>
            <w:r w:rsidRPr="007177BB">
              <w:t>0.93</w:t>
            </w:r>
          </w:p>
        </w:tc>
        <w:tc>
          <w:tcPr>
            <w:tcW w:w="1276" w:type="dxa"/>
          </w:tcPr>
          <w:p w14:paraId="6CB72465" w14:textId="6FE87743" w:rsidR="008B2A81" w:rsidRDefault="008B2A81" w:rsidP="008B2A81">
            <w:pPr>
              <w:pStyle w:val="TableCentre"/>
            </w:pPr>
            <w:r w:rsidRPr="007177BB">
              <w:t>260</w:t>
            </w:r>
          </w:p>
        </w:tc>
      </w:tr>
      <w:tr w:rsidR="008B2A81" w:rsidRPr="005A5B60" w14:paraId="06F88615" w14:textId="77777777" w:rsidTr="00656706">
        <w:tc>
          <w:tcPr>
            <w:tcW w:w="1134" w:type="dxa"/>
          </w:tcPr>
          <w:p w14:paraId="0E79A4E0" w14:textId="77777777" w:rsidR="008B2A81" w:rsidRDefault="008B2A81" w:rsidP="008B2A81">
            <w:pPr>
              <w:pStyle w:val="TableCentre"/>
            </w:pPr>
            <w:r w:rsidRPr="00B75991">
              <w:t>2013/14</w:t>
            </w:r>
          </w:p>
        </w:tc>
        <w:tc>
          <w:tcPr>
            <w:tcW w:w="1305" w:type="dxa"/>
          </w:tcPr>
          <w:p w14:paraId="6BB6E510" w14:textId="44343CB3" w:rsidR="008B2A81" w:rsidRDefault="008B2A81" w:rsidP="008B2A81">
            <w:pPr>
              <w:pStyle w:val="TableCentre"/>
            </w:pPr>
            <w:r w:rsidRPr="007177BB">
              <w:t>0.79</w:t>
            </w:r>
          </w:p>
        </w:tc>
        <w:tc>
          <w:tcPr>
            <w:tcW w:w="1134" w:type="dxa"/>
          </w:tcPr>
          <w:p w14:paraId="627E7FC9" w14:textId="23098681" w:rsidR="008B2A81" w:rsidRDefault="008B2A81" w:rsidP="008B2A81">
            <w:pPr>
              <w:pStyle w:val="TableCentre"/>
            </w:pPr>
            <w:r w:rsidRPr="007177BB">
              <w:t>220</w:t>
            </w:r>
          </w:p>
        </w:tc>
        <w:tc>
          <w:tcPr>
            <w:tcW w:w="1276" w:type="dxa"/>
          </w:tcPr>
          <w:p w14:paraId="29F92E4B" w14:textId="4031A148" w:rsidR="008B2A81" w:rsidRDefault="008B2A81" w:rsidP="008B2A81">
            <w:pPr>
              <w:pStyle w:val="TableCentre"/>
            </w:pPr>
            <w:r w:rsidRPr="007177BB">
              <w:t>0.14</w:t>
            </w:r>
          </w:p>
        </w:tc>
        <w:tc>
          <w:tcPr>
            <w:tcW w:w="1134" w:type="dxa"/>
          </w:tcPr>
          <w:p w14:paraId="5771B8C7" w14:textId="4B050CD7" w:rsidR="008B2A81" w:rsidRDefault="008B2A81" w:rsidP="008B2A81">
            <w:pPr>
              <w:pStyle w:val="TableCentre"/>
            </w:pPr>
            <w:r w:rsidRPr="007177BB">
              <w:t>38</w:t>
            </w:r>
          </w:p>
        </w:tc>
        <w:tc>
          <w:tcPr>
            <w:tcW w:w="1275" w:type="dxa"/>
          </w:tcPr>
          <w:p w14:paraId="40CA99B6" w14:textId="3F7B7380" w:rsidR="008B2A81" w:rsidRDefault="008B2A81" w:rsidP="008B2A81">
            <w:pPr>
              <w:pStyle w:val="TableCentre"/>
            </w:pPr>
            <w:r w:rsidRPr="007177BB">
              <w:t>0.93</w:t>
            </w:r>
          </w:p>
        </w:tc>
        <w:tc>
          <w:tcPr>
            <w:tcW w:w="1276" w:type="dxa"/>
          </w:tcPr>
          <w:p w14:paraId="3777B8C7" w14:textId="002889A0" w:rsidR="008B2A81" w:rsidRDefault="008B2A81" w:rsidP="008B2A81">
            <w:pPr>
              <w:pStyle w:val="TableCentre"/>
            </w:pPr>
            <w:r w:rsidRPr="007177BB">
              <w:t>258</w:t>
            </w:r>
          </w:p>
        </w:tc>
      </w:tr>
      <w:tr w:rsidR="008B2A81" w:rsidRPr="005A5B60" w14:paraId="6D9BE1E8" w14:textId="77777777" w:rsidTr="00656706">
        <w:tc>
          <w:tcPr>
            <w:tcW w:w="1134" w:type="dxa"/>
          </w:tcPr>
          <w:p w14:paraId="19EA05AD" w14:textId="10644864" w:rsidR="008B2A81" w:rsidRPr="00B75991" w:rsidRDefault="008B2A81" w:rsidP="008B2A81">
            <w:pPr>
              <w:pStyle w:val="TableCentre"/>
            </w:pPr>
            <w:r>
              <w:t>2014/15</w:t>
            </w:r>
          </w:p>
        </w:tc>
        <w:tc>
          <w:tcPr>
            <w:tcW w:w="1305" w:type="dxa"/>
          </w:tcPr>
          <w:p w14:paraId="41E87D3D" w14:textId="3F210F1D" w:rsidR="008B2A81" w:rsidRPr="00B75991" w:rsidRDefault="008B2A81" w:rsidP="008B2A81">
            <w:pPr>
              <w:pStyle w:val="TableCentre"/>
            </w:pPr>
            <w:r w:rsidRPr="007177BB">
              <w:t>0.78</w:t>
            </w:r>
          </w:p>
        </w:tc>
        <w:tc>
          <w:tcPr>
            <w:tcW w:w="1134" w:type="dxa"/>
          </w:tcPr>
          <w:p w14:paraId="0F195A44" w14:textId="724D9437" w:rsidR="008B2A81" w:rsidRDefault="008B2A81" w:rsidP="008B2A81">
            <w:pPr>
              <w:pStyle w:val="TableCentre"/>
            </w:pPr>
            <w:r w:rsidRPr="007177BB">
              <w:t>218</w:t>
            </w:r>
          </w:p>
        </w:tc>
        <w:tc>
          <w:tcPr>
            <w:tcW w:w="1276" w:type="dxa"/>
          </w:tcPr>
          <w:p w14:paraId="5AA892A8" w14:textId="253BFA2B" w:rsidR="008B2A81" w:rsidRPr="005F1CBF" w:rsidRDefault="008B2A81" w:rsidP="008B2A81">
            <w:pPr>
              <w:pStyle w:val="TableCentre"/>
            </w:pPr>
            <w:r w:rsidRPr="007177BB">
              <w:t>0.14</w:t>
            </w:r>
          </w:p>
        </w:tc>
        <w:tc>
          <w:tcPr>
            <w:tcW w:w="1134" w:type="dxa"/>
          </w:tcPr>
          <w:p w14:paraId="100F1A77" w14:textId="08F90496" w:rsidR="008B2A81" w:rsidRDefault="008B2A81" w:rsidP="008B2A81">
            <w:pPr>
              <w:pStyle w:val="TableCentre"/>
            </w:pPr>
            <w:r w:rsidRPr="007177BB">
              <w:t>38</w:t>
            </w:r>
          </w:p>
        </w:tc>
        <w:tc>
          <w:tcPr>
            <w:tcW w:w="1275" w:type="dxa"/>
          </w:tcPr>
          <w:p w14:paraId="2E76FC22" w14:textId="5431B479" w:rsidR="008B2A81" w:rsidRPr="005F1CBF" w:rsidRDefault="008B2A81" w:rsidP="008B2A81">
            <w:pPr>
              <w:pStyle w:val="TableCentre"/>
            </w:pPr>
            <w:r w:rsidRPr="007177BB">
              <w:t>0.92</w:t>
            </w:r>
          </w:p>
        </w:tc>
        <w:tc>
          <w:tcPr>
            <w:tcW w:w="1276" w:type="dxa"/>
          </w:tcPr>
          <w:p w14:paraId="25B360F8" w14:textId="0A91A499" w:rsidR="008B2A81" w:rsidRPr="005F1CBF" w:rsidRDefault="008B2A81" w:rsidP="008B2A81">
            <w:pPr>
              <w:pStyle w:val="TableCentre"/>
            </w:pPr>
            <w:r w:rsidRPr="007177BB">
              <w:t>256</w:t>
            </w:r>
          </w:p>
        </w:tc>
      </w:tr>
      <w:tr w:rsidR="008B2A81" w:rsidRPr="005A5B60" w14:paraId="0A6034C2" w14:textId="77777777" w:rsidTr="00656706">
        <w:tc>
          <w:tcPr>
            <w:tcW w:w="1134" w:type="dxa"/>
          </w:tcPr>
          <w:p w14:paraId="073C9AAA" w14:textId="77777777" w:rsidR="008B2A81" w:rsidRDefault="008B2A81" w:rsidP="008B2A81">
            <w:pPr>
              <w:pStyle w:val="TableCentre"/>
            </w:pPr>
            <w:r w:rsidRPr="00B75991">
              <w:t>Latest Estimate</w:t>
            </w:r>
          </w:p>
        </w:tc>
        <w:tc>
          <w:tcPr>
            <w:tcW w:w="1305" w:type="dxa"/>
          </w:tcPr>
          <w:p w14:paraId="3B0626BA" w14:textId="2E347766" w:rsidR="008B2A81" w:rsidRDefault="008B2A81" w:rsidP="008B2A81">
            <w:pPr>
              <w:pStyle w:val="TableCentre"/>
            </w:pPr>
            <w:r w:rsidRPr="007177BB">
              <w:t>0.79</w:t>
            </w:r>
          </w:p>
        </w:tc>
        <w:tc>
          <w:tcPr>
            <w:tcW w:w="1134" w:type="dxa"/>
          </w:tcPr>
          <w:p w14:paraId="76088588" w14:textId="2DD54758" w:rsidR="008B2A81" w:rsidRDefault="008B2A81" w:rsidP="008B2A81">
            <w:pPr>
              <w:pStyle w:val="TableCentre"/>
            </w:pPr>
            <w:r w:rsidRPr="007177BB">
              <w:t>219</w:t>
            </w:r>
          </w:p>
        </w:tc>
        <w:tc>
          <w:tcPr>
            <w:tcW w:w="1276" w:type="dxa"/>
          </w:tcPr>
          <w:p w14:paraId="3FF7BC0D" w14:textId="6A1EC12D" w:rsidR="008B2A81" w:rsidRDefault="008B2A81" w:rsidP="008B2A81">
            <w:pPr>
              <w:pStyle w:val="TableCentre"/>
            </w:pPr>
            <w:r w:rsidRPr="007177BB">
              <w:t>0.14</w:t>
            </w:r>
          </w:p>
        </w:tc>
        <w:tc>
          <w:tcPr>
            <w:tcW w:w="1134" w:type="dxa"/>
          </w:tcPr>
          <w:p w14:paraId="1DF60C20" w14:textId="38E5BCC1" w:rsidR="008B2A81" w:rsidRDefault="008B2A81" w:rsidP="008B2A81">
            <w:pPr>
              <w:pStyle w:val="TableCentre"/>
            </w:pPr>
            <w:r w:rsidRPr="007177BB">
              <w:t>38</w:t>
            </w:r>
          </w:p>
        </w:tc>
        <w:tc>
          <w:tcPr>
            <w:tcW w:w="1275" w:type="dxa"/>
          </w:tcPr>
          <w:p w14:paraId="033BF375" w14:textId="6087170C" w:rsidR="008B2A81" w:rsidRDefault="008B2A81" w:rsidP="008B2A81">
            <w:pPr>
              <w:pStyle w:val="TableCentre"/>
            </w:pPr>
            <w:r w:rsidRPr="007177BB">
              <w:t>0.92</w:t>
            </w:r>
          </w:p>
        </w:tc>
        <w:tc>
          <w:tcPr>
            <w:tcW w:w="1276" w:type="dxa"/>
          </w:tcPr>
          <w:p w14:paraId="2DF77C16" w14:textId="398C0685" w:rsidR="008B2A81" w:rsidRDefault="008B2A81" w:rsidP="008B2A81">
            <w:pPr>
              <w:pStyle w:val="TableCentre"/>
            </w:pPr>
            <w:r w:rsidRPr="007177BB">
              <w:t>257</w:t>
            </w:r>
          </w:p>
        </w:tc>
      </w:tr>
      <w:tr w:rsidR="00C466CC" w:rsidRPr="005A5B60" w14:paraId="273D8826" w14:textId="77777777" w:rsidTr="00656706">
        <w:trPr>
          <w:cantSplit/>
        </w:trPr>
        <w:tc>
          <w:tcPr>
            <w:tcW w:w="8534" w:type="dxa"/>
            <w:gridSpan w:val="7"/>
            <w:shd w:val="pct15" w:color="auto" w:fill="auto"/>
          </w:tcPr>
          <w:p w14:paraId="27D4BC03" w14:textId="77777777" w:rsidR="00C466CC" w:rsidRPr="005A5B60" w:rsidRDefault="00C466CC">
            <w:pPr>
              <w:pStyle w:val="Table"/>
              <w:rPr>
                <w:b/>
                <w:bCs/>
                <w:sz w:val="18"/>
                <w:szCs w:val="18"/>
              </w:rPr>
            </w:pPr>
            <w:r w:rsidRPr="005A5B60">
              <w:rPr>
                <w:b/>
                <w:bCs/>
                <w:sz w:val="18"/>
                <w:szCs w:val="18"/>
              </w:rPr>
              <w:t>SOUTH AUSTRALIA</w:t>
            </w:r>
          </w:p>
        </w:tc>
      </w:tr>
      <w:tr w:rsidR="00C466CC" w:rsidRPr="005A5B60" w14:paraId="08ABF260" w14:textId="77777777" w:rsidTr="00656706">
        <w:tc>
          <w:tcPr>
            <w:tcW w:w="1134" w:type="dxa"/>
          </w:tcPr>
          <w:p w14:paraId="7E9CD119" w14:textId="77777777" w:rsidR="008B7F00" w:rsidRDefault="00B75991">
            <w:pPr>
              <w:pStyle w:val="TableCentre"/>
            </w:pPr>
            <w:r w:rsidRPr="00B75991">
              <w:t>1989/90</w:t>
            </w:r>
          </w:p>
        </w:tc>
        <w:tc>
          <w:tcPr>
            <w:tcW w:w="1305" w:type="dxa"/>
          </w:tcPr>
          <w:p w14:paraId="610EAE3B" w14:textId="77777777" w:rsidR="008B63D8" w:rsidRPr="008B63D8" w:rsidRDefault="00C466CC">
            <w:pPr>
              <w:pStyle w:val="TableCentre"/>
            </w:pPr>
            <w:r w:rsidRPr="004C7B3C">
              <w:t>0.81</w:t>
            </w:r>
          </w:p>
        </w:tc>
        <w:tc>
          <w:tcPr>
            <w:tcW w:w="1134" w:type="dxa"/>
          </w:tcPr>
          <w:p w14:paraId="0B3EFAE8" w14:textId="77777777" w:rsidR="008B63D8" w:rsidRPr="008B63D8" w:rsidRDefault="00C466CC">
            <w:pPr>
              <w:pStyle w:val="TableCentre"/>
            </w:pPr>
            <w:r>
              <w:t>226</w:t>
            </w:r>
          </w:p>
        </w:tc>
        <w:tc>
          <w:tcPr>
            <w:tcW w:w="1276" w:type="dxa"/>
          </w:tcPr>
          <w:p w14:paraId="0A2C5839" w14:textId="77777777" w:rsidR="008B63D8" w:rsidRPr="008B63D8" w:rsidRDefault="00C466CC">
            <w:pPr>
              <w:pStyle w:val="TableCentre"/>
            </w:pPr>
            <w:r w:rsidRPr="004C7B3C">
              <w:t>0.15</w:t>
            </w:r>
          </w:p>
        </w:tc>
        <w:tc>
          <w:tcPr>
            <w:tcW w:w="1134" w:type="dxa"/>
          </w:tcPr>
          <w:p w14:paraId="62413030" w14:textId="77777777" w:rsidR="008B63D8" w:rsidRPr="008B63D8" w:rsidRDefault="00C466CC">
            <w:pPr>
              <w:pStyle w:val="TableCentre"/>
            </w:pPr>
            <w:r w:rsidRPr="004C7B3C">
              <w:t>41</w:t>
            </w:r>
          </w:p>
        </w:tc>
        <w:tc>
          <w:tcPr>
            <w:tcW w:w="1275" w:type="dxa"/>
          </w:tcPr>
          <w:p w14:paraId="79E28517" w14:textId="77777777" w:rsidR="008B63D8" w:rsidRPr="008B63D8" w:rsidRDefault="00C466CC">
            <w:pPr>
              <w:pStyle w:val="TableCentre"/>
            </w:pPr>
            <w:r w:rsidRPr="004C7B3C">
              <w:t>0.96</w:t>
            </w:r>
          </w:p>
        </w:tc>
        <w:tc>
          <w:tcPr>
            <w:tcW w:w="1276" w:type="dxa"/>
          </w:tcPr>
          <w:p w14:paraId="0218B387" w14:textId="77777777" w:rsidR="008B63D8" w:rsidRPr="008B63D8" w:rsidRDefault="00C466CC">
            <w:pPr>
              <w:pStyle w:val="TableCentre"/>
            </w:pPr>
            <w:r w:rsidRPr="004C7B3C">
              <w:t>26</w:t>
            </w:r>
            <w:r>
              <w:t>7</w:t>
            </w:r>
          </w:p>
        </w:tc>
      </w:tr>
      <w:tr w:rsidR="00C466CC" w:rsidRPr="005A5B60" w14:paraId="3FB6EF9C" w14:textId="77777777" w:rsidTr="00656706">
        <w:tc>
          <w:tcPr>
            <w:tcW w:w="1134" w:type="dxa"/>
          </w:tcPr>
          <w:p w14:paraId="477E066C" w14:textId="77777777" w:rsidR="008B7F00" w:rsidRDefault="00B75991">
            <w:pPr>
              <w:pStyle w:val="TableCentre"/>
            </w:pPr>
            <w:r w:rsidRPr="00B75991">
              <w:t>1994/95</w:t>
            </w:r>
          </w:p>
        </w:tc>
        <w:tc>
          <w:tcPr>
            <w:tcW w:w="1305" w:type="dxa"/>
          </w:tcPr>
          <w:p w14:paraId="48C93AE3" w14:textId="77777777" w:rsidR="008B63D8" w:rsidRPr="008B63D8" w:rsidRDefault="00C466CC">
            <w:pPr>
              <w:pStyle w:val="TableCentre"/>
            </w:pPr>
            <w:r w:rsidRPr="004C7B3C">
              <w:t>0.87</w:t>
            </w:r>
          </w:p>
        </w:tc>
        <w:tc>
          <w:tcPr>
            <w:tcW w:w="1134" w:type="dxa"/>
          </w:tcPr>
          <w:p w14:paraId="6AE4E2F7" w14:textId="77777777" w:rsidR="008B63D8" w:rsidRPr="008B63D8" w:rsidRDefault="00C466CC">
            <w:pPr>
              <w:pStyle w:val="TableCentre"/>
            </w:pPr>
            <w:r w:rsidRPr="004C7B3C">
              <w:t>241</w:t>
            </w:r>
          </w:p>
        </w:tc>
        <w:tc>
          <w:tcPr>
            <w:tcW w:w="1276" w:type="dxa"/>
          </w:tcPr>
          <w:p w14:paraId="69E40907" w14:textId="77777777" w:rsidR="008B63D8" w:rsidRPr="008B63D8" w:rsidRDefault="00C466CC">
            <w:pPr>
              <w:pStyle w:val="TableCentre"/>
            </w:pPr>
            <w:r w:rsidRPr="004C7B3C">
              <w:t>0.14</w:t>
            </w:r>
          </w:p>
        </w:tc>
        <w:tc>
          <w:tcPr>
            <w:tcW w:w="1134" w:type="dxa"/>
          </w:tcPr>
          <w:p w14:paraId="6C3B2F93" w14:textId="77777777" w:rsidR="008B63D8" w:rsidRPr="008B63D8" w:rsidRDefault="00C466CC">
            <w:pPr>
              <w:pStyle w:val="TableCentre"/>
            </w:pPr>
            <w:r w:rsidRPr="004C7B3C">
              <w:t>38</w:t>
            </w:r>
          </w:p>
        </w:tc>
        <w:tc>
          <w:tcPr>
            <w:tcW w:w="1275" w:type="dxa"/>
          </w:tcPr>
          <w:p w14:paraId="359D1908" w14:textId="77777777" w:rsidR="008B63D8" w:rsidRPr="008B63D8" w:rsidRDefault="00C466CC">
            <w:pPr>
              <w:pStyle w:val="TableCentre"/>
            </w:pPr>
            <w:r w:rsidRPr="004C7B3C">
              <w:t>1.0</w:t>
            </w:r>
            <w:r>
              <w:t>1</w:t>
            </w:r>
          </w:p>
        </w:tc>
        <w:tc>
          <w:tcPr>
            <w:tcW w:w="1276" w:type="dxa"/>
          </w:tcPr>
          <w:p w14:paraId="66D620D8" w14:textId="77777777" w:rsidR="008B63D8" w:rsidRPr="008B63D8" w:rsidRDefault="00C466CC">
            <w:pPr>
              <w:pStyle w:val="TableCentre"/>
            </w:pPr>
            <w:r w:rsidRPr="004C7B3C">
              <w:t>279</w:t>
            </w:r>
          </w:p>
        </w:tc>
      </w:tr>
      <w:tr w:rsidR="00C466CC" w:rsidRPr="005A5B60" w14:paraId="2A7641A4" w14:textId="77777777" w:rsidTr="00656706">
        <w:tc>
          <w:tcPr>
            <w:tcW w:w="1134" w:type="dxa"/>
          </w:tcPr>
          <w:p w14:paraId="68131826" w14:textId="77777777" w:rsidR="008B7F00" w:rsidRDefault="00B75991">
            <w:pPr>
              <w:pStyle w:val="TableCentre"/>
            </w:pPr>
            <w:r w:rsidRPr="00B75991">
              <w:t>1999/2000</w:t>
            </w:r>
          </w:p>
        </w:tc>
        <w:tc>
          <w:tcPr>
            <w:tcW w:w="1305" w:type="dxa"/>
          </w:tcPr>
          <w:p w14:paraId="3F9259E6" w14:textId="77777777" w:rsidR="008B63D8" w:rsidRPr="008B63D8" w:rsidRDefault="00C466CC">
            <w:pPr>
              <w:pStyle w:val="TableCentre"/>
            </w:pPr>
            <w:r w:rsidRPr="004C7B3C">
              <w:t>0.9</w:t>
            </w:r>
            <w:r>
              <w:t>1</w:t>
            </w:r>
          </w:p>
        </w:tc>
        <w:tc>
          <w:tcPr>
            <w:tcW w:w="1134" w:type="dxa"/>
          </w:tcPr>
          <w:p w14:paraId="6C8F9C33" w14:textId="77777777" w:rsidR="008B63D8" w:rsidRPr="008B63D8" w:rsidRDefault="00C466CC">
            <w:pPr>
              <w:pStyle w:val="TableCentre"/>
            </w:pPr>
            <w:r w:rsidRPr="004C7B3C">
              <w:t>25</w:t>
            </w:r>
            <w:r w:rsidR="002A3A59">
              <w:t>4</w:t>
            </w:r>
          </w:p>
        </w:tc>
        <w:tc>
          <w:tcPr>
            <w:tcW w:w="1276" w:type="dxa"/>
          </w:tcPr>
          <w:p w14:paraId="5C6853F3" w14:textId="77777777" w:rsidR="008B63D8" w:rsidRPr="008B63D8" w:rsidRDefault="00C466CC">
            <w:pPr>
              <w:pStyle w:val="TableCentre"/>
            </w:pPr>
            <w:r w:rsidRPr="004C7B3C">
              <w:t>0.13</w:t>
            </w:r>
          </w:p>
        </w:tc>
        <w:tc>
          <w:tcPr>
            <w:tcW w:w="1134" w:type="dxa"/>
          </w:tcPr>
          <w:p w14:paraId="29698232" w14:textId="77777777" w:rsidR="008B63D8" w:rsidRPr="008B63D8" w:rsidRDefault="00C466CC">
            <w:pPr>
              <w:pStyle w:val="TableCentre"/>
            </w:pPr>
            <w:r w:rsidRPr="004C7B3C">
              <w:t>3</w:t>
            </w:r>
            <w:r>
              <w:t>5</w:t>
            </w:r>
          </w:p>
        </w:tc>
        <w:tc>
          <w:tcPr>
            <w:tcW w:w="1275" w:type="dxa"/>
          </w:tcPr>
          <w:p w14:paraId="4FB487BD" w14:textId="77777777" w:rsidR="008B63D8" w:rsidRPr="008B63D8" w:rsidRDefault="00C466CC">
            <w:pPr>
              <w:pStyle w:val="TableCentre"/>
            </w:pPr>
            <w:r>
              <w:t>1.0</w:t>
            </w:r>
            <w:r w:rsidR="002A3A59">
              <w:t>4</w:t>
            </w:r>
          </w:p>
        </w:tc>
        <w:tc>
          <w:tcPr>
            <w:tcW w:w="1276" w:type="dxa"/>
          </w:tcPr>
          <w:p w14:paraId="5BC833C0" w14:textId="77777777" w:rsidR="008B63D8" w:rsidRPr="008B63D8" w:rsidRDefault="00C466CC">
            <w:pPr>
              <w:pStyle w:val="TableCentre"/>
            </w:pPr>
            <w:r>
              <w:t>28</w:t>
            </w:r>
            <w:r w:rsidR="00F0332B">
              <w:t>9</w:t>
            </w:r>
          </w:p>
        </w:tc>
      </w:tr>
      <w:tr w:rsidR="008B2A81" w:rsidRPr="005A5B60" w14:paraId="1FD87AD7" w14:textId="77777777" w:rsidTr="00656706">
        <w:tc>
          <w:tcPr>
            <w:tcW w:w="1134" w:type="dxa"/>
          </w:tcPr>
          <w:p w14:paraId="15C0F1D8" w14:textId="77777777" w:rsidR="008B2A81" w:rsidRDefault="008B2A81" w:rsidP="008B2A81">
            <w:pPr>
              <w:pStyle w:val="TableCentre"/>
            </w:pPr>
            <w:r w:rsidRPr="00B75991">
              <w:t>2004/05</w:t>
            </w:r>
          </w:p>
        </w:tc>
        <w:tc>
          <w:tcPr>
            <w:tcW w:w="1305" w:type="dxa"/>
          </w:tcPr>
          <w:p w14:paraId="260AA6F7" w14:textId="4BE2EA04" w:rsidR="008B2A81" w:rsidRDefault="008B2A81" w:rsidP="008B2A81">
            <w:pPr>
              <w:pStyle w:val="TableCentre"/>
            </w:pPr>
            <w:r w:rsidRPr="00C35BA8">
              <w:t>0.86</w:t>
            </w:r>
          </w:p>
        </w:tc>
        <w:tc>
          <w:tcPr>
            <w:tcW w:w="1134" w:type="dxa"/>
          </w:tcPr>
          <w:p w14:paraId="01B40DC1" w14:textId="5B388327" w:rsidR="008B2A81" w:rsidRDefault="008B2A81" w:rsidP="008B2A81">
            <w:pPr>
              <w:pStyle w:val="TableCentre"/>
            </w:pPr>
            <w:r w:rsidRPr="00C35BA8">
              <w:t>238</w:t>
            </w:r>
          </w:p>
        </w:tc>
        <w:tc>
          <w:tcPr>
            <w:tcW w:w="1276" w:type="dxa"/>
          </w:tcPr>
          <w:p w14:paraId="7380452E" w14:textId="220C57FF" w:rsidR="008B2A81" w:rsidRDefault="008B2A81" w:rsidP="008B2A81">
            <w:pPr>
              <w:pStyle w:val="TableCentre"/>
            </w:pPr>
            <w:r w:rsidRPr="00C35BA8">
              <w:t>0.11</w:t>
            </w:r>
          </w:p>
        </w:tc>
        <w:tc>
          <w:tcPr>
            <w:tcW w:w="1134" w:type="dxa"/>
          </w:tcPr>
          <w:p w14:paraId="1AEAEC07" w14:textId="4E988988" w:rsidR="008B2A81" w:rsidRDefault="008B2A81" w:rsidP="008B2A81">
            <w:pPr>
              <w:pStyle w:val="TableCentre"/>
            </w:pPr>
            <w:r w:rsidRPr="00C35BA8">
              <w:t>32</w:t>
            </w:r>
          </w:p>
        </w:tc>
        <w:tc>
          <w:tcPr>
            <w:tcW w:w="1275" w:type="dxa"/>
          </w:tcPr>
          <w:p w14:paraId="416D8BC1" w14:textId="4CE11394" w:rsidR="008B2A81" w:rsidRDefault="008B2A81" w:rsidP="008B2A81">
            <w:pPr>
              <w:pStyle w:val="TableCentre"/>
            </w:pPr>
            <w:r w:rsidRPr="00C35BA8">
              <w:t>0.97</w:t>
            </w:r>
          </w:p>
        </w:tc>
        <w:tc>
          <w:tcPr>
            <w:tcW w:w="1276" w:type="dxa"/>
          </w:tcPr>
          <w:p w14:paraId="22974255" w14:textId="71B8E131" w:rsidR="008B2A81" w:rsidRDefault="008B2A81" w:rsidP="008B2A81">
            <w:pPr>
              <w:pStyle w:val="TableCentre"/>
            </w:pPr>
            <w:r w:rsidRPr="00C35BA8">
              <w:t>270</w:t>
            </w:r>
          </w:p>
        </w:tc>
      </w:tr>
      <w:tr w:rsidR="008B2A81" w:rsidRPr="005A5B60" w14:paraId="71DF196C" w14:textId="77777777" w:rsidTr="00656706">
        <w:tc>
          <w:tcPr>
            <w:tcW w:w="1134" w:type="dxa"/>
          </w:tcPr>
          <w:p w14:paraId="4EED5A47" w14:textId="77777777" w:rsidR="008B2A81" w:rsidRDefault="008B2A81" w:rsidP="008B2A81">
            <w:pPr>
              <w:pStyle w:val="TableCentre"/>
            </w:pPr>
            <w:r w:rsidRPr="00B75991">
              <w:t xml:space="preserve">2005/06 </w:t>
            </w:r>
          </w:p>
        </w:tc>
        <w:tc>
          <w:tcPr>
            <w:tcW w:w="1305" w:type="dxa"/>
          </w:tcPr>
          <w:p w14:paraId="02AD3D46" w14:textId="5CA3F921" w:rsidR="008B2A81" w:rsidRDefault="008B2A81" w:rsidP="008B2A81">
            <w:pPr>
              <w:pStyle w:val="TableCentre"/>
            </w:pPr>
            <w:r w:rsidRPr="00C35BA8">
              <w:t>0.86</w:t>
            </w:r>
          </w:p>
        </w:tc>
        <w:tc>
          <w:tcPr>
            <w:tcW w:w="1134" w:type="dxa"/>
          </w:tcPr>
          <w:p w14:paraId="4B1453FC" w14:textId="19994939" w:rsidR="008B2A81" w:rsidRDefault="008B2A81" w:rsidP="008B2A81">
            <w:pPr>
              <w:pStyle w:val="TableCentre"/>
            </w:pPr>
            <w:r w:rsidRPr="00C35BA8">
              <w:t>239</w:t>
            </w:r>
          </w:p>
        </w:tc>
        <w:tc>
          <w:tcPr>
            <w:tcW w:w="1276" w:type="dxa"/>
          </w:tcPr>
          <w:p w14:paraId="65E6D52C" w14:textId="289AC834" w:rsidR="008B2A81" w:rsidRDefault="008B2A81" w:rsidP="008B2A81">
            <w:pPr>
              <w:pStyle w:val="TableCentre"/>
            </w:pPr>
            <w:r w:rsidRPr="00C35BA8">
              <w:t>0.11</w:t>
            </w:r>
          </w:p>
        </w:tc>
        <w:tc>
          <w:tcPr>
            <w:tcW w:w="1134" w:type="dxa"/>
          </w:tcPr>
          <w:p w14:paraId="638CD5AB" w14:textId="54FF4B15" w:rsidR="008B2A81" w:rsidRDefault="008B2A81" w:rsidP="008B2A81">
            <w:pPr>
              <w:pStyle w:val="TableCentre"/>
            </w:pPr>
            <w:r w:rsidRPr="00C35BA8">
              <w:t>31</w:t>
            </w:r>
          </w:p>
        </w:tc>
        <w:tc>
          <w:tcPr>
            <w:tcW w:w="1275" w:type="dxa"/>
          </w:tcPr>
          <w:p w14:paraId="2CEDF569" w14:textId="60F03673" w:rsidR="008B2A81" w:rsidRDefault="008B2A81" w:rsidP="008B2A81">
            <w:pPr>
              <w:pStyle w:val="TableCentre"/>
            </w:pPr>
            <w:r w:rsidRPr="00C35BA8">
              <w:t>0.97</w:t>
            </w:r>
          </w:p>
        </w:tc>
        <w:tc>
          <w:tcPr>
            <w:tcW w:w="1276" w:type="dxa"/>
          </w:tcPr>
          <w:p w14:paraId="3FEC9363" w14:textId="7A65C11A" w:rsidR="008B2A81" w:rsidRDefault="008B2A81" w:rsidP="008B2A81">
            <w:pPr>
              <w:pStyle w:val="TableCentre"/>
            </w:pPr>
            <w:r w:rsidRPr="00C35BA8">
              <w:t>269</w:t>
            </w:r>
          </w:p>
        </w:tc>
      </w:tr>
      <w:tr w:rsidR="008B2A81" w:rsidRPr="005A5B60" w14:paraId="75FC170E" w14:textId="77777777" w:rsidTr="00656706">
        <w:tc>
          <w:tcPr>
            <w:tcW w:w="1134" w:type="dxa"/>
          </w:tcPr>
          <w:p w14:paraId="16DF49FC" w14:textId="77777777" w:rsidR="008B2A81" w:rsidRDefault="008B2A81" w:rsidP="008B2A81">
            <w:pPr>
              <w:pStyle w:val="TableCentre"/>
            </w:pPr>
            <w:r w:rsidRPr="00B75991">
              <w:t>2006/07</w:t>
            </w:r>
          </w:p>
        </w:tc>
        <w:tc>
          <w:tcPr>
            <w:tcW w:w="1305" w:type="dxa"/>
          </w:tcPr>
          <w:p w14:paraId="0F2604DE" w14:textId="2CADEECB" w:rsidR="008B2A81" w:rsidRDefault="008B2A81" w:rsidP="008B2A81">
            <w:pPr>
              <w:pStyle w:val="TableCentre"/>
            </w:pPr>
            <w:r w:rsidRPr="00C35BA8">
              <w:t>0.83</w:t>
            </w:r>
          </w:p>
        </w:tc>
        <w:tc>
          <w:tcPr>
            <w:tcW w:w="1134" w:type="dxa"/>
          </w:tcPr>
          <w:p w14:paraId="40957497" w14:textId="27AEAE66" w:rsidR="008B2A81" w:rsidRDefault="008B2A81" w:rsidP="008B2A81">
            <w:pPr>
              <w:pStyle w:val="TableCentre"/>
            </w:pPr>
            <w:r w:rsidRPr="00C35BA8">
              <w:t>232</w:t>
            </w:r>
          </w:p>
        </w:tc>
        <w:tc>
          <w:tcPr>
            <w:tcW w:w="1276" w:type="dxa"/>
          </w:tcPr>
          <w:p w14:paraId="40A6AAAF" w14:textId="736551EC" w:rsidR="008B2A81" w:rsidRDefault="008B2A81" w:rsidP="008B2A81">
            <w:pPr>
              <w:pStyle w:val="TableCentre"/>
            </w:pPr>
            <w:r w:rsidRPr="00C35BA8">
              <w:t>0.12</w:t>
            </w:r>
          </w:p>
        </w:tc>
        <w:tc>
          <w:tcPr>
            <w:tcW w:w="1134" w:type="dxa"/>
          </w:tcPr>
          <w:p w14:paraId="54EECFA5" w14:textId="1104C6E5" w:rsidR="008B2A81" w:rsidRDefault="008B2A81" w:rsidP="008B2A81">
            <w:pPr>
              <w:pStyle w:val="TableCentre"/>
            </w:pPr>
            <w:r w:rsidRPr="00C35BA8">
              <w:t>32</w:t>
            </w:r>
          </w:p>
        </w:tc>
        <w:tc>
          <w:tcPr>
            <w:tcW w:w="1275" w:type="dxa"/>
          </w:tcPr>
          <w:p w14:paraId="68A0BF23" w14:textId="7F4EF1EA" w:rsidR="008B2A81" w:rsidRDefault="008B2A81" w:rsidP="008B2A81">
            <w:pPr>
              <w:pStyle w:val="TableCentre"/>
            </w:pPr>
            <w:r w:rsidRPr="00C35BA8">
              <w:t>0.95</w:t>
            </w:r>
          </w:p>
        </w:tc>
        <w:tc>
          <w:tcPr>
            <w:tcW w:w="1276" w:type="dxa"/>
          </w:tcPr>
          <w:p w14:paraId="79D18584" w14:textId="12A39D17" w:rsidR="008B2A81" w:rsidRDefault="008B2A81" w:rsidP="008B2A81">
            <w:pPr>
              <w:pStyle w:val="TableCentre"/>
            </w:pPr>
            <w:r w:rsidRPr="00C35BA8">
              <w:t>264</w:t>
            </w:r>
          </w:p>
        </w:tc>
      </w:tr>
      <w:tr w:rsidR="008B2A81" w:rsidRPr="005A5B60" w14:paraId="09B3A153" w14:textId="77777777" w:rsidTr="00656706">
        <w:tc>
          <w:tcPr>
            <w:tcW w:w="1134" w:type="dxa"/>
          </w:tcPr>
          <w:p w14:paraId="630D68E6" w14:textId="77777777" w:rsidR="008B2A81" w:rsidRDefault="008B2A81" w:rsidP="008B2A81">
            <w:pPr>
              <w:pStyle w:val="TableCentre"/>
            </w:pPr>
            <w:r w:rsidRPr="00B75991">
              <w:t>2007/08</w:t>
            </w:r>
          </w:p>
        </w:tc>
        <w:tc>
          <w:tcPr>
            <w:tcW w:w="1305" w:type="dxa"/>
          </w:tcPr>
          <w:p w14:paraId="147E204A" w14:textId="29CE313B" w:rsidR="008B2A81" w:rsidRDefault="008B2A81" w:rsidP="008B2A81">
            <w:pPr>
              <w:pStyle w:val="TableCentre"/>
            </w:pPr>
            <w:r w:rsidRPr="00C35BA8">
              <w:t>0.77</w:t>
            </w:r>
          </w:p>
        </w:tc>
        <w:tc>
          <w:tcPr>
            <w:tcW w:w="1134" w:type="dxa"/>
          </w:tcPr>
          <w:p w14:paraId="45A97D77" w14:textId="66436EE9" w:rsidR="008B2A81" w:rsidRDefault="008B2A81" w:rsidP="008B2A81">
            <w:pPr>
              <w:pStyle w:val="TableCentre"/>
            </w:pPr>
            <w:r w:rsidRPr="00C35BA8">
              <w:t>215</w:t>
            </w:r>
          </w:p>
        </w:tc>
        <w:tc>
          <w:tcPr>
            <w:tcW w:w="1276" w:type="dxa"/>
          </w:tcPr>
          <w:p w14:paraId="123F1C1E" w14:textId="4402CF9D" w:rsidR="008B2A81" w:rsidRDefault="008B2A81" w:rsidP="008B2A81">
            <w:pPr>
              <w:pStyle w:val="TableCentre"/>
            </w:pPr>
            <w:r w:rsidRPr="00C35BA8">
              <w:t>0.12</w:t>
            </w:r>
          </w:p>
        </w:tc>
        <w:tc>
          <w:tcPr>
            <w:tcW w:w="1134" w:type="dxa"/>
          </w:tcPr>
          <w:p w14:paraId="1A26753B" w14:textId="3AE39440" w:rsidR="008B2A81" w:rsidRDefault="008B2A81" w:rsidP="008B2A81">
            <w:pPr>
              <w:pStyle w:val="TableCentre"/>
            </w:pPr>
            <w:r w:rsidRPr="00C35BA8">
              <w:t>34</w:t>
            </w:r>
          </w:p>
        </w:tc>
        <w:tc>
          <w:tcPr>
            <w:tcW w:w="1275" w:type="dxa"/>
          </w:tcPr>
          <w:p w14:paraId="506C131A" w14:textId="47BB2966" w:rsidR="008B2A81" w:rsidRDefault="008B2A81" w:rsidP="008B2A81">
            <w:pPr>
              <w:pStyle w:val="TableCentre"/>
            </w:pPr>
            <w:r w:rsidRPr="00C35BA8">
              <w:t>0.89</w:t>
            </w:r>
          </w:p>
        </w:tc>
        <w:tc>
          <w:tcPr>
            <w:tcW w:w="1276" w:type="dxa"/>
          </w:tcPr>
          <w:p w14:paraId="5D25AEE6" w14:textId="72301933" w:rsidR="008B2A81" w:rsidRDefault="008B2A81" w:rsidP="008B2A81">
            <w:pPr>
              <w:pStyle w:val="TableCentre"/>
            </w:pPr>
            <w:r w:rsidRPr="00C35BA8">
              <w:t>248</w:t>
            </w:r>
          </w:p>
        </w:tc>
      </w:tr>
      <w:tr w:rsidR="008B2A81" w:rsidRPr="005A5B60" w14:paraId="3CDBB8FE" w14:textId="77777777" w:rsidTr="00656706">
        <w:tc>
          <w:tcPr>
            <w:tcW w:w="1134" w:type="dxa"/>
          </w:tcPr>
          <w:p w14:paraId="4B40929E" w14:textId="77777777" w:rsidR="008B2A81" w:rsidRDefault="008B2A81" w:rsidP="008B2A81">
            <w:pPr>
              <w:pStyle w:val="TableCentre"/>
            </w:pPr>
            <w:r w:rsidRPr="00B75991">
              <w:t>2008/09</w:t>
            </w:r>
          </w:p>
        </w:tc>
        <w:tc>
          <w:tcPr>
            <w:tcW w:w="1305" w:type="dxa"/>
          </w:tcPr>
          <w:p w14:paraId="07458A59" w14:textId="3A43AFFD" w:rsidR="008B2A81" w:rsidRDefault="008B2A81" w:rsidP="008B2A81">
            <w:pPr>
              <w:pStyle w:val="TableCentre"/>
            </w:pPr>
            <w:r w:rsidRPr="00C35BA8">
              <w:t>0.72</w:t>
            </w:r>
          </w:p>
        </w:tc>
        <w:tc>
          <w:tcPr>
            <w:tcW w:w="1134" w:type="dxa"/>
          </w:tcPr>
          <w:p w14:paraId="11D92EBC" w14:textId="51C35D7E" w:rsidR="008B2A81" w:rsidRDefault="008B2A81" w:rsidP="008B2A81">
            <w:pPr>
              <w:pStyle w:val="TableCentre"/>
            </w:pPr>
            <w:r w:rsidRPr="00C35BA8">
              <w:t>199</w:t>
            </w:r>
          </w:p>
        </w:tc>
        <w:tc>
          <w:tcPr>
            <w:tcW w:w="1276" w:type="dxa"/>
          </w:tcPr>
          <w:p w14:paraId="53E290D4" w14:textId="4EE689C8" w:rsidR="008B2A81" w:rsidRDefault="008B2A81" w:rsidP="008B2A81">
            <w:pPr>
              <w:pStyle w:val="TableCentre"/>
            </w:pPr>
            <w:r w:rsidRPr="00C35BA8">
              <w:t>0.14</w:t>
            </w:r>
          </w:p>
        </w:tc>
        <w:tc>
          <w:tcPr>
            <w:tcW w:w="1134" w:type="dxa"/>
          </w:tcPr>
          <w:p w14:paraId="35DAE723" w14:textId="7D40A3C8" w:rsidR="008B2A81" w:rsidRDefault="008B2A81" w:rsidP="008B2A81">
            <w:pPr>
              <w:pStyle w:val="TableCentre"/>
            </w:pPr>
            <w:r w:rsidRPr="00C35BA8">
              <w:t>38</w:t>
            </w:r>
          </w:p>
        </w:tc>
        <w:tc>
          <w:tcPr>
            <w:tcW w:w="1275" w:type="dxa"/>
          </w:tcPr>
          <w:p w14:paraId="29E2068D" w14:textId="33D81F9A" w:rsidR="008B2A81" w:rsidRDefault="008B2A81" w:rsidP="008B2A81">
            <w:pPr>
              <w:pStyle w:val="TableCentre"/>
            </w:pPr>
            <w:r w:rsidRPr="00C35BA8">
              <w:t>0.85</w:t>
            </w:r>
          </w:p>
        </w:tc>
        <w:tc>
          <w:tcPr>
            <w:tcW w:w="1276" w:type="dxa"/>
          </w:tcPr>
          <w:p w14:paraId="5F222B15" w14:textId="054118D0" w:rsidR="008B2A81" w:rsidRDefault="008B2A81" w:rsidP="008B2A81">
            <w:pPr>
              <w:pStyle w:val="TableCentre"/>
            </w:pPr>
            <w:r w:rsidRPr="00C35BA8">
              <w:t>237</w:t>
            </w:r>
          </w:p>
        </w:tc>
      </w:tr>
      <w:tr w:rsidR="008B2A81" w:rsidRPr="005A5B60" w14:paraId="520C7253" w14:textId="77777777" w:rsidTr="00656706">
        <w:tc>
          <w:tcPr>
            <w:tcW w:w="1134" w:type="dxa"/>
          </w:tcPr>
          <w:p w14:paraId="5454C57C" w14:textId="77777777" w:rsidR="008B2A81" w:rsidRDefault="008B2A81" w:rsidP="008B2A81">
            <w:pPr>
              <w:pStyle w:val="TableCentre"/>
            </w:pPr>
            <w:r w:rsidRPr="00B75991">
              <w:t>2009/10</w:t>
            </w:r>
          </w:p>
        </w:tc>
        <w:tc>
          <w:tcPr>
            <w:tcW w:w="1305" w:type="dxa"/>
          </w:tcPr>
          <w:p w14:paraId="5328FE63" w14:textId="2D618A14" w:rsidR="008B2A81" w:rsidRDefault="008B2A81" w:rsidP="008B2A81">
            <w:pPr>
              <w:pStyle w:val="TableCentre"/>
            </w:pPr>
            <w:r w:rsidRPr="00C35BA8">
              <w:t>0.67</w:t>
            </w:r>
          </w:p>
        </w:tc>
        <w:tc>
          <w:tcPr>
            <w:tcW w:w="1134" w:type="dxa"/>
          </w:tcPr>
          <w:p w14:paraId="66B3FBB9" w14:textId="11FAE2AE" w:rsidR="008B2A81" w:rsidRDefault="008B2A81" w:rsidP="008B2A81">
            <w:pPr>
              <w:pStyle w:val="TableCentre"/>
            </w:pPr>
            <w:r w:rsidRPr="00C35BA8">
              <w:t>187</w:t>
            </w:r>
          </w:p>
        </w:tc>
        <w:tc>
          <w:tcPr>
            <w:tcW w:w="1276" w:type="dxa"/>
          </w:tcPr>
          <w:p w14:paraId="21CCC74B" w14:textId="60D6F6A4" w:rsidR="008B2A81" w:rsidRDefault="008B2A81" w:rsidP="008B2A81">
            <w:pPr>
              <w:pStyle w:val="TableCentre"/>
            </w:pPr>
            <w:r w:rsidRPr="00C35BA8">
              <w:t>0.12</w:t>
            </w:r>
          </w:p>
        </w:tc>
        <w:tc>
          <w:tcPr>
            <w:tcW w:w="1134" w:type="dxa"/>
          </w:tcPr>
          <w:p w14:paraId="48064EFA" w14:textId="31C0CBB8" w:rsidR="008B2A81" w:rsidRDefault="008B2A81" w:rsidP="008B2A81">
            <w:pPr>
              <w:pStyle w:val="TableCentre"/>
            </w:pPr>
            <w:r w:rsidRPr="00C35BA8">
              <w:t>34</w:t>
            </w:r>
          </w:p>
        </w:tc>
        <w:tc>
          <w:tcPr>
            <w:tcW w:w="1275" w:type="dxa"/>
          </w:tcPr>
          <w:p w14:paraId="3510B8A5" w14:textId="4C541906" w:rsidR="008B2A81" w:rsidRDefault="008B2A81" w:rsidP="008B2A81">
            <w:pPr>
              <w:pStyle w:val="TableCentre"/>
            </w:pPr>
            <w:r w:rsidRPr="00C35BA8">
              <w:t>0.80</w:t>
            </w:r>
          </w:p>
        </w:tc>
        <w:tc>
          <w:tcPr>
            <w:tcW w:w="1276" w:type="dxa"/>
          </w:tcPr>
          <w:p w14:paraId="5D885407" w14:textId="5150EA73" w:rsidR="008B2A81" w:rsidRDefault="008B2A81" w:rsidP="008B2A81">
            <w:pPr>
              <w:pStyle w:val="TableCentre"/>
            </w:pPr>
            <w:r w:rsidRPr="00C35BA8">
              <w:t>221</w:t>
            </w:r>
          </w:p>
        </w:tc>
      </w:tr>
      <w:tr w:rsidR="008B2A81" w:rsidRPr="005A5B60" w14:paraId="722582A0" w14:textId="77777777" w:rsidTr="00656706">
        <w:tc>
          <w:tcPr>
            <w:tcW w:w="1134" w:type="dxa"/>
          </w:tcPr>
          <w:p w14:paraId="428AB591" w14:textId="77777777" w:rsidR="008B2A81" w:rsidRDefault="008B2A81" w:rsidP="008B2A81">
            <w:pPr>
              <w:pStyle w:val="TableCentre"/>
            </w:pPr>
            <w:r w:rsidRPr="00B75991">
              <w:t>2010/11</w:t>
            </w:r>
          </w:p>
        </w:tc>
        <w:tc>
          <w:tcPr>
            <w:tcW w:w="1305" w:type="dxa"/>
          </w:tcPr>
          <w:p w14:paraId="5E64463A" w14:textId="283F0D81" w:rsidR="008B2A81" w:rsidRDefault="008B2A81" w:rsidP="008B2A81">
            <w:pPr>
              <w:pStyle w:val="TableCentre"/>
            </w:pPr>
            <w:r w:rsidRPr="00C35BA8">
              <w:t>0.65</w:t>
            </w:r>
          </w:p>
        </w:tc>
        <w:tc>
          <w:tcPr>
            <w:tcW w:w="1134" w:type="dxa"/>
          </w:tcPr>
          <w:p w14:paraId="47E71502" w14:textId="15F5CB88" w:rsidR="008B2A81" w:rsidRDefault="008B2A81" w:rsidP="008B2A81">
            <w:pPr>
              <w:pStyle w:val="TableCentre"/>
            </w:pPr>
            <w:r w:rsidRPr="00C35BA8">
              <w:t>180</w:t>
            </w:r>
          </w:p>
        </w:tc>
        <w:tc>
          <w:tcPr>
            <w:tcW w:w="1276" w:type="dxa"/>
          </w:tcPr>
          <w:p w14:paraId="071DC3D3" w14:textId="118DE6B1" w:rsidR="008B2A81" w:rsidRDefault="008B2A81" w:rsidP="008B2A81">
            <w:pPr>
              <w:pStyle w:val="TableCentre"/>
            </w:pPr>
            <w:r w:rsidRPr="00C35BA8">
              <w:t>0.12</w:t>
            </w:r>
          </w:p>
        </w:tc>
        <w:tc>
          <w:tcPr>
            <w:tcW w:w="1134" w:type="dxa"/>
          </w:tcPr>
          <w:p w14:paraId="1BEE1DD1" w14:textId="0BD7D651" w:rsidR="008B2A81" w:rsidRDefault="008B2A81" w:rsidP="008B2A81">
            <w:pPr>
              <w:pStyle w:val="TableCentre"/>
            </w:pPr>
            <w:r w:rsidRPr="00C35BA8">
              <w:t>32</w:t>
            </w:r>
          </w:p>
        </w:tc>
        <w:tc>
          <w:tcPr>
            <w:tcW w:w="1275" w:type="dxa"/>
          </w:tcPr>
          <w:p w14:paraId="18FA9C31" w14:textId="724595DF" w:rsidR="008B2A81" w:rsidRDefault="008B2A81" w:rsidP="008B2A81">
            <w:pPr>
              <w:pStyle w:val="TableCentre"/>
            </w:pPr>
            <w:r w:rsidRPr="00C35BA8">
              <w:t>0.76</w:t>
            </w:r>
          </w:p>
        </w:tc>
        <w:tc>
          <w:tcPr>
            <w:tcW w:w="1276" w:type="dxa"/>
          </w:tcPr>
          <w:p w14:paraId="6146BF4B" w14:textId="729391E8" w:rsidR="008B2A81" w:rsidRDefault="008B2A81" w:rsidP="008B2A81">
            <w:pPr>
              <w:pStyle w:val="TableCentre"/>
            </w:pPr>
            <w:r w:rsidRPr="00C35BA8">
              <w:t>212</w:t>
            </w:r>
          </w:p>
        </w:tc>
      </w:tr>
      <w:tr w:rsidR="008B2A81" w:rsidRPr="005A5B60" w14:paraId="4EEFC16A" w14:textId="77777777" w:rsidTr="00656706">
        <w:tc>
          <w:tcPr>
            <w:tcW w:w="1134" w:type="dxa"/>
          </w:tcPr>
          <w:p w14:paraId="241120EC" w14:textId="77777777" w:rsidR="008B2A81" w:rsidRDefault="008B2A81" w:rsidP="008B2A81">
            <w:pPr>
              <w:pStyle w:val="TableCentre"/>
            </w:pPr>
            <w:r w:rsidRPr="00B75991">
              <w:t>2011/12</w:t>
            </w:r>
          </w:p>
        </w:tc>
        <w:tc>
          <w:tcPr>
            <w:tcW w:w="1305" w:type="dxa"/>
          </w:tcPr>
          <w:p w14:paraId="4028CDAF" w14:textId="225161E7" w:rsidR="008B2A81" w:rsidRDefault="008B2A81" w:rsidP="008B2A81">
            <w:pPr>
              <w:pStyle w:val="TableCentre"/>
            </w:pPr>
            <w:r w:rsidRPr="00C35BA8">
              <w:t>0.62</w:t>
            </w:r>
          </w:p>
        </w:tc>
        <w:tc>
          <w:tcPr>
            <w:tcW w:w="1134" w:type="dxa"/>
          </w:tcPr>
          <w:p w14:paraId="78678524" w14:textId="27258EB2" w:rsidR="008B2A81" w:rsidRDefault="008B2A81" w:rsidP="008B2A81">
            <w:pPr>
              <w:pStyle w:val="TableCentre"/>
            </w:pPr>
            <w:r w:rsidRPr="00C35BA8">
              <w:t>171</w:t>
            </w:r>
          </w:p>
        </w:tc>
        <w:tc>
          <w:tcPr>
            <w:tcW w:w="1276" w:type="dxa"/>
          </w:tcPr>
          <w:p w14:paraId="366BBCBA" w14:textId="66E009D8" w:rsidR="008B2A81" w:rsidRDefault="008B2A81" w:rsidP="008B2A81">
            <w:pPr>
              <w:pStyle w:val="TableCentre"/>
            </w:pPr>
            <w:r w:rsidRPr="00C35BA8">
              <w:t>0.11</w:t>
            </w:r>
          </w:p>
        </w:tc>
        <w:tc>
          <w:tcPr>
            <w:tcW w:w="1134" w:type="dxa"/>
          </w:tcPr>
          <w:p w14:paraId="5E33EEC8" w14:textId="3BE692BD" w:rsidR="008B2A81" w:rsidRDefault="008B2A81" w:rsidP="008B2A81">
            <w:pPr>
              <w:pStyle w:val="TableCentre"/>
            </w:pPr>
            <w:r w:rsidRPr="00C35BA8">
              <w:t>29</w:t>
            </w:r>
          </w:p>
        </w:tc>
        <w:tc>
          <w:tcPr>
            <w:tcW w:w="1275" w:type="dxa"/>
          </w:tcPr>
          <w:p w14:paraId="095C45E0" w14:textId="17982C63" w:rsidR="008B2A81" w:rsidRDefault="008B2A81" w:rsidP="008B2A81">
            <w:pPr>
              <w:pStyle w:val="TableCentre"/>
            </w:pPr>
            <w:r w:rsidRPr="00C35BA8">
              <w:t>0.72</w:t>
            </w:r>
          </w:p>
        </w:tc>
        <w:tc>
          <w:tcPr>
            <w:tcW w:w="1276" w:type="dxa"/>
          </w:tcPr>
          <w:p w14:paraId="33F16656" w14:textId="43EB8FA2" w:rsidR="008B2A81" w:rsidRDefault="008B2A81" w:rsidP="008B2A81">
            <w:pPr>
              <w:pStyle w:val="TableCentre"/>
            </w:pPr>
            <w:r w:rsidRPr="00C35BA8">
              <w:t>201</w:t>
            </w:r>
          </w:p>
        </w:tc>
      </w:tr>
      <w:tr w:rsidR="008B2A81" w:rsidRPr="005A5B60" w14:paraId="4B4EC8EF" w14:textId="77777777" w:rsidTr="00656706">
        <w:tc>
          <w:tcPr>
            <w:tcW w:w="1134" w:type="dxa"/>
          </w:tcPr>
          <w:p w14:paraId="5EDBE6FB" w14:textId="77777777" w:rsidR="008B2A81" w:rsidRDefault="008B2A81" w:rsidP="008B2A81">
            <w:pPr>
              <w:pStyle w:val="TableCentre"/>
            </w:pPr>
            <w:r w:rsidRPr="00B75991">
              <w:t>2012/13</w:t>
            </w:r>
          </w:p>
        </w:tc>
        <w:tc>
          <w:tcPr>
            <w:tcW w:w="1305" w:type="dxa"/>
          </w:tcPr>
          <w:p w14:paraId="35392578" w14:textId="64FC00BA" w:rsidR="008B2A81" w:rsidRDefault="008B2A81" w:rsidP="008B2A81">
            <w:pPr>
              <w:pStyle w:val="TableCentre"/>
            </w:pPr>
            <w:r w:rsidRPr="00C35BA8">
              <w:t>0.58</w:t>
            </w:r>
          </w:p>
        </w:tc>
        <w:tc>
          <w:tcPr>
            <w:tcW w:w="1134" w:type="dxa"/>
          </w:tcPr>
          <w:p w14:paraId="6C5F30DA" w14:textId="32B4BA62" w:rsidR="008B2A81" w:rsidRDefault="008B2A81" w:rsidP="008B2A81">
            <w:pPr>
              <w:pStyle w:val="TableCentre"/>
            </w:pPr>
            <w:r w:rsidRPr="00C35BA8">
              <w:t>162</w:t>
            </w:r>
          </w:p>
        </w:tc>
        <w:tc>
          <w:tcPr>
            <w:tcW w:w="1276" w:type="dxa"/>
          </w:tcPr>
          <w:p w14:paraId="1AE2073F" w14:textId="5A5F2122" w:rsidR="008B2A81" w:rsidRDefault="008B2A81" w:rsidP="008B2A81">
            <w:pPr>
              <w:pStyle w:val="TableCentre"/>
            </w:pPr>
            <w:r w:rsidRPr="00C35BA8">
              <w:t>0.11</w:t>
            </w:r>
          </w:p>
        </w:tc>
        <w:tc>
          <w:tcPr>
            <w:tcW w:w="1134" w:type="dxa"/>
          </w:tcPr>
          <w:p w14:paraId="6C3CACAA" w14:textId="0E8705E6" w:rsidR="008B2A81" w:rsidRDefault="008B2A81" w:rsidP="008B2A81">
            <w:pPr>
              <w:pStyle w:val="TableCentre"/>
            </w:pPr>
            <w:r w:rsidRPr="00C35BA8">
              <w:t>30</w:t>
            </w:r>
          </w:p>
        </w:tc>
        <w:tc>
          <w:tcPr>
            <w:tcW w:w="1275" w:type="dxa"/>
          </w:tcPr>
          <w:p w14:paraId="6EB8D91C" w14:textId="6CF9F549" w:rsidR="008B2A81" w:rsidRDefault="008B2A81" w:rsidP="008B2A81">
            <w:pPr>
              <w:pStyle w:val="TableCentre"/>
            </w:pPr>
            <w:r w:rsidRPr="00C35BA8">
              <w:t>0.69</w:t>
            </w:r>
          </w:p>
        </w:tc>
        <w:tc>
          <w:tcPr>
            <w:tcW w:w="1276" w:type="dxa"/>
          </w:tcPr>
          <w:p w14:paraId="446E01FB" w14:textId="4C43DC38" w:rsidR="008B2A81" w:rsidRDefault="008B2A81" w:rsidP="008B2A81">
            <w:pPr>
              <w:pStyle w:val="TableCentre"/>
            </w:pPr>
            <w:r w:rsidRPr="00C35BA8">
              <w:t>192</w:t>
            </w:r>
          </w:p>
        </w:tc>
      </w:tr>
      <w:tr w:rsidR="008B2A81" w:rsidRPr="005A5B60" w14:paraId="27E4521F" w14:textId="77777777" w:rsidTr="00656706">
        <w:tc>
          <w:tcPr>
            <w:tcW w:w="1134" w:type="dxa"/>
          </w:tcPr>
          <w:p w14:paraId="287F4EFE" w14:textId="77777777" w:rsidR="008B2A81" w:rsidRDefault="008B2A81" w:rsidP="008B2A81">
            <w:pPr>
              <w:pStyle w:val="TableCentre"/>
            </w:pPr>
            <w:r w:rsidRPr="00B75991">
              <w:t>2013/14</w:t>
            </w:r>
          </w:p>
        </w:tc>
        <w:tc>
          <w:tcPr>
            <w:tcW w:w="1305" w:type="dxa"/>
          </w:tcPr>
          <w:p w14:paraId="37063BC4" w14:textId="62641CFE" w:rsidR="008B2A81" w:rsidRDefault="008B2A81" w:rsidP="008B2A81">
            <w:pPr>
              <w:pStyle w:val="TableCentre"/>
            </w:pPr>
            <w:r w:rsidRPr="00C35BA8">
              <w:t>0.55</w:t>
            </w:r>
          </w:p>
        </w:tc>
        <w:tc>
          <w:tcPr>
            <w:tcW w:w="1134" w:type="dxa"/>
          </w:tcPr>
          <w:p w14:paraId="052FB1B6" w14:textId="35B93582" w:rsidR="008B2A81" w:rsidRDefault="008B2A81" w:rsidP="008B2A81">
            <w:pPr>
              <w:pStyle w:val="TableCentre"/>
            </w:pPr>
            <w:r w:rsidRPr="00C35BA8">
              <w:t>152</w:t>
            </w:r>
          </w:p>
        </w:tc>
        <w:tc>
          <w:tcPr>
            <w:tcW w:w="1276" w:type="dxa"/>
          </w:tcPr>
          <w:p w14:paraId="11C14EFD" w14:textId="1D469206" w:rsidR="008B2A81" w:rsidRDefault="008B2A81" w:rsidP="008B2A81">
            <w:pPr>
              <w:pStyle w:val="TableCentre"/>
            </w:pPr>
            <w:r w:rsidRPr="00C35BA8">
              <w:t>0.10</w:t>
            </w:r>
          </w:p>
        </w:tc>
        <w:tc>
          <w:tcPr>
            <w:tcW w:w="1134" w:type="dxa"/>
          </w:tcPr>
          <w:p w14:paraId="3FFFF868" w14:textId="375CA2D5" w:rsidR="008B2A81" w:rsidRDefault="008B2A81" w:rsidP="008B2A81">
            <w:pPr>
              <w:pStyle w:val="TableCentre"/>
            </w:pPr>
            <w:r w:rsidRPr="00C35BA8">
              <w:t>29</w:t>
            </w:r>
          </w:p>
        </w:tc>
        <w:tc>
          <w:tcPr>
            <w:tcW w:w="1275" w:type="dxa"/>
          </w:tcPr>
          <w:p w14:paraId="59E985F8" w14:textId="57B586FB" w:rsidR="008B2A81" w:rsidRDefault="008B2A81" w:rsidP="008B2A81">
            <w:pPr>
              <w:pStyle w:val="TableCentre"/>
            </w:pPr>
            <w:r w:rsidRPr="00C35BA8">
              <w:t>0.65</w:t>
            </w:r>
          </w:p>
        </w:tc>
        <w:tc>
          <w:tcPr>
            <w:tcW w:w="1276" w:type="dxa"/>
          </w:tcPr>
          <w:p w14:paraId="6EC57347" w14:textId="58EB0189" w:rsidR="008B2A81" w:rsidRDefault="008B2A81" w:rsidP="008B2A81">
            <w:pPr>
              <w:pStyle w:val="TableCentre"/>
            </w:pPr>
            <w:r w:rsidRPr="00C35BA8">
              <w:t>181</w:t>
            </w:r>
          </w:p>
        </w:tc>
      </w:tr>
      <w:tr w:rsidR="008B2A81" w:rsidRPr="005A5B60" w14:paraId="6911CF77" w14:textId="77777777" w:rsidTr="00656706">
        <w:tc>
          <w:tcPr>
            <w:tcW w:w="1134" w:type="dxa"/>
          </w:tcPr>
          <w:p w14:paraId="532D53D5" w14:textId="274B65C4" w:rsidR="008B2A81" w:rsidRPr="00B75991" w:rsidRDefault="008B2A81" w:rsidP="008B2A81">
            <w:pPr>
              <w:pStyle w:val="TableCentre"/>
            </w:pPr>
            <w:r>
              <w:t>2014/15</w:t>
            </w:r>
          </w:p>
        </w:tc>
        <w:tc>
          <w:tcPr>
            <w:tcW w:w="1305" w:type="dxa"/>
          </w:tcPr>
          <w:p w14:paraId="0CF6064C" w14:textId="6275162E" w:rsidR="008B2A81" w:rsidRPr="00B75991" w:rsidRDefault="008B2A81" w:rsidP="008B2A81">
            <w:pPr>
              <w:pStyle w:val="TableCentre"/>
            </w:pPr>
            <w:r w:rsidRPr="00C35BA8">
              <w:t>0.53</w:t>
            </w:r>
          </w:p>
        </w:tc>
        <w:tc>
          <w:tcPr>
            <w:tcW w:w="1134" w:type="dxa"/>
          </w:tcPr>
          <w:p w14:paraId="555C4502" w14:textId="40E0CD7C" w:rsidR="008B2A81" w:rsidRDefault="008B2A81" w:rsidP="008B2A81">
            <w:pPr>
              <w:pStyle w:val="TableCentre"/>
            </w:pPr>
            <w:r w:rsidRPr="00C35BA8">
              <w:t>147</w:t>
            </w:r>
          </w:p>
        </w:tc>
        <w:tc>
          <w:tcPr>
            <w:tcW w:w="1276" w:type="dxa"/>
          </w:tcPr>
          <w:p w14:paraId="4FD04ECB" w14:textId="0B37E1AC" w:rsidR="008B2A81" w:rsidRPr="00CA6F8A" w:rsidRDefault="008B2A81" w:rsidP="008B2A81">
            <w:pPr>
              <w:pStyle w:val="TableCentre"/>
            </w:pPr>
            <w:r w:rsidRPr="00C35BA8">
              <w:t>0.10</w:t>
            </w:r>
          </w:p>
        </w:tc>
        <w:tc>
          <w:tcPr>
            <w:tcW w:w="1134" w:type="dxa"/>
          </w:tcPr>
          <w:p w14:paraId="056B9F43" w14:textId="79D92BDE" w:rsidR="008B2A81" w:rsidRDefault="008B2A81" w:rsidP="008B2A81">
            <w:pPr>
              <w:pStyle w:val="TableCentre"/>
            </w:pPr>
            <w:r w:rsidRPr="00C35BA8">
              <w:t>28</w:t>
            </w:r>
          </w:p>
        </w:tc>
        <w:tc>
          <w:tcPr>
            <w:tcW w:w="1275" w:type="dxa"/>
          </w:tcPr>
          <w:p w14:paraId="0CC974D5" w14:textId="1B74E02F" w:rsidR="008B2A81" w:rsidRPr="00CA6F8A" w:rsidRDefault="008B2A81" w:rsidP="008B2A81">
            <w:pPr>
              <w:pStyle w:val="TableCentre"/>
            </w:pPr>
            <w:r w:rsidRPr="00C35BA8">
              <w:t>0.63</w:t>
            </w:r>
          </w:p>
        </w:tc>
        <w:tc>
          <w:tcPr>
            <w:tcW w:w="1276" w:type="dxa"/>
          </w:tcPr>
          <w:p w14:paraId="2793B84B" w14:textId="2824CFFA" w:rsidR="008B2A81" w:rsidRPr="00CA6F8A" w:rsidRDefault="008B2A81" w:rsidP="008B2A81">
            <w:pPr>
              <w:pStyle w:val="TableCentre"/>
            </w:pPr>
            <w:r w:rsidRPr="00C35BA8">
              <w:t>175</w:t>
            </w:r>
          </w:p>
        </w:tc>
      </w:tr>
      <w:tr w:rsidR="008B2A81" w:rsidRPr="005A5B60" w14:paraId="16027028" w14:textId="77777777" w:rsidTr="00656706">
        <w:tc>
          <w:tcPr>
            <w:tcW w:w="1134" w:type="dxa"/>
          </w:tcPr>
          <w:p w14:paraId="7D2F3551" w14:textId="77777777" w:rsidR="008B2A81" w:rsidRDefault="008B2A81" w:rsidP="008B2A81">
            <w:pPr>
              <w:pStyle w:val="TableCentre"/>
            </w:pPr>
            <w:r w:rsidRPr="00B75991">
              <w:t>Latest Estimate</w:t>
            </w:r>
          </w:p>
        </w:tc>
        <w:tc>
          <w:tcPr>
            <w:tcW w:w="1305" w:type="dxa"/>
          </w:tcPr>
          <w:p w14:paraId="171D5E43" w14:textId="4AA6CB59" w:rsidR="008B2A81" w:rsidRDefault="008B2A81" w:rsidP="008B2A81">
            <w:pPr>
              <w:pStyle w:val="TableCentre"/>
            </w:pPr>
            <w:r w:rsidRPr="00C35BA8">
              <w:t>0.49</w:t>
            </w:r>
          </w:p>
        </w:tc>
        <w:tc>
          <w:tcPr>
            <w:tcW w:w="1134" w:type="dxa"/>
          </w:tcPr>
          <w:p w14:paraId="5CB5F14D" w14:textId="7BD3E25B" w:rsidR="008B2A81" w:rsidRDefault="008B2A81" w:rsidP="008B2A81">
            <w:pPr>
              <w:pStyle w:val="TableCentre"/>
            </w:pPr>
            <w:r w:rsidRPr="00C35BA8">
              <w:t>137</w:t>
            </w:r>
          </w:p>
        </w:tc>
        <w:tc>
          <w:tcPr>
            <w:tcW w:w="1276" w:type="dxa"/>
          </w:tcPr>
          <w:p w14:paraId="4AF70352" w14:textId="0A9FB2C6" w:rsidR="008B2A81" w:rsidRDefault="008B2A81" w:rsidP="008B2A81">
            <w:pPr>
              <w:pStyle w:val="TableCentre"/>
            </w:pPr>
            <w:r w:rsidRPr="00C35BA8">
              <w:t>0.09</w:t>
            </w:r>
          </w:p>
        </w:tc>
        <w:tc>
          <w:tcPr>
            <w:tcW w:w="1134" w:type="dxa"/>
          </w:tcPr>
          <w:p w14:paraId="01472D4C" w14:textId="2B9A1732" w:rsidR="008B2A81" w:rsidRDefault="008B2A81" w:rsidP="008B2A81">
            <w:pPr>
              <w:pStyle w:val="TableCentre"/>
            </w:pPr>
            <w:r w:rsidRPr="00C35BA8">
              <w:t>26</w:t>
            </w:r>
          </w:p>
        </w:tc>
        <w:tc>
          <w:tcPr>
            <w:tcW w:w="1275" w:type="dxa"/>
          </w:tcPr>
          <w:p w14:paraId="22A15B2F" w14:textId="517894A8" w:rsidR="008B2A81" w:rsidRDefault="008B2A81" w:rsidP="008B2A81">
            <w:pPr>
              <w:pStyle w:val="TableCentre"/>
            </w:pPr>
            <w:r w:rsidRPr="00C35BA8">
              <w:t>0.58</w:t>
            </w:r>
          </w:p>
        </w:tc>
        <w:tc>
          <w:tcPr>
            <w:tcW w:w="1276" w:type="dxa"/>
          </w:tcPr>
          <w:p w14:paraId="2333D1C0" w14:textId="19EBD36A" w:rsidR="008B2A81" w:rsidRDefault="008B2A81" w:rsidP="008B2A81">
            <w:pPr>
              <w:pStyle w:val="TableCentre"/>
            </w:pPr>
            <w:r w:rsidRPr="00C35BA8">
              <w:t>162</w:t>
            </w:r>
          </w:p>
        </w:tc>
      </w:tr>
      <w:tr w:rsidR="00C466CC" w:rsidRPr="005A5B60" w14:paraId="5DE770ED" w14:textId="77777777" w:rsidTr="00656706">
        <w:trPr>
          <w:cantSplit/>
        </w:trPr>
        <w:tc>
          <w:tcPr>
            <w:tcW w:w="8534" w:type="dxa"/>
            <w:gridSpan w:val="7"/>
            <w:shd w:val="pct15" w:color="auto" w:fill="auto"/>
          </w:tcPr>
          <w:p w14:paraId="76956F9A" w14:textId="77777777" w:rsidR="00C466CC" w:rsidRPr="005A5B60" w:rsidRDefault="00C466CC">
            <w:pPr>
              <w:pStyle w:val="Table"/>
              <w:keepNext/>
              <w:rPr>
                <w:b/>
                <w:bCs/>
                <w:sz w:val="18"/>
                <w:szCs w:val="18"/>
              </w:rPr>
            </w:pPr>
            <w:r w:rsidRPr="005A5B60">
              <w:rPr>
                <w:b/>
                <w:bCs/>
                <w:sz w:val="18"/>
                <w:szCs w:val="18"/>
              </w:rPr>
              <w:t>WESTERN AUSTRALIA—South-West Interconnected System (SWIS)</w:t>
            </w:r>
          </w:p>
        </w:tc>
      </w:tr>
      <w:tr w:rsidR="00C466CC" w:rsidRPr="005A5B60" w14:paraId="02B3AE68" w14:textId="77777777" w:rsidTr="00656706">
        <w:tc>
          <w:tcPr>
            <w:tcW w:w="1134" w:type="dxa"/>
          </w:tcPr>
          <w:p w14:paraId="12E40DA4" w14:textId="77777777" w:rsidR="008B7F00" w:rsidRDefault="00B75991">
            <w:pPr>
              <w:pStyle w:val="TableCentre"/>
            </w:pPr>
            <w:r w:rsidRPr="00B75991">
              <w:t>1989/90</w:t>
            </w:r>
          </w:p>
        </w:tc>
        <w:tc>
          <w:tcPr>
            <w:tcW w:w="1305" w:type="dxa"/>
            <w:vAlign w:val="bottom"/>
          </w:tcPr>
          <w:p w14:paraId="51EC0260" w14:textId="77777777" w:rsidR="008B63D8" w:rsidRDefault="00C466CC">
            <w:pPr>
              <w:pStyle w:val="TableCentre"/>
            </w:pPr>
            <w:r w:rsidRPr="009D40AB">
              <w:t>1.13</w:t>
            </w:r>
          </w:p>
        </w:tc>
        <w:tc>
          <w:tcPr>
            <w:tcW w:w="1134" w:type="dxa"/>
            <w:vAlign w:val="bottom"/>
          </w:tcPr>
          <w:p w14:paraId="662406BF" w14:textId="77777777" w:rsidR="008B63D8" w:rsidRDefault="00C466CC">
            <w:pPr>
              <w:pStyle w:val="TableCentre"/>
            </w:pPr>
            <w:r w:rsidRPr="009D40AB">
              <w:t>314</w:t>
            </w:r>
          </w:p>
        </w:tc>
        <w:tc>
          <w:tcPr>
            <w:tcW w:w="1276" w:type="dxa"/>
            <w:vAlign w:val="bottom"/>
          </w:tcPr>
          <w:p w14:paraId="0F23C07B" w14:textId="77777777" w:rsidR="008B63D8" w:rsidRDefault="00C466CC">
            <w:pPr>
              <w:pStyle w:val="TableCentre"/>
            </w:pPr>
            <w:r w:rsidRPr="009D40AB">
              <w:t>0.20</w:t>
            </w:r>
          </w:p>
        </w:tc>
        <w:tc>
          <w:tcPr>
            <w:tcW w:w="1134" w:type="dxa"/>
            <w:vAlign w:val="bottom"/>
          </w:tcPr>
          <w:p w14:paraId="699BE228" w14:textId="77777777" w:rsidR="008B63D8" w:rsidRDefault="00C466CC">
            <w:pPr>
              <w:pStyle w:val="TableCentre"/>
            </w:pPr>
            <w:r w:rsidRPr="009D40AB">
              <w:t>54</w:t>
            </w:r>
          </w:p>
        </w:tc>
        <w:tc>
          <w:tcPr>
            <w:tcW w:w="1275" w:type="dxa"/>
            <w:vAlign w:val="bottom"/>
          </w:tcPr>
          <w:p w14:paraId="1C401092" w14:textId="77777777" w:rsidR="008B63D8" w:rsidRDefault="00C466CC">
            <w:pPr>
              <w:pStyle w:val="TableCentre"/>
            </w:pPr>
            <w:r w:rsidRPr="009D40AB">
              <w:t>1.33</w:t>
            </w:r>
          </w:p>
        </w:tc>
        <w:tc>
          <w:tcPr>
            <w:tcW w:w="1276" w:type="dxa"/>
            <w:vAlign w:val="bottom"/>
          </w:tcPr>
          <w:p w14:paraId="60C86410" w14:textId="77777777" w:rsidR="008B63D8" w:rsidRDefault="00B7270B">
            <w:pPr>
              <w:pStyle w:val="TableCentre"/>
            </w:pPr>
            <w:r>
              <w:t>369</w:t>
            </w:r>
          </w:p>
        </w:tc>
      </w:tr>
      <w:tr w:rsidR="00C466CC" w:rsidRPr="005A5B60" w14:paraId="7FCD3A8D" w14:textId="77777777" w:rsidTr="00656706">
        <w:tc>
          <w:tcPr>
            <w:tcW w:w="1134" w:type="dxa"/>
          </w:tcPr>
          <w:p w14:paraId="4236712C" w14:textId="77777777" w:rsidR="008B7F00" w:rsidRDefault="00B75991">
            <w:pPr>
              <w:pStyle w:val="TableCentre"/>
            </w:pPr>
            <w:r w:rsidRPr="00B75991">
              <w:t>1994/95</w:t>
            </w:r>
          </w:p>
        </w:tc>
        <w:tc>
          <w:tcPr>
            <w:tcW w:w="1305" w:type="dxa"/>
            <w:vAlign w:val="bottom"/>
          </w:tcPr>
          <w:p w14:paraId="3DA070F7" w14:textId="77777777" w:rsidR="008B63D8" w:rsidRDefault="008231BE">
            <w:pPr>
              <w:pStyle w:val="TableCentre"/>
            </w:pPr>
            <w:r>
              <w:t>1.11</w:t>
            </w:r>
          </w:p>
        </w:tc>
        <w:tc>
          <w:tcPr>
            <w:tcW w:w="1134" w:type="dxa"/>
            <w:vAlign w:val="bottom"/>
          </w:tcPr>
          <w:p w14:paraId="4F1A8540" w14:textId="77777777" w:rsidR="008B63D8" w:rsidRDefault="008231BE">
            <w:pPr>
              <w:pStyle w:val="TableCentre"/>
            </w:pPr>
            <w:r>
              <w:t>308</w:t>
            </w:r>
          </w:p>
        </w:tc>
        <w:tc>
          <w:tcPr>
            <w:tcW w:w="1276" w:type="dxa"/>
            <w:vAlign w:val="bottom"/>
          </w:tcPr>
          <w:p w14:paraId="4776DA11" w14:textId="77777777" w:rsidR="008B63D8" w:rsidRDefault="008231BE">
            <w:pPr>
              <w:pStyle w:val="TableCentre"/>
            </w:pPr>
            <w:r>
              <w:t>0.15</w:t>
            </w:r>
          </w:p>
        </w:tc>
        <w:tc>
          <w:tcPr>
            <w:tcW w:w="1134" w:type="dxa"/>
            <w:vAlign w:val="bottom"/>
          </w:tcPr>
          <w:p w14:paraId="359894A5" w14:textId="77777777" w:rsidR="008B63D8" w:rsidRDefault="008231BE">
            <w:pPr>
              <w:pStyle w:val="TableCentre"/>
            </w:pPr>
            <w:r>
              <w:t>42</w:t>
            </w:r>
          </w:p>
        </w:tc>
        <w:tc>
          <w:tcPr>
            <w:tcW w:w="1275" w:type="dxa"/>
            <w:vAlign w:val="bottom"/>
          </w:tcPr>
          <w:p w14:paraId="398B48F2" w14:textId="77777777" w:rsidR="008B63D8" w:rsidRDefault="00C466CC">
            <w:pPr>
              <w:pStyle w:val="TableCentre"/>
            </w:pPr>
            <w:r w:rsidRPr="009D40AB">
              <w:t>1.26</w:t>
            </w:r>
          </w:p>
        </w:tc>
        <w:tc>
          <w:tcPr>
            <w:tcW w:w="1276" w:type="dxa"/>
            <w:vAlign w:val="bottom"/>
          </w:tcPr>
          <w:p w14:paraId="2F7A3EF0" w14:textId="77777777" w:rsidR="008B63D8" w:rsidRDefault="00C466CC">
            <w:pPr>
              <w:pStyle w:val="TableCentre"/>
            </w:pPr>
            <w:r w:rsidRPr="009D40AB">
              <w:t>350</w:t>
            </w:r>
          </w:p>
        </w:tc>
      </w:tr>
      <w:tr w:rsidR="008B2A81" w:rsidRPr="005A5B60" w14:paraId="3EB60FDE" w14:textId="77777777" w:rsidTr="00656706">
        <w:tc>
          <w:tcPr>
            <w:tcW w:w="1134" w:type="dxa"/>
          </w:tcPr>
          <w:p w14:paraId="7F4C2A5B" w14:textId="77777777" w:rsidR="008B2A81" w:rsidRDefault="008B2A81" w:rsidP="008B2A81">
            <w:pPr>
              <w:pStyle w:val="TableCentre"/>
            </w:pPr>
            <w:r w:rsidRPr="00B75991">
              <w:t>1999/2000</w:t>
            </w:r>
          </w:p>
        </w:tc>
        <w:tc>
          <w:tcPr>
            <w:tcW w:w="1305" w:type="dxa"/>
          </w:tcPr>
          <w:p w14:paraId="2801DE12" w14:textId="1779A081" w:rsidR="008B2A81" w:rsidRDefault="008B2A81" w:rsidP="008B2A81">
            <w:pPr>
              <w:pStyle w:val="TableCentre"/>
            </w:pPr>
            <w:r w:rsidRPr="00DC7FFC">
              <w:t>1.14</w:t>
            </w:r>
          </w:p>
        </w:tc>
        <w:tc>
          <w:tcPr>
            <w:tcW w:w="1134" w:type="dxa"/>
          </w:tcPr>
          <w:p w14:paraId="6AB11980" w14:textId="300F2113" w:rsidR="008B2A81" w:rsidRDefault="008B2A81" w:rsidP="008B2A81">
            <w:pPr>
              <w:pStyle w:val="TableCentre"/>
            </w:pPr>
            <w:r w:rsidRPr="00DC7FFC">
              <w:t>318</w:t>
            </w:r>
          </w:p>
        </w:tc>
        <w:tc>
          <w:tcPr>
            <w:tcW w:w="1276" w:type="dxa"/>
          </w:tcPr>
          <w:p w14:paraId="272C2FD9" w14:textId="4F748FD2" w:rsidR="008B2A81" w:rsidRDefault="008B2A81" w:rsidP="008B2A81">
            <w:pPr>
              <w:pStyle w:val="TableCentre"/>
            </w:pPr>
            <w:r w:rsidRPr="00DC7FFC">
              <w:t>0.14</w:t>
            </w:r>
          </w:p>
        </w:tc>
        <w:tc>
          <w:tcPr>
            <w:tcW w:w="1134" w:type="dxa"/>
          </w:tcPr>
          <w:p w14:paraId="65346455" w14:textId="45BE54CA" w:rsidR="008B2A81" w:rsidRDefault="008B2A81" w:rsidP="008B2A81">
            <w:pPr>
              <w:pStyle w:val="TableCentre"/>
            </w:pPr>
            <w:r w:rsidRPr="00DC7FFC">
              <w:t>39</w:t>
            </w:r>
          </w:p>
        </w:tc>
        <w:tc>
          <w:tcPr>
            <w:tcW w:w="1275" w:type="dxa"/>
          </w:tcPr>
          <w:p w14:paraId="25F9FC2E" w14:textId="515DA3EF" w:rsidR="008B2A81" w:rsidRDefault="008B2A81" w:rsidP="008B2A81">
            <w:pPr>
              <w:pStyle w:val="TableCentre"/>
            </w:pPr>
            <w:r w:rsidRPr="00DC7FFC">
              <w:t>1.29</w:t>
            </w:r>
          </w:p>
        </w:tc>
        <w:tc>
          <w:tcPr>
            <w:tcW w:w="1276" w:type="dxa"/>
          </w:tcPr>
          <w:p w14:paraId="024C2863" w14:textId="1066D7A0" w:rsidR="008B2A81" w:rsidRDefault="008B2A81" w:rsidP="008B2A81">
            <w:pPr>
              <w:pStyle w:val="TableCentre"/>
            </w:pPr>
            <w:r w:rsidRPr="00DC7FFC">
              <w:t>357</w:t>
            </w:r>
          </w:p>
        </w:tc>
      </w:tr>
      <w:tr w:rsidR="008B2A81" w:rsidRPr="005A5B60" w14:paraId="56CFAA27" w14:textId="77777777" w:rsidTr="00656706">
        <w:tc>
          <w:tcPr>
            <w:tcW w:w="1134" w:type="dxa"/>
          </w:tcPr>
          <w:p w14:paraId="698B9070" w14:textId="20A73F7D" w:rsidR="008B2A81" w:rsidRDefault="008B2A81" w:rsidP="008B2A81">
            <w:pPr>
              <w:pStyle w:val="TableCentre"/>
            </w:pPr>
            <w:r w:rsidRPr="000F6D22">
              <w:t>2004/05</w:t>
            </w:r>
          </w:p>
        </w:tc>
        <w:tc>
          <w:tcPr>
            <w:tcW w:w="1305" w:type="dxa"/>
          </w:tcPr>
          <w:p w14:paraId="2A3112E6" w14:textId="546AD9C2" w:rsidR="008B2A81" w:rsidRDefault="008B2A81" w:rsidP="008B2A81">
            <w:pPr>
              <w:pStyle w:val="TableCentre"/>
            </w:pPr>
            <w:r w:rsidRPr="002B1C5F">
              <w:t>0.88</w:t>
            </w:r>
          </w:p>
        </w:tc>
        <w:tc>
          <w:tcPr>
            <w:tcW w:w="1134" w:type="dxa"/>
          </w:tcPr>
          <w:p w14:paraId="37AEBED9" w14:textId="2230D001" w:rsidR="008B2A81" w:rsidRDefault="008B2A81" w:rsidP="008B2A81">
            <w:pPr>
              <w:pStyle w:val="TableCentre"/>
            </w:pPr>
            <w:r w:rsidRPr="002B1C5F">
              <w:t>246</w:t>
            </w:r>
          </w:p>
        </w:tc>
        <w:tc>
          <w:tcPr>
            <w:tcW w:w="1276" w:type="dxa"/>
          </w:tcPr>
          <w:p w14:paraId="45DC54A3" w14:textId="45A878C0" w:rsidR="008B2A81" w:rsidRDefault="008B2A81" w:rsidP="008B2A81">
            <w:pPr>
              <w:pStyle w:val="TableCentre"/>
            </w:pPr>
            <w:r w:rsidRPr="002B1C5F">
              <w:t>0.09</w:t>
            </w:r>
          </w:p>
        </w:tc>
        <w:tc>
          <w:tcPr>
            <w:tcW w:w="1134" w:type="dxa"/>
          </w:tcPr>
          <w:p w14:paraId="30A7C7D5" w14:textId="6B2D350A" w:rsidR="008B2A81" w:rsidRDefault="008B2A81" w:rsidP="008B2A81">
            <w:pPr>
              <w:pStyle w:val="TableCentre"/>
            </w:pPr>
            <w:r w:rsidRPr="002B1C5F">
              <w:t>24</w:t>
            </w:r>
          </w:p>
        </w:tc>
        <w:tc>
          <w:tcPr>
            <w:tcW w:w="1275" w:type="dxa"/>
          </w:tcPr>
          <w:p w14:paraId="2FAA0F52" w14:textId="4058B1ED" w:rsidR="008B2A81" w:rsidRDefault="008B2A81" w:rsidP="008B2A81">
            <w:pPr>
              <w:pStyle w:val="TableCentre"/>
            </w:pPr>
            <w:r w:rsidRPr="002B1C5F">
              <w:t>0.97</w:t>
            </w:r>
          </w:p>
        </w:tc>
        <w:tc>
          <w:tcPr>
            <w:tcW w:w="1276" w:type="dxa"/>
          </w:tcPr>
          <w:p w14:paraId="2A1A8792" w14:textId="25AE9D27" w:rsidR="008B2A81" w:rsidRDefault="008B2A81" w:rsidP="008B2A81">
            <w:pPr>
              <w:pStyle w:val="TableCentre"/>
            </w:pPr>
            <w:r w:rsidRPr="002B1C5F">
              <w:t>270</w:t>
            </w:r>
          </w:p>
        </w:tc>
      </w:tr>
      <w:tr w:rsidR="008B2A81" w:rsidRPr="005A5B60" w14:paraId="720730A3" w14:textId="77777777" w:rsidTr="00656706">
        <w:tc>
          <w:tcPr>
            <w:tcW w:w="1134" w:type="dxa"/>
          </w:tcPr>
          <w:p w14:paraId="77BF8A42" w14:textId="5EEB0A7B" w:rsidR="008B2A81" w:rsidRDefault="008B2A81" w:rsidP="008B2A81">
            <w:pPr>
              <w:pStyle w:val="TableCentre"/>
            </w:pPr>
            <w:r w:rsidRPr="000F6D22">
              <w:t xml:space="preserve">2005/06 </w:t>
            </w:r>
          </w:p>
        </w:tc>
        <w:tc>
          <w:tcPr>
            <w:tcW w:w="1305" w:type="dxa"/>
          </w:tcPr>
          <w:p w14:paraId="0A27FBFE" w14:textId="36CFA2A8" w:rsidR="008B2A81" w:rsidRDefault="008B2A81" w:rsidP="008B2A81">
            <w:pPr>
              <w:pStyle w:val="TableCentre"/>
            </w:pPr>
            <w:r w:rsidRPr="002B1C5F">
              <w:t>0.88</w:t>
            </w:r>
          </w:p>
        </w:tc>
        <w:tc>
          <w:tcPr>
            <w:tcW w:w="1134" w:type="dxa"/>
          </w:tcPr>
          <w:p w14:paraId="3AFAF60C" w14:textId="569FD76E" w:rsidR="008B2A81" w:rsidRDefault="008B2A81" w:rsidP="008B2A81">
            <w:pPr>
              <w:pStyle w:val="TableCentre"/>
            </w:pPr>
            <w:r w:rsidRPr="002B1C5F">
              <w:t>244</w:t>
            </w:r>
          </w:p>
        </w:tc>
        <w:tc>
          <w:tcPr>
            <w:tcW w:w="1276" w:type="dxa"/>
          </w:tcPr>
          <w:p w14:paraId="48BDFBBB" w14:textId="4D186CFA" w:rsidR="008B2A81" w:rsidRDefault="008B2A81" w:rsidP="008B2A81">
            <w:pPr>
              <w:pStyle w:val="TableCentre"/>
            </w:pPr>
            <w:r w:rsidRPr="002B1C5F">
              <w:t>0.08</w:t>
            </w:r>
          </w:p>
        </w:tc>
        <w:tc>
          <w:tcPr>
            <w:tcW w:w="1134" w:type="dxa"/>
          </w:tcPr>
          <w:p w14:paraId="3B6F18D0" w14:textId="3D19A0BE" w:rsidR="008B2A81" w:rsidRDefault="008B2A81" w:rsidP="008B2A81">
            <w:pPr>
              <w:pStyle w:val="TableCentre"/>
            </w:pPr>
            <w:r w:rsidRPr="002B1C5F">
              <w:t>23</w:t>
            </w:r>
          </w:p>
        </w:tc>
        <w:tc>
          <w:tcPr>
            <w:tcW w:w="1275" w:type="dxa"/>
          </w:tcPr>
          <w:p w14:paraId="3017C246" w14:textId="1B385E69" w:rsidR="008B2A81" w:rsidRDefault="008B2A81" w:rsidP="008B2A81">
            <w:pPr>
              <w:pStyle w:val="TableCentre"/>
            </w:pPr>
            <w:r w:rsidRPr="002B1C5F">
              <w:t>0.96</w:t>
            </w:r>
          </w:p>
        </w:tc>
        <w:tc>
          <w:tcPr>
            <w:tcW w:w="1276" w:type="dxa"/>
          </w:tcPr>
          <w:p w14:paraId="1A84C1B0" w14:textId="5C8A9D43" w:rsidR="008B2A81" w:rsidRDefault="008B2A81" w:rsidP="008B2A81">
            <w:pPr>
              <w:pStyle w:val="TableCentre"/>
            </w:pPr>
            <w:r w:rsidRPr="002B1C5F">
              <w:t>267</w:t>
            </w:r>
          </w:p>
        </w:tc>
      </w:tr>
      <w:tr w:rsidR="008B2A81" w:rsidRPr="005A5B60" w14:paraId="246F18A3" w14:textId="77777777" w:rsidTr="00656706">
        <w:tc>
          <w:tcPr>
            <w:tcW w:w="1134" w:type="dxa"/>
          </w:tcPr>
          <w:p w14:paraId="18E1C3CB" w14:textId="255386CD" w:rsidR="008B2A81" w:rsidRDefault="008B2A81" w:rsidP="008B2A81">
            <w:pPr>
              <w:pStyle w:val="TableCentre"/>
            </w:pPr>
            <w:r w:rsidRPr="000F6D22">
              <w:t>2006/07</w:t>
            </w:r>
          </w:p>
        </w:tc>
        <w:tc>
          <w:tcPr>
            <w:tcW w:w="1305" w:type="dxa"/>
          </w:tcPr>
          <w:p w14:paraId="28210FD9" w14:textId="4CBFF93E" w:rsidR="008B2A81" w:rsidRDefault="008B2A81" w:rsidP="008B2A81">
            <w:pPr>
              <w:pStyle w:val="TableCentre"/>
            </w:pPr>
            <w:r w:rsidRPr="002B1C5F">
              <w:t>0.86</w:t>
            </w:r>
          </w:p>
        </w:tc>
        <w:tc>
          <w:tcPr>
            <w:tcW w:w="1134" w:type="dxa"/>
          </w:tcPr>
          <w:p w14:paraId="1769CE27" w14:textId="7BC99A8F" w:rsidR="008B2A81" w:rsidRDefault="008B2A81" w:rsidP="008B2A81">
            <w:pPr>
              <w:pStyle w:val="TableCentre"/>
            </w:pPr>
            <w:r w:rsidRPr="002B1C5F">
              <w:t>239</w:t>
            </w:r>
          </w:p>
        </w:tc>
        <w:tc>
          <w:tcPr>
            <w:tcW w:w="1276" w:type="dxa"/>
          </w:tcPr>
          <w:p w14:paraId="51166B3C" w14:textId="003B5464" w:rsidR="008B2A81" w:rsidRDefault="008B2A81" w:rsidP="008B2A81">
            <w:pPr>
              <w:pStyle w:val="TableCentre"/>
            </w:pPr>
            <w:r w:rsidRPr="002B1C5F">
              <w:t>0.10</w:t>
            </w:r>
          </w:p>
        </w:tc>
        <w:tc>
          <w:tcPr>
            <w:tcW w:w="1134" w:type="dxa"/>
          </w:tcPr>
          <w:p w14:paraId="641CB80F" w14:textId="7F213E4A" w:rsidR="008B2A81" w:rsidRDefault="008B2A81" w:rsidP="008B2A81">
            <w:pPr>
              <w:pStyle w:val="TableCentre"/>
            </w:pPr>
            <w:r w:rsidRPr="002B1C5F">
              <w:t>27</w:t>
            </w:r>
          </w:p>
        </w:tc>
        <w:tc>
          <w:tcPr>
            <w:tcW w:w="1275" w:type="dxa"/>
          </w:tcPr>
          <w:p w14:paraId="3CCDFA6E" w14:textId="395FA568" w:rsidR="008B2A81" w:rsidRDefault="008B2A81" w:rsidP="008B2A81">
            <w:pPr>
              <w:pStyle w:val="TableCentre"/>
            </w:pPr>
            <w:r w:rsidRPr="002B1C5F">
              <w:t>0.96</w:t>
            </w:r>
          </w:p>
        </w:tc>
        <w:tc>
          <w:tcPr>
            <w:tcW w:w="1276" w:type="dxa"/>
          </w:tcPr>
          <w:p w14:paraId="450D25C7" w14:textId="255946B2" w:rsidR="008B2A81" w:rsidRDefault="008B2A81" w:rsidP="008B2A81">
            <w:pPr>
              <w:pStyle w:val="TableCentre"/>
            </w:pPr>
            <w:r w:rsidRPr="002B1C5F">
              <w:t>265</w:t>
            </w:r>
          </w:p>
        </w:tc>
      </w:tr>
      <w:tr w:rsidR="008B2A81" w:rsidRPr="005A5B60" w14:paraId="7E19BEB7" w14:textId="77777777" w:rsidTr="00656706">
        <w:tc>
          <w:tcPr>
            <w:tcW w:w="1134" w:type="dxa"/>
          </w:tcPr>
          <w:p w14:paraId="5510FAC8" w14:textId="66B66AC3" w:rsidR="008B2A81" w:rsidRDefault="008B2A81" w:rsidP="008B2A81">
            <w:pPr>
              <w:pStyle w:val="TableCentre"/>
            </w:pPr>
            <w:r w:rsidRPr="000F6D22">
              <w:t>2007/08</w:t>
            </w:r>
          </w:p>
        </w:tc>
        <w:tc>
          <w:tcPr>
            <w:tcW w:w="1305" w:type="dxa"/>
          </w:tcPr>
          <w:p w14:paraId="0771B522" w14:textId="6CF9F22E" w:rsidR="008B2A81" w:rsidRDefault="008B2A81" w:rsidP="008B2A81">
            <w:pPr>
              <w:pStyle w:val="TableCentre"/>
            </w:pPr>
            <w:r w:rsidRPr="002B1C5F">
              <w:t>0.86</w:t>
            </w:r>
          </w:p>
        </w:tc>
        <w:tc>
          <w:tcPr>
            <w:tcW w:w="1134" w:type="dxa"/>
          </w:tcPr>
          <w:p w14:paraId="303E9119" w14:textId="4BCCAE8B" w:rsidR="008B2A81" w:rsidRDefault="008B2A81" w:rsidP="008B2A81">
            <w:pPr>
              <w:pStyle w:val="TableCentre"/>
            </w:pPr>
            <w:r w:rsidRPr="002B1C5F">
              <w:t>239</w:t>
            </w:r>
          </w:p>
        </w:tc>
        <w:tc>
          <w:tcPr>
            <w:tcW w:w="1276" w:type="dxa"/>
          </w:tcPr>
          <w:p w14:paraId="6B514B50" w14:textId="0650F0A1" w:rsidR="008B2A81" w:rsidRDefault="008B2A81" w:rsidP="008B2A81">
            <w:pPr>
              <w:pStyle w:val="TableCentre"/>
            </w:pPr>
            <w:r w:rsidRPr="002B1C5F">
              <w:t>0.11</w:t>
            </w:r>
          </w:p>
        </w:tc>
        <w:tc>
          <w:tcPr>
            <w:tcW w:w="1134" w:type="dxa"/>
          </w:tcPr>
          <w:p w14:paraId="28C33719" w14:textId="6A2BF3B4" w:rsidR="008B2A81" w:rsidRDefault="008B2A81" w:rsidP="008B2A81">
            <w:pPr>
              <w:pStyle w:val="TableCentre"/>
            </w:pPr>
            <w:r w:rsidRPr="002B1C5F">
              <w:t>31</w:t>
            </w:r>
          </w:p>
        </w:tc>
        <w:tc>
          <w:tcPr>
            <w:tcW w:w="1275" w:type="dxa"/>
          </w:tcPr>
          <w:p w14:paraId="64257772" w14:textId="33312878" w:rsidR="008B2A81" w:rsidRDefault="008B2A81" w:rsidP="008B2A81">
            <w:pPr>
              <w:pStyle w:val="TableCentre"/>
            </w:pPr>
            <w:r w:rsidRPr="002B1C5F">
              <w:t>0.97</w:t>
            </w:r>
          </w:p>
        </w:tc>
        <w:tc>
          <w:tcPr>
            <w:tcW w:w="1276" w:type="dxa"/>
          </w:tcPr>
          <w:p w14:paraId="0C64478E" w14:textId="7FEA4288" w:rsidR="008B2A81" w:rsidRDefault="008B2A81" w:rsidP="008B2A81">
            <w:pPr>
              <w:pStyle w:val="TableCentre"/>
            </w:pPr>
            <w:r w:rsidRPr="002B1C5F">
              <w:t>270</w:t>
            </w:r>
          </w:p>
        </w:tc>
      </w:tr>
      <w:tr w:rsidR="008B2A81" w:rsidRPr="005A5B60" w14:paraId="735DEAAF" w14:textId="77777777" w:rsidTr="00656706">
        <w:tc>
          <w:tcPr>
            <w:tcW w:w="1134" w:type="dxa"/>
          </w:tcPr>
          <w:p w14:paraId="3CB67229" w14:textId="245B29E5" w:rsidR="008B2A81" w:rsidRDefault="008B2A81" w:rsidP="008B2A81">
            <w:pPr>
              <w:pStyle w:val="TableCentre"/>
            </w:pPr>
            <w:r w:rsidRPr="000F6D22">
              <w:t>2008/09</w:t>
            </w:r>
          </w:p>
        </w:tc>
        <w:tc>
          <w:tcPr>
            <w:tcW w:w="1305" w:type="dxa"/>
          </w:tcPr>
          <w:p w14:paraId="3E465627" w14:textId="59074B6C" w:rsidR="008B2A81" w:rsidRDefault="008B2A81" w:rsidP="008B2A81">
            <w:pPr>
              <w:pStyle w:val="TableCentre"/>
            </w:pPr>
            <w:r w:rsidRPr="002B1C5F">
              <w:t>0.83</w:t>
            </w:r>
          </w:p>
        </w:tc>
        <w:tc>
          <w:tcPr>
            <w:tcW w:w="1134" w:type="dxa"/>
          </w:tcPr>
          <w:p w14:paraId="2B63E60B" w14:textId="07E55D5B" w:rsidR="008B2A81" w:rsidRDefault="008B2A81" w:rsidP="008B2A81">
            <w:pPr>
              <w:pStyle w:val="TableCentre"/>
            </w:pPr>
            <w:r w:rsidRPr="002B1C5F">
              <w:t>231</w:t>
            </w:r>
          </w:p>
        </w:tc>
        <w:tc>
          <w:tcPr>
            <w:tcW w:w="1276" w:type="dxa"/>
          </w:tcPr>
          <w:p w14:paraId="327CFF9A" w14:textId="053B2DD9" w:rsidR="008B2A81" w:rsidRDefault="008B2A81" w:rsidP="008B2A81">
            <w:pPr>
              <w:pStyle w:val="TableCentre"/>
            </w:pPr>
            <w:r w:rsidRPr="002B1C5F">
              <w:t>0.12</w:t>
            </w:r>
          </w:p>
        </w:tc>
        <w:tc>
          <w:tcPr>
            <w:tcW w:w="1134" w:type="dxa"/>
          </w:tcPr>
          <w:p w14:paraId="006674FD" w14:textId="4A5AA3BD" w:rsidR="008B2A81" w:rsidRDefault="008B2A81" w:rsidP="008B2A81">
            <w:pPr>
              <w:pStyle w:val="TableCentre"/>
            </w:pPr>
            <w:r w:rsidRPr="002B1C5F">
              <w:t>33</w:t>
            </w:r>
          </w:p>
        </w:tc>
        <w:tc>
          <w:tcPr>
            <w:tcW w:w="1275" w:type="dxa"/>
          </w:tcPr>
          <w:p w14:paraId="75A2D0AB" w14:textId="1248758F" w:rsidR="008B2A81" w:rsidRDefault="008B2A81" w:rsidP="008B2A81">
            <w:pPr>
              <w:pStyle w:val="TableCentre"/>
            </w:pPr>
            <w:r w:rsidRPr="002B1C5F">
              <w:t>0.95</w:t>
            </w:r>
          </w:p>
        </w:tc>
        <w:tc>
          <w:tcPr>
            <w:tcW w:w="1276" w:type="dxa"/>
          </w:tcPr>
          <w:p w14:paraId="022C2A43" w14:textId="00D2B802" w:rsidR="008B2A81" w:rsidRDefault="008B2A81" w:rsidP="008B2A81">
            <w:pPr>
              <w:pStyle w:val="TableCentre"/>
            </w:pPr>
            <w:r w:rsidRPr="002B1C5F">
              <w:t>264</w:t>
            </w:r>
          </w:p>
        </w:tc>
      </w:tr>
      <w:tr w:rsidR="008B2A81" w:rsidRPr="005A5B60" w14:paraId="7FF8B83F" w14:textId="77777777" w:rsidTr="00656706">
        <w:tc>
          <w:tcPr>
            <w:tcW w:w="1134" w:type="dxa"/>
          </w:tcPr>
          <w:p w14:paraId="75012B11" w14:textId="6538F16E" w:rsidR="008B2A81" w:rsidRDefault="008B2A81" w:rsidP="008B2A81">
            <w:pPr>
              <w:pStyle w:val="TableCentre"/>
            </w:pPr>
            <w:r w:rsidRPr="000F6D22">
              <w:t>2009/10</w:t>
            </w:r>
          </w:p>
        </w:tc>
        <w:tc>
          <w:tcPr>
            <w:tcW w:w="1305" w:type="dxa"/>
          </w:tcPr>
          <w:p w14:paraId="48DE26E2" w14:textId="2EE9DC06" w:rsidR="008B2A81" w:rsidRDefault="008B2A81" w:rsidP="008B2A81">
            <w:pPr>
              <w:pStyle w:val="TableCentre"/>
            </w:pPr>
            <w:r w:rsidRPr="002B1C5F">
              <w:t>0.81</w:t>
            </w:r>
          </w:p>
        </w:tc>
        <w:tc>
          <w:tcPr>
            <w:tcW w:w="1134" w:type="dxa"/>
          </w:tcPr>
          <w:p w14:paraId="0D8681BF" w14:textId="5CAAADF7" w:rsidR="008B2A81" w:rsidRDefault="008B2A81" w:rsidP="008B2A81">
            <w:pPr>
              <w:pStyle w:val="TableCentre"/>
            </w:pPr>
            <w:r w:rsidRPr="002B1C5F">
              <w:t>224</w:t>
            </w:r>
          </w:p>
        </w:tc>
        <w:tc>
          <w:tcPr>
            <w:tcW w:w="1276" w:type="dxa"/>
          </w:tcPr>
          <w:p w14:paraId="7C2C4776" w14:textId="1AE0D5A1" w:rsidR="008B2A81" w:rsidRDefault="008B2A81" w:rsidP="008B2A81">
            <w:pPr>
              <w:pStyle w:val="TableCentre"/>
            </w:pPr>
            <w:r w:rsidRPr="002B1C5F">
              <w:t>0.10</w:t>
            </w:r>
          </w:p>
        </w:tc>
        <w:tc>
          <w:tcPr>
            <w:tcW w:w="1134" w:type="dxa"/>
          </w:tcPr>
          <w:p w14:paraId="49BE7A38" w14:textId="3E704B11" w:rsidR="008B2A81" w:rsidRDefault="008B2A81" w:rsidP="008B2A81">
            <w:pPr>
              <w:pStyle w:val="TableCentre"/>
            </w:pPr>
            <w:r w:rsidRPr="002B1C5F">
              <w:t>28</w:t>
            </w:r>
          </w:p>
        </w:tc>
        <w:tc>
          <w:tcPr>
            <w:tcW w:w="1275" w:type="dxa"/>
          </w:tcPr>
          <w:p w14:paraId="2B639607" w14:textId="74FCB340" w:rsidR="008B2A81" w:rsidRDefault="008B2A81" w:rsidP="008B2A81">
            <w:pPr>
              <w:pStyle w:val="TableCentre"/>
            </w:pPr>
            <w:r w:rsidRPr="002B1C5F">
              <w:t>0.91</w:t>
            </w:r>
          </w:p>
        </w:tc>
        <w:tc>
          <w:tcPr>
            <w:tcW w:w="1276" w:type="dxa"/>
          </w:tcPr>
          <w:p w14:paraId="267F62A9" w14:textId="1D75838E" w:rsidR="008B2A81" w:rsidRDefault="008B2A81" w:rsidP="008B2A81">
            <w:pPr>
              <w:pStyle w:val="TableCentre"/>
            </w:pPr>
            <w:r w:rsidRPr="002B1C5F">
              <w:t>251</w:t>
            </w:r>
          </w:p>
        </w:tc>
      </w:tr>
      <w:tr w:rsidR="008B2A81" w:rsidRPr="005A5B60" w14:paraId="470CA9E7" w14:textId="77777777" w:rsidTr="00656706">
        <w:tc>
          <w:tcPr>
            <w:tcW w:w="1134" w:type="dxa"/>
          </w:tcPr>
          <w:p w14:paraId="03C13457" w14:textId="06CA4277" w:rsidR="008B2A81" w:rsidRDefault="008B2A81" w:rsidP="008B2A81">
            <w:pPr>
              <w:pStyle w:val="TableCentre"/>
            </w:pPr>
            <w:r w:rsidRPr="000F6D22">
              <w:t>2010/11</w:t>
            </w:r>
          </w:p>
        </w:tc>
        <w:tc>
          <w:tcPr>
            <w:tcW w:w="1305" w:type="dxa"/>
          </w:tcPr>
          <w:p w14:paraId="26018D01" w14:textId="4044A83E" w:rsidR="008B2A81" w:rsidRDefault="008B2A81" w:rsidP="008B2A81">
            <w:pPr>
              <w:pStyle w:val="TableCentre"/>
            </w:pPr>
            <w:r w:rsidRPr="002B1C5F">
              <w:t>0.79</w:t>
            </w:r>
          </w:p>
        </w:tc>
        <w:tc>
          <w:tcPr>
            <w:tcW w:w="1134" w:type="dxa"/>
          </w:tcPr>
          <w:p w14:paraId="248B16F6" w14:textId="24F71B35" w:rsidR="008B2A81" w:rsidRDefault="008B2A81" w:rsidP="008B2A81">
            <w:pPr>
              <w:pStyle w:val="TableCentre"/>
            </w:pPr>
            <w:r w:rsidRPr="002B1C5F">
              <w:t>219</w:t>
            </w:r>
          </w:p>
        </w:tc>
        <w:tc>
          <w:tcPr>
            <w:tcW w:w="1276" w:type="dxa"/>
          </w:tcPr>
          <w:p w14:paraId="06FCACAB" w14:textId="36DB7B13" w:rsidR="008B2A81" w:rsidRDefault="008B2A81" w:rsidP="008B2A81">
            <w:pPr>
              <w:pStyle w:val="TableCentre"/>
            </w:pPr>
            <w:r w:rsidRPr="002B1C5F">
              <w:t>0.08</w:t>
            </w:r>
          </w:p>
        </w:tc>
        <w:tc>
          <w:tcPr>
            <w:tcW w:w="1134" w:type="dxa"/>
          </w:tcPr>
          <w:p w14:paraId="2678D2AC" w14:textId="1D0D51EF" w:rsidR="008B2A81" w:rsidRDefault="008B2A81" w:rsidP="008B2A81">
            <w:pPr>
              <w:pStyle w:val="TableCentre"/>
            </w:pPr>
            <w:r w:rsidRPr="002B1C5F">
              <w:t>22</w:t>
            </w:r>
          </w:p>
        </w:tc>
        <w:tc>
          <w:tcPr>
            <w:tcW w:w="1275" w:type="dxa"/>
          </w:tcPr>
          <w:p w14:paraId="0436CCF5" w14:textId="230D02FC" w:rsidR="008B2A81" w:rsidRDefault="008B2A81" w:rsidP="008B2A81">
            <w:pPr>
              <w:pStyle w:val="TableCentre"/>
            </w:pPr>
            <w:r w:rsidRPr="002B1C5F">
              <w:t>0.87</w:t>
            </w:r>
          </w:p>
        </w:tc>
        <w:tc>
          <w:tcPr>
            <w:tcW w:w="1276" w:type="dxa"/>
          </w:tcPr>
          <w:p w14:paraId="45617685" w14:textId="45384A20" w:rsidR="008B2A81" w:rsidRDefault="008B2A81" w:rsidP="008B2A81">
            <w:pPr>
              <w:pStyle w:val="TableCentre"/>
            </w:pPr>
            <w:r w:rsidRPr="002B1C5F">
              <w:t>241</w:t>
            </w:r>
          </w:p>
        </w:tc>
      </w:tr>
      <w:tr w:rsidR="008B2A81" w:rsidRPr="005A5B60" w14:paraId="273DE579" w14:textId="77777777" w:rsidTr="00656706">
        <w:tc>
          <w:tcPr>
            <w:tcW w:w="1134" w:type="dxa"/>
          </w:tcPr>
          <w:p w14:paraId="4BDED7BD" w14:textId="1D35D453" w:rsidR="008B2A81" w:rsidRDefault="008B2A81" w:rsidP="008B2A81">
            <w:pPr>
              <w:pStyle w:val="TableCentre"/>
            </w:pPr>
            <w:r w:rsidRPr="000F6D22">
              <w:t>2011/12</w:t>
            </w:r>
          </w:p>
        </w:tc>
        <w:tc>
          <w:tcPr>
            <w:tcW w:w="1305" w:type="dxa"/>
          </w:tcPr>
          <w:p w14:paraId="3F0738D0" w14:textId="1B807988" w:rsidR="008B2A81" w:rsidRDefault="008B2A81" w:rsidP="008B2A81">
            <w:pPr>
              <w:pStyle w:val="TableCentre"/>
            </w:pPr>
            <w:r w:rsidRPr="002B1C5F">
              <w:t>0.77</w:t>
            </w:r>
          </w:p>
        </w:tc>
        <w:tc>
          <w:tcPr>
            <w:tcW w:w="1134" w:type="dxa"/>
          </w:tcPr>
          <w:p w14:paraId="131B6486" w14:textId="2AC309F5" w:rsidR="008B2A81" w:rsidRDefault="008B2A81" w:rsidP="008B2A81">
            <w:pPr>
              <w:pStyle w:val="TableCentre"/>
            </w:pPr>
            <w:r w:rsidRPr="002B1C5F">
              <w:t>214</w:t>
            </w:r>
          </w:p>
        </w:tc>
        <w:tc>
          <w:tcPr>
            <w:tcW w:w="1276" w:type="dxa"/>
          </w:tcPr>
          <w:p w14:paraId="1CEC1DCE" w14:textId="1761D4A6" w:rsidR="008B2A81" w:rsidRDefault="008B2A81" w:rsidP="008B2A81">
            <w:pPr>
              <w:pStyle w:val="TableCentre"/>
            </w:pPr>
            <w:r w:rsidRPr="002B1C5F">
              <w:t>0.07</w:t>
            </w:r>
          </w:p>
        </w:tc>
        <w:tc>
          <w:tcPr>
            <w:tcW w:w="1134" w:type="dxa"/>
          </w:tcPr>
          <w:p w14:paraId="2940395C" w14:textId="1F279336" w:rsidR="008B2A81" w:rsidRDefault="008B2A81" w:rsidP="008B2A81">
            <w:pPr>
              <w:pStyle w:val="TableCentre"/>
            </w:pPr>
            <w:r w:rsidRPr="002B1C5F">
              <w:t>19</w:t>
            </w:r>
          </w:p>
        </w:tc>
        <w:tc>
          <w:tcPr>
            <w:tcW w:w="1275" w:type="dxa"/>
          </w:tcPr>
          <w:p w14:paraId="1FE549E0" w14:textId="4C474D37" w:rsidR="008B2A81" w:rsidRDefault="008B2A81" w:rsidP="008B2A81">
            <w:pPr>
              <w:pStyle w:val="TableCentre"/>
            </w:pPr>
            <w:r w:rsidRPr="002B1C5F">
              <w:t>0.84</w:t>
            </w:r>
          </w:p>
        </w:tc>
        <w:tc>
          <w:tcPr>
            <w:tcW w:w="1276" w:type="dxa"/>
          </w:tcPr>
          <w:p w14:paraId="3A4FECD8" w14:textId="666A2593" w:rsidR="008B2A81" w:rsidRDefault="008B2A81" w:rsidP="008B2A81">
            <w:pPr>
              <w:pStyle w:val="TableCentre"/>
            </w:pPr>
            <w:r w:rsidRPr="002B1C5F">
              <w:t>233</w:t>
            </w:r>
          </w:p>
        </w:tc>
      </w:tr>
      <w:tr w:rsidR="008B2A81" w:rsidRPr="005A5B60" w14:paraId="0AC15624" w14:textId="77777777" w:rsidTr="00656706">
        <w:tc>
          <w:tcPr>
            <w:tcW w:w="1134" w:type="dxa"/>
          </w:tcPr>
          <w:p w14:paraId="0C9925FB" w14:textId="7F85EBC5" w:rsidR="008B2A81" w:rsidRDefault="008B2A81" w:rsidP="008B2A81">
            <w:pPr>
              <w:pStyle w:val="TableCentre"/>
            </w:pPr>
            <w:r w:rsidRPr="000F6D22">
              <w:t>2012/13</w:t>
            </w:r>
          </w:p>
        </w:tc>
        <w:tc>
          <w:tcPr>
            <w:tcW w:w="1305" w:type="dxa"/>
          </w:tcPr>
          <w:p w14:paraId="6A52CB8C" w14:textId="11305624" w:rsidR="008B2A81" w:rsidRDefault="008B2A81" w:rsidP="008B2A81">
            <w:pPr>
              <w:pStyle w:val="TableCentre"/>
            </w:pPr>
            <w:r w:rsidRPr="002B1C5F">
              <w:t>0.76</w:t>
            </w:r>
          </w:p>
        </w:tc>
        <w:tc>
          <w:tcPr>
            <w:tcW w:w="1134" w:type="dxa"/>
          </w:tcPr>
          <w:p w14:paraId="0557B100" w14:textId="06655F79" w:rsidR="008B2A81" w:rsidRDefault="008B2A81" w:rsidP="008B2A81">
            <w:pPr>
              <w:pStyle w:val="TableCentre"/>
            </w:pPr>
            <w:r w:rsidRPr="002B1C5F">
              <w:t>212</w:t>
            </w:r>
          </w:p>
        </w:tc>
        <w:tc>
          <w:tcPr>
            <w:tcW w:w="1276" w:type="dxa"/>
          </w:tcPr>
          <w:p w14:paraId="102DF923" w14:textId="7A0C67DD" w:rsidR="008B2A81" w:rsidRDefault="008B2A81" w:rsidP="008B2A81">
            <w:pPr>
              <w:pStyle w:val="TableCentre"/>
            </w:pPr>
            <w:r w:rsidRPr="002B1C5F">
              <w:t>0.07</w:t>
            </w:r>
          </w:p>
        </w:tc>
        <w:tc>
          <w:tcPr>
            <w:tcW w:w="1134" w:type="dxa"/>
          </w:tcPr>
          <w:p w14:paraId="4EBB66AA" w14:textId="48F9915B" w:rsidR="008B2A81" w:rsidRDefault="008B2A81" w:rsidP="008B2A81">
            <w:pPr>
              <w:pStyle w:val="TableCentre"/>
            </w:pPr>
            <w:r w:rsidRPr="002B1C5F">
              <w:t>19</w:t>
            </w:r>
          </w:p>
        </w:tc>
        <w:tc>
          <w:tcPr>
            <w:tcW w:w="1275" w:type="dxa"/>
          </w:tcPr>
          <w:p w14:paraId="065E7562" w14:textId="294A2481" w:rsidR="008B2A81" w:rsidRDefault="008B2A81" w:rsidP="008B2A81">
            <w:pPr>
              <w:pStyle w:val="TableCentre"/>
            </w:pPr>
            <w:r w:rsidRPr="002B1C5F">
              <w:t>0.83</w:t>
            </w:r>
          </w:p>
        </w:tc>
        <w:tc>
          <w:tcPr>
            <w:tcW w:w="1276" w:type="dxa"/>
          </w:tcPr>
          <w:p w14:paraId="70C9DA1C" w14:textId="1C67378A" w:rsidR="008B2A81" w:rsidRDefault="008B2A81" w:rsidP="008B2A81">
            <w:pPr>
              <w:pStyle w:val="TableCentre"/>
            </w:pPr>
            <w:r w:rsidRPr="002B1C5F">
              <w:t>231</w:t>
            </w:r>
          </w:p>
        </w:tc>
      </w:tr>
      <w:tr w:rsidR="008B2A81" w:rsidRPr="005A5B60" w14:paraId="2079DB82" w14:textId="77777777" w:rsidTr="00656706">
        <w:tc>
          <w:tcPr>
            <w:tcW w:w="1134" w:type="dxa"/>
          </w:tcPr>
          <w:p w14:paraId="36126132" w14:textId="39580913" w:rsidR="008B2A81" w:rsidRDefault="008B2A81" w:rsidP="008B2A81">
            <w:pPr>
              <w:pStyle w:val="TableCentre"/>
            </w:pPr>
            <w:r w:rsidRPr="000F6D22">
              <w:t>2013/14</w:t>
            </w:r>
          </w:p>
        </w:tc>
        <w:tc>
          <w:tcPr>
            <w:tcW w:w="1305" w:type="dxa"/>
          </w:tcPr>
          <w:p w14:paraId="7A2784E4" w14:textId="3ECA7855" w:rsidR="008B2A81" w:rsidRDefault="008B2A81" w:rsidP="008B2A81">
            <w:pPr>
              <w:pStyle w:val="TableCentre"/>
            </w:pPr>
            <w:r w:rsidRPr="002B1C5F">
              <w:t>0.74</w:t>
            </w:r>
          </w:p>
        </w:tc>
        <w:tc>
          <w:tcPr>
            <w:tcW w:w="1134" w:type="dxa"/>
          </w:tcPr>
          <w:p w14:paraId="592214D7" w14:textId="78772E7D" w:rsidR="008B2A81" w:rsidRDefault="008B2A81" w:rsidP="008B2A81">
            <w:pPr>
              <w:pStyle w:val="TableCentre"/>
            </w:pPr>
            <w:r w:rsidRPr="002B1C5F">
              <w:t>205</w:t>
            </w:r>
          </w:p>
        </w:tc>
        <w:tc>
          <w:tcPr>
            <w:tcW w:w="1276" w:type="dxa"/>
          </w:tcPr>
          <w:p w14:paraId="0B86593F" w14:textId="0F3F7AE8" w:rsidR="008B2A81" w:rsidRDefault="008B2A81" w:rsidP="008B2A81">
            <w:pPr>
              <w:pStyle w:val="TableCentre"/>
            </w:pPr>
            <w:r w:rsidRPr="002B1C5F">
              <w:t>0.07</w:t>
            </w:r>
          </w:p>
        </w:tc>
        <w:tc>
          <w:tcPr>
            <w:tcW w:w="1134" w:type="dxa"/>
          </w:tcPr>
          <w:p w14:paraId="3C1A70E5" w14:textId="115AD5C0" w:rsidR="008B2A81" w:rsidRDefault="008B2A81" w:rsidP="008B2A81">
            <w:pPr>
              <w:pStyle w:val="TableCentre"/>
            </w:pPr>
            <w:r w:rsidRPr="002B1C5F">
              <w:t>20</w:t>
            </w:r>
          </w:p>
        </w:tc>
        <w:tc>
          <w:tcPr>
            <w:tcW w:w="1275" w:type="dxa"/>
          </w:tcPr>
          <w:p w14:paraId="5D69E512" w14:textId="64C6D474" w:rsidR="008B2A81" w:rsidRDefault="008B2A81" w:rsidP="008B2A81">
            <w:pPr>
              <w:pStyle w:val="TableCentre"/>
            </w:pPr>
            <w:r w:rsidRPr="002B1C5F">
              <w:t>0.81</w:t>
            </w:r>
          </w:p>
        </w:tc>
        <w:tc>
          <w:tcPr>
            <w:tcW w:w="1276" w:type="dxa"/>
          </w:tcPr>
          <w:p w14:paraId="4285C240" w14:textId="3AD15EB3" w:rsidR="008B2A81" w:rsidRDefault="008B2A81" w:rsidP="008B2A81">
            <w:pPr>
              <w:pStyle w:val="TableCentre"/>
            </w:pPr>
            <w:r w:rsidRPr="002B1C5F">
              <w:t>225</w:t>
            </w:r>
          </w:p>
        </w:tc>
      </w:tr>
      <w:tr w:rsidR="008B2A81" w:rsidRPr="005A5B60" w14:paraId="003364BB" w14:textId="77777777" w:rsidTr="00656706">
        <w:tc>
          <w:tcPr>
            <w:tcW w:w="1134" w:type="dxa"/>
          </w:tcPr>
          <w:p w14:paraId="2972DCED" w14:textId="4BD265FC" w:rsidR="008B2A81" w:rsidRPr="000F6D22" w:rsidRDefault="008B2A81" w:rsidP="008B2A81">
            <w:pPr>
              <w:pStyle w:val="TableCentre"/>
            </w:pPr>
            <w:r>
              <w:t>2014/15</w:t>
            </w:r>
          </w:p>
        </w:tc>
        <w:tc>
          <w:tcPr>
            <w:tcW w:w="1305" w:type="dxa"/>
          </w:tcPr>
          <w:p w14:paraId="36923C60" w14:textId="44D68024" w:rsidR="008B2A81" w:rsidRPr="00B75991" w:rsidRDefault="008B2A81" w:rsidP="008B2A81">
            <w:pPr>
              <w:pStyle w:val="TableCentre"/>
            </w:pPr>
            <w:r w:rsidRPr="002B1C5F">
              <w:t>0.72</w:t>
            </w:r>
          </w:p>
        </w:tc>
        <w:tc>
          <w:tcPr>
            <w:tcW w:w="1134" w:type="dxa"/>
          </w:tcPr>
          <w:p w14:paraId="23230545" w14:textId="0FF1C368" w:rsidR="008B2A81" w:rsidRPr="00B75991" w:rsidRDefault="008B2A81" w:rsidP="008B2A81">
            <w:pPr>
              <w:pStyle w:val="TableCentre"/>
            </w:pPr>
            <w:r w:rsidRPr="002B1C5F">
              <w:t>199</w:t>
            </w:r>
          </w:p>
        </w:tc>
        <w:tc>
          <w:tcPr>
            <w:tcW w:w="1276" w:type="dxa"/>
          </w:tcPr>
          <w:p w14:paraId="118DEC1B" w14:textId="27D3C071" w:rsidR="008B2A81" w:rsidRPr="00B75991" w:rsidRDefault="008B2A81" w:rsidP="008B2A81">
            <w:pPr>
              <w:pStyle w:val="TableCentre"/>
            </w:pPr>
            <w:r w:rsidRPr="002B1C5F">
              <w:t>0.07</w:t>
            </w:r>
          </w:p>
        </w:tc>
        <w:tc>
          <w:tcPr>
            <w:tcW w:w="1134" w:type="dxa"/>
          </w:tcPr>
          <w:p w14:paraId="0CA77897" w14:textId="3714CE25" w:rsidR="008B2A81" w:rsidRPr="00B75991" w:rsidRDefault="008B2A81" w:rsidP="008B2A81">
            <w:pPr>
              <w:pStyle w:val="TableCentre"/>
            </w:pPr>
            <w:r w:rsidRPr="002B1C5F">
              <w:t>18</w:t>
            </w:r>
          </w:p>
        </w:tc>
        <w:tc>
          <w:tcPr>
            <w:tcW w:w="1275" w:type="dxa"/>
          </w:tcPr>
          <w:p w14:paraId="0FC9F5DA" w14:textId="34352B19" w:rsidR="008B2A81" w:rsidRPr="00B75991" w:rsidRDefault="008B2A81" w:rsidP="008B2A81">
            <w:pPr>
              <w:pStyle w:val="TableCentre"/>
            </w:pPr>
            <w:r w:rsidRPr="002B1C5F">
              <w:t>0.78</w:t>
            </w:r>
          </w:p>
        </w:tc>
        <w:tc>
          <w:tcPr>
            <w:tcW w:w="1276" w:type="dxa"/>
          </w:tcPr>
          <w:p w14:paraId="51E95A20" w14:textId="32784A98" w:rsidR="008B2A81" w:rsidRPr="00B75991" w:rsidRDefault="008B2A81" w:rsidP="008B2A81">
            <w:pPr>
              <w:pStyle w:val="TableCentre"/>
            </w:pPr>
            <w:r w:rsidRPr="002B1C5F">
              <w:t>217</w:t>
            </w:r>
          </w:p>
        </w:tc>
      </w:tr>
      <w:tr w:rsidR="008B2A81" w:rsidRPr="005A5B60" w14:paraId="39FD92D9" w14:textId="77777777" w:rsidTr="00656706">
        <w:tc>
          <w:tcPr>
            <w:tcW w:w="1134" w:type="dxa"/>
          </w:tcPr>
          <w:p w14:paraId="7DE6BDEC" w14:textId="0414F143" w:rsidR="008B2A81" w:rsidRDefault="008B2A81" w:rsidP="008B2A81">
            <w:pPr>
              <w:pStyle w:val="TableCentre"/>
            </w:pPr>
            <w:r w:rsidRPr="00B75991">
              <w:t>Latest Estimate</w:t>
            </w:r>
          </w:p>
        </w:tc>
        <w:tc>
          <w:tcPr>
            <w:tcW w:w="1305" w:type="dxa"/>
          </w:tcPr>
          <w:p w14:paraId="181113AD" w14:textId="0D2ADCD6" w:rsidR="008B2A81" w:rsidRDefault="008B2A81" w:rsidP="008B2A81">
            <w:pPr>
              <w:pStyle w:val="TableCentre"/>
            </w:pPr>
            <w:r w:rsidRPr="002B1C5F">
              <w:t>0.70</w:t>
            </w:r>
          </w:p>
        </w:tc>
        <w:tc>
          <w:tcPr>
            <w:tcW w:w="1134" w:type="dxa"/>
          </w:tcPr>
          <w:p w14:paraId="622CA0F2" w14:textId="4066AF1F" w:rsidR="008B2A81" w:rsidRDefault="008B2A81" w:rsidP="008B2A81">
            <w:pPr>
              <w:pStyle w:val="TableCentre"/>
            </w:pPr>
            <w:r w:rsidRPr="002B1C5F">
              <w:t>196</w:t>
            </w:r>
          </w:p>
        </w:tc>
        <w:tc>
          <w:tcPr>
            <w:tcW w:w="1276" w:type="dxa"/>
          </w:tcPr>
          <w:p w14:paraId="65276098" w14:textId="3E5906A3" w:rsidR="008B2A81" w:rsidRDefault="008B2A81" w:rsidP="008B2A81">
            <w:pPr>
              <w:pStyle w:val="TableCentre"/>
            </w:pPr>
            <w:r w:rsidRPr="002B1C5F">
              <w:t>0.06</w:t>
            </w:r>
          </w:p>
        </w:tc>
        <w:tc>
          <w:tcPr>
            <w:tcW w:w="1134" w:type="dxa"/>
          </w:tcPr>
          <w:p w14:paraId="32B18AA6" w14:textId="786074E7" w:rsidR="008B2A81" w:rsidRDefault="008B2A81" w:rsidP="008B2A81">
            <w:pPr>
              <w:pStyle w:val="TableCentre"/>
            </w:pPr>
            <w:r w:rsidRPr="002B1C5F">
              <w:t>16</w:t>
            </w:r>
          </w:p>
        </w:tc>
        <w:tc>
          <w:tcPr>
            <w:tcW w:w="1275" w:type="dxa"/>
          </w:tcPr>
          <w:p w14:paraId="6020DD91" w14:textId="2771AC05" w:rsidR="008B2A81" w:rsidRDefault="008B2A81" w:rsidP="008B2A81">
            <w:pPr>
              <w:pStyle w:val="TableCentre"/>
            </w:pPr>
            <w:r w:rsidRPr="002B1C5F">
              <w:t>0.76</w:t>
            </w:r>
          </w:p>
        </w:tc>
        <w:tc>
          <w:tcPr>
            <w:tcW w:w="1276" w:type="dxa"/>
          </w:tcPr>
          <w:p w14:paraId="67E0E6A7" w14:textId="4EE0F716" w:rsidR="008B2A81" w:rsidRDefault="008B2A81" w:rsidP="008B2A81">
            <w:pPr>
              <w:pStyle w:val="TableCentre"/>
            </w:pPr>
            <w:r w:rsidRPr="002B1C5F">
              <w:t>212</w:t>
            </w:r>
          </w:p>
        </w:tc>
      </w:tr>
      <w:tr w:rsidR="00C466CC" w:rsidRPr="005A5B60" w14:paraId="60CAE7EA" w14:textId="77777777" w:rsidTr="00656706">
        <w:trPr>
          <w:cantSplit/>
        </w:trPr>
        <w:tc>
          <w:tcPr>
            <w:tcW w:w="8534" w:type="dxa"/>
            <w:gridSpan w:val="7"/>
            <w:shd w:val="pct15" w:color="auto" w:fill="auto"/>
          </w:tcPr>
          <w:p w14:paraId="4FF7642D" w14:textId="77777777" w:rsidR="00C466CC" w:rsidRPr="005A5B60" w:rsidRDefault="00C466CC">
            <w:pPr>
              <w:pStyle w:val="Table"/>
              <w:rPr>
                <w:b/>
                <w:bCs/>
                <w:sz w:val="18"/>
                <w:szCs w:val="18"/>
              </w:rPr>
            </w:pPr>
            <w:r w:rsidRPr="005A5B60">
              <w:rPr>
                <w:b/>
                <w:bCs/>
                <w:sz w:val="18"/>
                <w:szCs w:val="18"/>
              </w:rPr>
              <w:t>TASMANIA</w:t>
            </w:r>
          </w:p>
        </w:tc>
      </w:tr>
      <w:tr w:rsidR="008B2A81" w:rsidRPr="005A5B60" w14:paraId="79D1AE6E" w14:textId="77777777" w:rsidTr="00656706">
        <w:tc>
          <w:tcPr>
            <w:tcW w:w="1134" w:type="dxa"/>
          </w:tcPr>
          <w:p w14:paraId="632FE67B" w14:textId="77777777" w:rsidR="008B2A81" w:rsidRDefault="008B2A81" w:rsidP="008B2A81">
            <w:pPr>
              <w:pStyle w:val="TableCentre"/>
            </w:pPr>
            <w:r w:rsidRPr="00B75991">
              <w:t>1989/90</w:t>
            </w:r>
          </w:p>
        </w:tc>
        <w:tc>
          <w:tcPr>
            <w:tcW w:w="1305" w:type="dxa"/>
          </w:tcPr>
          <w:p w14:paraId="3FA9DACB" w14:textId="2773D478" w:rsidR="008B2A81" w:rsidRDefault="008B2A81" w:rsidP="008B2A81">
            <w:pPr>
              <w:pStyle w:val="TableCentre"/>
            </w:pPr>
            <w:r w:rsidRPr="00CE636C">
              <w:t>0.06</w:t>
            </w:r>
          </w:p>
        </w:tc>
        <w:tc>
          <w:tcPr>
            <w:tcW w:w="1134" w:type="dxa"/>
          </w:tcPr>
          <w:p w14:paraId="723B7CFA" w14:textId="21AAD264" w:rsidR="008B2A81" w:rsidRDefault="008B2A81" w:rsidP="008B2A81">
            <w:pPr>
              <w:pStyle w:val="TableCentre"/>
            </w:pPr>
            <w:r w:rsidRPr="00CE636C">
              <w:t>18</w:t>
            </w:r>
          </w:p>
        </w:tc>
        <w:tc>
          <w:tcPr>
            <w:tcW w:w="1276" w:type="dxa"/>
          </w:tcPr>
          <w:p w14:paraId="6F367DDA" w14:textId="31561527" w:rsidR="008B2A81" w:rsidRDefault="008B2A81" w:rsidP="008B2A81">
            <w:pPr>
              <w:pStyle w:val="TableCentre"/>
            </w:pPr>
            <w:r w:rsidRPr="00CE636C">
              <w:t>0.01</w:t>
            </w:r>
          </w:p>
        </w:tc>
        <w:tc>
          <w:tcPr>
            <w:tcW w:w="1134" w:type="dxa"/>
          </w:tcPr>
          <w:p w14:paraId="1886F7ED" w14:textId="4E76564E" w:rsidR="008B2A81" w:rsidRDefault="008B2A81" w:rsidP="008B2A81">
            <w:pPr>
              <w:pStyle w:val="TableCentre"/>
            </w:pPr>
            <w:r w:rsidRPr="00CE636C">
              <w:t>3</w:t>
            </w:r>
          </w:p>
        </w:tc>
        <w:tc>
          <w:tcPr>
            <w:tcW w:w="1275" w:type="dxa"/>
          </w:tcPr>
          <w:p w14:paraId="0CE20FF3" w14:textId="2CD9BFB6" w:rsidR="008B2A81" w:rsidRDefault="008B2A81" w:rsidP="008B2A81">
            <w:pPr>
              <w:pStyle w:val="TableCentre"/>
            </w:pPr>
            <w:r w:rsidRPr="00CE636C">
              <w:t>0.07</w:t>
            </w:r>
          </w:p>
        </w:tc>
        <w:tc>
          <w:tcPr>
            <w:tcW w:w="1276" w:type="dxa"/>
          </w:tcPr>
          <w:p w14:paraId="578A9061" w14:textId="389C66A2" w:rsidR="008B2A81" w:rsidRDefault="008B2A81" w:rsidP="008B2A81">
            <w:pPr>
              <w:pStyle w:val="TableCentre"/>
            </w:pPr>
            <w:r w:rsidRPr="00CE636C">
              <w:t>20</w:t>
            </w:r>
          </w:p>
        </w:tc>
      </w:tr>
      <w:tr w:rsidR="008B2A81" w:rsidRPr="005A5B60" w14:paraId="09DFDF72" w14:textId="77777777" w:rsidTr="00656706">
        <w:tc>
          <w:tcPr>
            <w:tcW w:w="1134" w:type="dxa"/>
          </w:tcPr>
          <w:p w14:paraId="7C1D9FF4" w14:textId="77777777" w:rsidR="008B2A81" w:rsidRDefault="008B2A81" w:rsidP="008B2A81">
            <w:pPr>
              <w:pStyle w:val="TableCentre"/>
            </w:pPr>
            <w:r w:rsidRPr="00B75991">
              <w:t>1994/95</w:t>
            </w:r>
          </w:p>
        </w:tc>
        <w:tc>
          <w:tcPr>
            <w:tcW w:w="1305" w:type="dxa"/>
          </w:tcPr>
          <w:p w14:paraId="178E465C" w14:textId="631A338F" w:rsidR="008B2A81" w:rsidRDefault="008B2A81" w:rsidP="008B2A81">
            <w:pPr>
              <w:pStyle w:val="TableCentre"/>
            </w:pPr>
            <w:r w:rsidRPr="00B07538">
              <w:t>0.01</w:t>
            </w:r>
          </w:p>
        </w:tc>
        <w:tc>
          <w:tcPr>
            <w:tcW w:w="1134" w:type="dxa"/>
          </w:tcPr>
          <w:p w14:paraId="482DEE7E" w14:textId="7F38E590" w:rsidR="008B2A81" w:rsidRDefault="008B2A81" w:rsidP="008B2A81">
            <w:pPr>
              <w:pStyle w:val="TableCentre"/>
            </w:pPr>
            <w:r w:rsidRPr="00B07538">
              <w:t>2</w:t>
            </w:r>
          </w:p>
        </w:tc>
        <w:tc>
          <w:tcPr>
            <w:tcW w:w="1276" w:type="dxa"/>
          </w:tcPr>
          <w:p w14:paraId="25234505" w14:textId="44CBC5BD" w:rsidR="008B2A81" w:rsidRDefault="008B2A81" w:rsidP="008B2A81">
            <w:pPr>
              <w:pStyle w:val="TableCentre"/>
            </w:pPr>
            <w:r w:rsidRPr="00B07538">
              <w:t>0.00</w:t>
            </w:r>
          </w:p>
        </w:tc>
        <w:tc>
          <w:tcPr>
            <w:tcW w:w="1134" w:type="dxa"/>
          </w:tcPr>
          <w:p w14:paraId="551BA436" w14:textId="586DCA63" w:rsidR="008B2A81" w:rsidRDefault="008B2A81" w:rsidP="008B2A81">
            <w:pPr>
              <w:pStyle w:val="TableCentre"/>
            </w:pPr>
            <w:r w:rsidRPr="00B07538">
              <w:t>0</w:t>
            </w:r>
          </w:p>
        </w:tc>
        <w:tc>
          <w:tcPr>
            <w:tcW w:w="1275" w:type="dxa"/>
          </w:tcPr>
          <w:p w14:paraId="20778BD4" w14:textId="06FA12EE" w:rsidR="008B2A81" w:rsidRDefault="008B2A81" w:rsidP="008B2A81">
            <w:pPr>
              <w:pStyle w:val="TableCentre"/>
            </w:pPr>
            <w:r w:rsidRPr="00B07538">
              <w:t>0.01</w:t>
            </w:r>
          </w:p>
        </w:tc>
        <w:tc>
          <w:tcPr>
            <w:tcW w:w="1276" w:type="dxa"/>
          </w:tcPr>
          <w:p w14:paraId="253C002F" w14:textId="42B4FB91" w:rsidR="008B2A81" w:rsidRDefault="008B2A81" w:rsidP="008B2A81">
            <w:pPr>
              <w:pStyle w:val="TableCentre"/>
            </w:pPr>
            <w:r w:rsidRPr="00B07538">
              <w:t>2</w:t>
            </w:r>
          </w:p>
        </w:tc>
      </w:tr>
      <w:tr w:rsidR="00C466CC" w:rsidRPr="005A5B60" w14:paraId="05DBA45A" w14:textId="77777777" w:rsidTr="00656706">
        <w:tc>
          <w:tcPr>
            <w:tcW w:w="1134" w:type="dxa"/>
          </w:tcPr>
          <w:p w14:paraId="6C8BE01E" w14:textId="77777777" w:rsidR="008B7F00" w:rsidRDefault="00B75991">
            <w:pPr>
              <w:pStyle w:val="TableCentre"/>
            </w:pPr>
            <w:r w:rsidRPr="00B75991">
              <w:t>1999/2000</w:t>
            </w:r>
          </w:p>
        </w:tc>
        <w:tc>
          <w:tcPr>
            <w:tcW w:w="1305" w:type="dxa"/>
            <w:vAlign w:val="bottom"/>
          </w:tcPr>
          <w:p w14:paraId="4D21D895" w14:textId="77777777" w:rsidR="008B63D8" w:rsidRDefault="00C466CC">
            <w:pPr>
              <w:pStyle w:val="TableCentre"/>
            </w:pPr>
            <w:r w:rsidRPr="002446C7">
              <w:t>0.01</w:t>
            </w:r>
          </w:p>
        </w:tc>
        <w:tc>
          <w:tcPr>
            <w:tcW w:w="1134" w:type="dxa"/>
            <w:vAlign w:val="bottom"/>
          </w:tcPr>
          <w:p w14:paraId="267EA55F" w14:textId="77777777" w:rsidR="008B63D8" w:rsidRDefault="00C466CC">
            <w:pPr>
              <w:pStyle w:val="TableCentre"/>
            </w:pPr>
            <w:r w:rsidRPr="002446C7">
              <w:t>2</w:t>
            </w:r>
          </w:p>
        </w:tc>
        <w:tc>
          <w:tcPr>
            <w:tcW w:w="1276" w:type="dxa"/>
            <w:vAlign w:val="bottom"/>
          </w:tcPr>
          <w:p w14:paraId="639AEDCC" w14:textId="77777777" w:rsidR="008B63D8" w:rsidRDefault="00C466CC">
            <w:pPr>
              <w:pStyle w:val="TableCentre"/>
            </w:pPr>
            <w:r w:rsidRPr="002446C7">
              <w:t>0.00</w:t>
            </w:r>
          </w:p>
        </w:tc>
        <w:tc>
          <w:tcPr>
            <w:tcW w:w="1134" w:type="dxa"/>
            <w:vAlign w:val="bottom"/>
          </w:tcPr>
          <w:p w14:paraId="49A1A578" w14:textId="77777777" w:rsidR="008B63D8" w:rsidRDefault="00C466CC">
            <w:pPr>
              <w:pStyle w:val="TableCentre"/>
            </w:pPr>
            <w:r w:rsidRPr="002446C7">
              <w:t>0</w:t>
            </w:r>
          </w:p>
        </w:tc>
        <w:tc>
          <w:tcPr>
            <w:tcW w:w="1275" w:type="dxa"/>
          </w:tcPr>
          <w:p w14:paraId="5955B7D2" w14:textId="77777777" w:rsidR="008B63D8" w:rsidRDefault="00C466CC">
            <w:pPr>
              <w:pStyle w:val="TableCentre"/>
            </w:pPr>
            <w:r w:rsidRPr="005E770F">
              <w:t>0.01</w:t>
            </w:r>
          </w:p>
        </w:tc>
        <w:tc>
          <w:tcPr>
            <w:tcW w:w="1276" w:type="dxa"/>
          </w:tcPr>
          <w:p w14:paraId="4879DB37" w14:textId="77777777" w:rsidR="008B63D8" w:rsidRDefault="00C466CC">
            <w:pPr>
              <w:pStyle w:val="TableCentre"/>
            </w:pPr>
            <w:r w:rsidRPr="005E770F">
              <w:t>2</w:t>
            </w:r>
          </w:p>
        </w:tc>
      </w:tr>
      <w:tr w:rsidR="00DC39DB" w:rsidRPr="005A5B60" w14:paraId="44EB267B" w14:textId="77777777" w:rsidTr="00656706">
        <w:tc>
          <w:tcPr>
            <w:tcW w:w="1134" w:type="dxa"/>
          </w:tcPr>
          <w:p w14:paraId="563CBC3A" w14:textId="77777777" w:rsidR="00DC39DB" w:rsidRDefault="00DC39DB" w:rsidP="00DC39DB">
            <w:pPr>
              <w:pStyle w:val="TableCentre"/>
            </w:pPr>
            <w:r w:rsidRPr="00B75991">
              <w:t>2004/05</w:t>
            </w:r>
          </w:p>
        </w:tc>
        <w:tc>
          <w:tcPr>
            <w:tcW w:w="1305" w:type="dxa"/>
          </w:tcPr>
          <w:p w14:paraId="730DEB5D" w14:textId="3423D1FA" w:rsidR="00DC39DB" w:rsidRDefault="00DC39DB" w:rsidP="00DC39DB">
            <w:pPr>
              <w:pStyle w:val="TableCentre"/>
            </w:pPr>
            <w:r w:rsidRPr="000004B2">
              <w:t>0.03</w:t>
            </w:r>
          </w:p>
        </w:tc>
        <w:tc>
          <w:tcPr>
            <w:tcW w:w="1134" w:type="dxa"/>
          </w:tcPr>
          <w:p w14:paraId="780B3702" w14:textId="5D3B37AA" w:rsidR="00DC39DB" w:rsidRDefault="00DC39DB" w:rsidP="00DC39DB">
            <w:pPr>
              <w:pStyle w:val="TableCentre"/>
            </w:pPr>
            <w:r w:rsidRPr="000004B2">
              <w:t>9</w:t>
            </w:r>
          </w:p>
        </w:tc>
        <w:tc>
          <w:tcPr>
            <w:tcW w:w="1276" w:type="dxa"/>
          </w:tcPr>
          <w:p w14:paraId="614A3B0A" w14:textId="43D3586A" w:rsidR="00DC39DB" w:rsidRDefault="00DC39DB" w:rsidP="00DC39DB">
            <w:pPr>
              <w:pStyle w:val="TableCentre"/>
            </w:pPr>
            <w:r w:rsidRPr="000004B2">
              <w:t>0.01</w:t>
            </w:r>
          </w:p>
        </w:tc>
        <w:tc>
          <w:tcPr>
            <w:tcW w:w="1134" w:type="dxa"/>
          </w:tcPr>
          <w:p w14:paraId="77C7DD73" w14:textId="1DF3A451" w:rsidR="00DC39DB" w:rsidRDefault="00DC39DB" w:rsidP="00DC39DB">
            <w:pPr>
              <w:pStyle w:val="TableCentre"/>
            </w:pPr>
            <w:r w:rsidRPr="000004B2">
              <w:t>3</w:t>
            </w:r>
          </w:p>
        </w:tc>
        <w:tc>
          <w:tcPr>
            <w:tcW w:w="1275" w:type="dxa"/>
          </w:tcPr>
          <w:p w14:paraId="4987776B" w14:textId="26F367AE" w:rsidR="00DC39DB" w:rsidRDefault="00DC39DB" w:rsidP="00DC39DB">
            <w:pPr>
              <w:pStyle w:val="TableCentre"/>
            </w:pPr>
            <w:r w:rsidRPr="000004B2">
              <w:t>0.04</w:t>
            </w:r>
          </w:p>
        </w:tc>
        <w:tc>
          <w:tcPr>
            <w:tcW w:w="1276" w:type="dxa"/>
          </w:tcPr>
          <w:p w14:paraId="6CFD1A69" w14:textId="62DD5726" w:rsidR="00DC39DB" w:rsidRDefault="00DC39DB" w:rsidP="00DC39DB">
            <w:pPr>
              <w:pStyle w:val="TableCentre"/>
            </w:pPr>
            <w:r w:rsidRPr="000004B2">
              <w:t>12</w:t>
            </w:r>
          </w:p>
        </w:tc>
      </w:tr>
      <w:tr w:rsidR="00DC39DB" w:rsidRPr="005A5B60" w14:paraId="31041B79" w14:textId="77777777" w:rsidTr="00656706">
        <w:tc>
          <w:tcPr>
            <w:tcW w:w="1134" w:type="dxa"/>
          </w:tcPr>
          <w:p w14:paraId="0C300BBD" w14:textId="77777777" w:rsidR="00DC39DB" w:rsidRDefault="00DC39DB" w:rsidP="00DC39DB">
            <w:pPr>
              <w:pStyle w:val="TableCentre"/>
            </w:pPr>
            <w:r w:rsidRPr="00B75991">
              <w:t xml:space="preserve">2005/06 </w:t>
            </w:r>
          </w:p>
        </w:tc>
        <w:tc>
          <w:tcPr>
            <w:tcW w:w="1305" w:type="dxa"/>
          </w:tcPr>
          <w:p w14:paraId="2A3EF6FA" w14:textId="27065165" w:rsidR="00DC39DB" w:rsidRDefault="00DC39DB" w:rsidP="00DC39DB">
            <w:pPr>
              <w:pStyle w:val="TableCentre"/>
            </w:pPr>
            <w:r w:rsidRPr="000004B2">
              <w:t>0.05</w:t>
            </w:r>
          </w:p>
        </w:tc>
        <w:tc>
          <w:tcPr>
            <w:tcW w:w="1134" w:type="dxa"/>
          </w:tcPr>
          <w:p w14:paraId="4C9599D4" w14:textId="560C53E2" w:rsidR="00DC39DB" w:rsidRDefault="00DC39DB" w:rsidP="00DC39DB">
            <w:pPr>
              <w:pStyle w:val="TableCentre"/>
            </w:pPr>
            <w:r w:rsidRPr="000004B2">
              <w:t>13</w:t>
            </w:r>
          </w:p>
        </w:tc>
        <w:tc>
          <w:tcPr>
            <w:tcW w:w="1276" w:type="dxa"/>
          </w:tcPr>
          <w:p w14:paraId="223B3F05" w14:textId="00C32FAA" w:rsidR="00DC39DB" w:rsidRDefault="00DC39DB" w:rsidP="00DC39DB">
            <w:pPr>
              <w:pStyle w:val="TableCentre"/>
            </w:pPr>
            <w:r w:rsidRPr="000004B2">
              <w:t>0.01</w:t>
            </w:r>
          </w:p>
        </w:tc>
        <w:tc>
          <w:tcPr>
            <w:tcW w:w="1134" w:type="dxa"/>
          </w:tcPr>
          <w:p w14:paraId="55ED76F6" w14:textId="68B45706" w:rsidR="00DC39DB" w:rsidRDefault="00DC39DB" w:rsidP="00DC39DB">
            <w:pPr>
              <w:pStyle w:val="TableCentre"/>
            </w:pPr>
            <w:r w:rsidRPr="000004B2">
              <w:t>4</w:t>
            </w:r>
          </w:p>
        </w:tc>
        <w:tc>
          <w:tcPr>
            <w:tcW w:w="1275" w:type="dxa"/>
          </w:tcPr>
          <w:p w14:paraId="11F99489" w14:textId="42085F4F" w:rsidR="00DC39DB" w:rsidRDefault="00DC39DB" w:rsidP="00DC39DB">
            <w:pPr>
              <w:pStyle w:val="TableCentre"/>
            </w:pPr>
            <w:r w:rsidRPr="000004B2">
              <w:t>0.06</w:t>
            </w:r>
          </w:p>
        </w:tc>
        <w:tc>
          <w:tcPr>
            <w:tcW w:w="1276" w:type="dxa"/>
          </w:tcPr>
          <w:p w14:paraId="2EC40517" w14:textId="040ED0E5" w:rsidR="00DC39DB" w:rsidRDefault="00DC39DB" w:rsidP="00DC39DB">
            <w:pPr>
              <w:pStyle w:val="TableCentre"/>
            </w:pPr>
            <w:r w:rsidRPr="000004B2">
              <w:t>16</w:t>
            </w:r>
          </w:p>
        </w:tc>
      </w:tr>
      <w:tr w:rsidR="00DC39DB" w:rsidRPr="005A5B60" w14:paraId="3E4CAB85" w14:textId="77777777" w:rsidTr="00656706">
        <w:tc>
          <w:tcPr>
            <w:tcW w:w="1134" w:type="dxa"/>
          </w:tcPr>
          <w:p w14:paraId="059EBBD0" w14:textId="77777777" w:rsidR="00DC39DB" w:rsidRDefault="00DC39DB" w:rsidP="00DC39DB">
            <w:pPr>
              <w:pStyle w:val="TableCentre"/>
            </w:pPr>
            <w:r w:rsidRPr="00B75991">
              <w:t>2006/07</w:t>
            </w:r>
          </w:p>
        </w:tc>
        <w:tc>
          <w:tcPr>
            <w:tcW w:w="1305" w:type="dxa"/>
          </w:tcPr>
          <w:p w14:paraId="3597DFA6" w14:textId="47209D7B" w:rsidR="00DC39DB" w:rsidRDefault="00DC39DB" w:rsidP="00DC39DB">
            <w:pPr>
              <w:pStyle w:val="TableCentre"/>
            </w:pPr>
            <w:r w:rsidRPr="000004B2">
              <w:t>0.13</w:t>
            </w:r>
          </w:p>
        </w:tc>
        <w:tc>
          <w:tcPr>
            <w:tcW w:w="1134" w:type="dxa"/>
          </w:tcPr>
          <w:p w14:paraId="1E6BA8EA" w14:textId="2881A110" w:rsidR="00DC39DB" w:rsidRDefault="00DC39DB" w:rsidP="00DC39DB">
            <w:pPr>
              <w:pStyle w:val="TableCentre"/>
            </w:pPr>
            <w:r w:rsidRPr="000004B2">
              <w:t>35</w:t>
            </w:r>
          </w:p>
        </w:tc>
        <w:tc>
          <w:tcPr>
            <w:tcW w:w="1276" w:type="dxa"/>
          </w:tcPr>
          <w:p w14:paraId="233BE909" w14:textId="50164DB9" w:rsidR="00DC39DB" w:rsidRDefault="00DC39DB" w:rsidP="00DC39DB">
            <w:pPr>
              <w:pStyle w:val="TableCentre"/>
            </w:pPr>
            <w:r w:rsidRPr="000004B2">
              <w:t>0.02</w:t>
            </w:r>
          </w:p>
        </w:tc>
        <w:tc>
          <w:tcPr>
            <w:tcW w:w="1134" w:type="dxa"/>
          </w:tcPr>
          <w:p w14:paraId="4C67B172" w14:textId="4C1021FA" w:rsidR="00DC39DB" w:rsidRDefault="00DC39DB" w:rsidP="00DC39DB">
            <w:pPr>
              <w:pStyle w:val="TableCentre"/>
            </w:pPr>
            <w:r w:rsidRPr="000004B2">
              <w:t>5</w:t>
            </w:r>
          </w:p>
        </w:tc>
        <w:tc>
          <w:tcPr>
            <w:tcW w:w="1275" w:type="dxa"/>
          </w:tcPr>
          <w:p w14:paraId="410F3E93" w14:textId="345FB48E" w:rsidR="00DC39DB" w:rsidRDefault="00DC39DB" w:rsidP="00DC39DB">
            <w:pPr>
              <w:pStyle w:val="TableCentre"/>
            </w:pPr>
            <w:r w:rsidRPr="000004B2">
              <w:t>0.14</w:t>
            </w:r>
          </w:p>
        </w:tc>
        <w:tc>
          <w:tcPr>
            <w:tcW w:w="1276" w:type="dxa"/>
          </w:tcPr>
          <w:p w14:paraId="00E07748" w14:textId="168C0526" w:rsidR="00DC39DB" w:rsidRDefault="00DC39DB" w:rsidP="00DC39DB">
            <w:pPr>
              <w:pStyle w:val="TableCentre"/>
            </w:pPr>
            <w:r w:rsidRPr="000004B2">
              <w:t>39</w:t>
            </w:r>
          </w:p>
        </w:tc>
      </w:tr>
      <w:tr w:rsidR="00DC39DB" w:rsidRPr="005A5B60" w14:paraId="1B8FE1EE" w14:textId="77777777" w:rsidTr="00656706">
        <w:tc>
          <w:tcPr>
            <w:tcW w:w="1134" w:type="dxa"/>
          </w:tcPr>
          <w:p w14:paraId="1E5CE729" w14:textId="77777777" w:rsidR="00DC39DB" w:rsidRDefault="00DC39DB" w:rsidP="00DC39DB">
            <w:pPr>
              <w:pStyle w:val="TableCentre"/>
            </w:pPr>
            <w:r w:rsidRPr="00B75991">
              <w:t>2007/08</w:t>
            </w:r>
          </w:p>
        </w:tc>
        <w:tc>
          <w:tcPr>
            <w:tcW w:w="1305" w:type="dxa"/>
          </w:tcPr>
          <w:p w14:paraId="6D1CC6AA" w14:textId="7BE9485E" w:rsidR="00DC39DB" w:rsidRDefault="00DC39DB" w:rsidP="00DC39DB">
            <w:pPr>
              <w:pStyle w:val="TableCentre"/>
            </w:pPr>
            <w:r w:rsidRPr="000004B2">
              <w:t>0.22</w:t>
            </w:r>
          </w:p>
        </w:tc>
        <w:tc>
          <w:tcPr>
            <w:tcW w:w="1134" w:type="dxa"/>
          </w:tcPr>
          <w:p w14:paraId="03FE5F7F" w14:textId="3292D662" w:rsidR="00DC39DB" w:rsidRDefault="00DC39DB" w:rsidP="00DC39DB">
            <w:pPr>
              <w:pStyle w:val="TableCentre"/>
            </w:pPr>
            <w:r w:rsidRPr="000004B2">
              <w:t>62</w:t>
            </w:r>
          </w:p>
        </w:tc>
        <w:tc>
          <w:tcPr>
            <w:tcW w:w="1276" w:type="dxa"/>
          </w:tcPr>
          <w:p w14:paraId="50A248CD" w14:textId="4D5E5E08" w:rsidR="00DC39DB" w:rsidRDefault="00DC39DB" w:rsidP="00DC39DB">
            <w:pPr>
              <w:pStyle w:val="TableCentre"/>
            </w:pPr>
            <w:r w:rsidRPr="000004B2">
              <w:t>0.02</w:t>
            </w:r>
          </w:p>
        </w:tc>
        <w:tc>
          <w:tcPr>
            <w:tcW w:w="1134" w:type="dxa"/>
          </w:tcPr>
          <w:p w14:paraId="7CCFCD1E" w14:textId="103F09EF" w:rsidR="00DC39DB" w:rsidRDefault="00DC39DB" w:rsidP="00DC39DB">
            <w:pPr>
              <w:pStyle w:val="TableCentre"/>
            </w:pPr>
            <w:r w:rsidRPr="000004B2">
              <w:t>6</w:t>
            </w:r>
          </w:p>
        </w:tc>
        <w:tc>
          <w:tcPr>
            <w:tcW w:w="1275" w:type="dxa"/>
          </w:tcPr>
          <w:p w14:paraId="4AFCE046" w14:textId="336A6A03" w:rsidR="00DC39DB" w:rsidRDefault="00DC39DB" w:rsidP="00DC39DB">
            <w:pPr>
              <w:pStyle w:val="TableCentre"/>
            </w:pPr>
            <w:r w:rsidRPr="000004B2">
              <w:t>0.24</w:t>
            </w:r>
          </w:p>
        </w:tc>
        <w:tc>
          <w:tcPr>
            <w:tcW w:w="1276" w:type="dxa"/>
          </w:tcPr>
          <w:p w14:paraId="6234B851" w14:textId="6E332596" w:rsidR="00DC39DB" w:rsidRDefault="00DC39DB" w:rsidP="00DC39DB">
            <w:pPr>
              <w:pStyle w:val="TableCentre"/>
            </w:pPr>
            <w:r w:rsidRPr="000004B2">
              <w:t>68</w:t>
            </w:r>
          </w:p>
        </w:tc>
      </w:tr>
      <w:tr w:rsidR="00DC39DB" w:rsidRPr="005A5B60" w14:paraId="26357DEA" w14:textId="77777777" w:rsidTr="00656706">
        <w:tc>
          <w:tcPr>
            <w:tcW w:w="1134" w:type="dxa"/>
          </w:tcPr>
          <w:p w14:paraId="79DB2D84" w14:textId="77777777" w:rsidR="00DC39DB" w:rsidRDefault="00DC39DB" w:rsidP="00DC39DB">
            <w:pPr>
              <w:pStyle w:val="TableCentre"/>
            </w:pPr>
            <w:r w:rsidRPr="00B75991">
              <w:t>2008/09</w:t>
            </w:r>
          </w:p>
        </w:tc>
        <w:tc>
          <w:tcPr>
            <w:tcW w:w="1305" w:type="dxa"/>
          </w:tcPr>
          <w:p w14:paraId="686E1AC9" w14:textId="1C249A12" w:rsidR="00DC39DB" w:rsidRDefault="00DC39DB" w:rsidP="00DC39DB">
            <w:pPr>
              <w:pStyle w:val="TableCentre"/>
            </w:pPr>
            <w:r w:rsidRPr="000004B2">
              <w:t>0.31</w:t>
            </w:r>
          </w:p>
        </w:tc>
        <w:tc>
          <w:tcPr>
            <w:tcW w:w="1134" w:type="dxa"/>
          </w:tcPr>
          <w:p w14:paraId="63067858" w14:textId="3DBF7D0C" w:rsidR="00DC39DB" w:rsidRDefault="00DC39DB" w:rsidP="00DC39DB">
            <w:pPr>
              <w:pStyle w:val="TableCentre"/>
            </w:pPr>
            <w:r w:rsidRPr="000004B2">
              <w:t>87</w:t>
            </w:r>
          </w:p>
        </w:tc>
        <w:tc>
          <w:tcPr>
            <w:tcW w:w="1276" w:type="dxa"/>
          </w:tcPr>
          <w:p w14:paraId="0A43B452" w14:textId="3953CD36" w:rsidR="00DC39DB" w:rsidRDefault="00DC39DB" w:rsidP="00DC39DB">
            <w:pPr>
              <w:pStyle w:val="TableCentre"/>
            </w:pPr>
            <w:r w:rsidRPr="000004B2">
              <w:t>0.03</w:t>
            </w:r>
          </w:p>
        </w:tc>
        <w:tc>
          <w:tcPr>
            <w:tcW w:w="1134" w:type="dxa"/>
          </w:tcPr>
          <w:p w14:paraId="626953ED" w14:textId="5DBC892E" w:rsidR="00DC39DB" w:rsidRDefault="00DC39DB" w:rsidP="00DC39DB">
            <w:pPr>
              <w:pStyle w:val="TableCentre"/>
            </w:pPr>
            <w:r w:rsidRPr="000004B2">
              <w:t>8</w:t>
            </w:r>
          </w:p>
        </w:tc>
        <w:tc>
          <w:tcPr>
            <w:tcW w:w="1275" w:type="dxa"/>
          </w:tcPr>
          <w:p w14:paraId="7DC59664" w14:textId="62D0B152" w:rsidR="00DC39DB" w:rsidRDefault="00DC39DB" w:rsidP="00DC39DB">
            <w:pPr>
              <w:pStyle w:val="TableCentre"/>
            </w:pPr>
            <w:r w:rsidRPr="000004B2">
              <w:t>0.34</w:t>
            </w:r>
          </w:p>
        </w:tc>
        <w:tc>
          <w:tcPr>
            <w:tcW w:w="1276" w:type="dxa"/>
          </w:tcPr>
          <w:p w14:paraId="20277EBB" w14:textId="69537BE1" w:rsidR="00DC39DB" w:rsidRDefault="00DC39DB" w:rsidP="00DC39DB">
            <w:pPr>
              <w:pStyle w:val="TableCentre"/>
            </w:pPr>
            <w:r w:rsidRPr="000004B2">
              <w:t>94</w:t>
            </w:r>
          </w:p>
        </w:tc>
      </w:tr>
      <w:tr w:rsidR="00DC39DB" w:rsidRPr="005A5B60" w14:paraId="7CD5CC68" w14:textId="77777777" w:rsidTr="00656706">
        <w:tc>
          <w:tcPr>
            <w:tcW w:w="1134" w:type="dxa"/>
          </w:tcPr>
          <w:p w14:paraId="6D2C3367" w14:textId="77777777" w:rsidR="00DC39DB" w:rsidRDefault="00DC39DB" w:rsidP="00DC39DB">
            <w:pPr>
              <w:pStyle w:val="TableCentre"/>
            </w:pPr>
            <w:r w:rsidRPr="00B75991">
              <w:t>2009/10</w:t>
            </w:r>
          </w:p>
        </w:tc>
        <w:tc>
          <w:tcPr>
            <w:tcW w:w="1305" w:type="dxa"/>
          </w:tcPr>
          <w:p w14:paraId="53BCD580" w14:textId="7F0DB280" w:rsidR="00DC39DB" w:rsidRDefault="00DC39DB" w:rsidP="00DC39DB">
            <w:pPr>
              <w:pStyle w:val="TableCentre"/>
            </w:pPr>
            <w:r w:rsidRPr="000004B2">
              <w:t>0.30</w:t>
            </w:r>
          </w:p>
        </w:tc>
        <w:tc>
          <w:tcPr>
            <w:tcW w:w="1134" w:type="dxa"/>
          </w:tcPr>
          <w:p w14:paraId="0E577CAD" w14:textId="6A4172D7" w:rsidR="00DC39DB" w:rsidRDefault="00DC39DB" w:rsidP="00DC39DB">
            <w:pPr>
              <w:pStyle w:val="TableCentre"/>
            </w:pPr>
            <w:r w:rsidRPr="000004B2">
              <w:t>84</w:t>
            </w:r>
          </w:p>
        </w:tc>
        <w:tc>
          <w:tcPr>
            <w:tcW w:w="1276" w:type="dxa"/>
          </w:tcPr>
          <w:p w14:paraId="4D569EE9" w14:textId="7B48FA8D" w:rsidR="00DC39DB" w:rsidRDefault="00DC39DB" w:rsidP="00DC39DB">
            <w:pPr>
              <w:pStyle w:val="TableCentre"/>
            </w:pPr>
            <w:r w:rsidRPr="000004B2">
              <w:t>0.03</w:t>
            </w:r>
          </w:p>
        </w:tc>
        <w:tc>
          <w:tcPr>
            <w:tcW w:w="1134" w:type="dxa"/>
          </w:tcPr>
          <w:p w14:paraId="0F1B34FA" w14:textId="3ABA692C" w:rsidR="00DC39DB" w:rsidRDefault="00DC39DB" w:rsidP="00DC39DB">
            <w:pPr>
              <w:pStyle w:val="TableCentre"/>
            </w:pPr>
            <w:r w:rsidRPr="000004B2">
              <w:t>8</w:t>
            </w:r>
          </w:p>
        </w:tc>
        <w:tc>
          <w:tcPr>
            <w:tcW w:w="1275" w:type="dxa"/>
          </w:tcPr>
          <w:p w14:paraId="21CC169E" w14:textId="662916BA" w:rsidR="00DC39DB" w:rsidRDefault="00DC39DB" w:rsidP="00DC39DB">
            <w:pPr>
              <w:pStyle w:val="TableCentre"/>
            </w:pPr>
            <w:r w:rsidRPr="000004B2">
              <w:t>0.33</w:t>
            </w:r>
          </w:p>
        </w:tc>
        <w:tc>
          <w:tcPr>
            <w:tcW w:w="1276" w:type="dxa"/>
          </w:tcPr>
          <w:p w14:paraId="2D8C5CED" w14:textId="7F72A88A" w:rsidR="00DC39DB" w:rsidRDefault="00DC39DB" w:rsidP="00DC39DB">
            <w:pPr>
              <w:pStyle w:val="TableCentre"/>
            </w:pPr>
            <w:r w:rsidRPr="000004B2">
              <w:t>92</w:t>
            </w:r>
          </w:p>
        </w:tc>
      </w:tr>
      <w:tr w:rsidR="00DC39DB" w:rsidRPr="005A5B60" w14:paraId="366283B7" w14:textId="77777777" w:rsidTr="00656706">
        <w:tc>
          <w:tcPr>
            <w:tcW w:w="1134" w:type="dxa"/>
          </w:tcPr>
          <w:p w14:paraId="310FA998" w14:textId="77777777" w:rsidR="00DC39DB" w:rsidRDefault="00DC39DB" w:rsidP="00DC39DB">
            <w:pPr>
              <w:pStyle w:val="TableCentre"/>
            </w:pPr>
            <w:r w:rsidRPr="00B75991">
              <w:t>2010/11</w:t>
            </w:r>
          </w:p>
        </w:tc>
        <w:tc>
          <w:tcPr>
            <w:tcW w:w="1305" w:type="dxa"/>
          </w:tcPr>
          <w:p w14:paraId="40E9F0C7" w14:textId="02EA8D94" w:rsidR="00DC39DB" w:rsidRDefault="00DC39DB" w:rsidP="00DC39DB">
            <w:pPr>
              <w:pStyle w:val="TableCentre"/>
            </w:pPr>
            <w:r w:rsidRPr="000004B2">
              <w:t>0.25</w:t>
            </w:r>
          </w:p>
        </w:tc>
        <w:tc>
          <w:tcPr>
            <w:tcW w:w="1134" w:type="dxa"/>
          </w:tcPr>
          <w:p w14:paraId="69C6E3D9" w14:textId="4D91755E" w:rsidR="00DC39DB" w:rsidRDefault="00DC39DB" w:rsidP="00DC39DB">
            <w:pPr>
              <w:pStyle w:val="TableCentre"/>
            </w:pPr>
            <w:r w:rsidRPr="000004B2">
              <w:t>70</w:t>
            </w:r>
          </w:p>
        </w:tc>
        <w:tc>
          <w:tcPr>
            <w:tcW w:w="1276" w:type="dxa"/>
          </w:tcPr>
          <w:p w14:paraId="0E1FE8B5" w14:textId="08D7ADEA" w:rsidR="00DC39DB" w:rsidRDefault="00DC39DB" w:rsidP="00DC39DB">
            <w:pPr>
              <w:pStyle w:val="TableCentre"/>
            </w:pPr>
            <w:r w:rsidRPr="000004B2">
              <w:t>0.03</w:t>
            </w:r>
          </w:p>
        </w:tc>
        <w:tc>
          <w:tcPr>
            <w:tcW w:w="1134" w:type="dxa"/>
          </w:tcPr>
          <w:p w14:paraId="792F184E" w14:textId="512E74E4" w:rsidR="00DC39DB" w:rsidRDefault="00DC39DB" w:rsidP="00DC39DB">
            <w:pPr>
              <w:pStyle w:val="TableCentre"/>
            </w:pPr>
            <w:r w:rsidRPr="000004B2">
              <w:t>8</w:t>
            </w:r>
          </w:p>
        </w:tc>
        <w:tc>
          <w:tcPr>
            <w:tcW w:w="1275" w:type="dxa"/>
          </w:tcPr>
          <w:p w14:paraId="1EC45D27" w14:textId="0C93A6EA" w:rsidR="00DC39DB" w:rsidRDefault="00DC39DB" w:rsidP="00DC39DB">
            <w:pPr>
              <w:pStyle w:val="TableCentre"/>
            </w:pPr>
            <w:r w:rsidRPr="000004B2">
              <w:t>0.28</w:t>
            </w:r>
          </w:p>
        </w:tc>
        <w:tc>
          <w:tcPr>
            <w:tcW w:w="1276" w:type="dxa"/>
          </w:tcPr>
          <w:p w14:paraId="6E365B89" w14:textId="4FCD5C8B" w:rsidR="00DC39DB" w:rsidRDefault="00DC39DB" w:rsidP="00DC39DB">
            <w:pPr>
              <w:pStyle w:val="TableCentre"/>
            </w:pPr>
            <w:r w:rsidRPr="000004B2">
              <w:t>78</w:t>
            </w:r>
          </w:p>
        </w:tc>
      </w:tr>
      <w:tr w:rsidR="00DC39DB" w:rsidRPr="005A5B60" w14:paraId="26A7FCB7" w14:textId="77777777" w:rsidTr="00656706">
        <w:tc>
          <w:tcPr>
            <w:tcW w:w="1134" w:type="dxa"/>
          </w:tcPr>
          <w:p w14:paraId="7C63E183" w14:textId="77777777" w:rsidR="00DC39DB" w:rsidRDefault="00DC39DB" w:rsidP="00DC39DB">
            <w:pPr>
              <w:pStyle w:val="TableCentre"/>
            </w:pPr>
            <w:r w:rsidRPr="00B75991">
              <w:t>2011/12</w:t>
            </w:r>
          </w:p>
        </w:tc>
        <w:tc>
          <w:tcPr>
            <w:tcW w:w="1305" w:type="dxa"/>
          </w:tcPr>
          <w:p w14:paraId="1ECF5D39" w14:textId="60A657A7" w:rsidR="00DC39DB" w:rsidRDefault="00DC39DB" w:rsidP="00DC39DB">
            <w:pPr>
              <w:pStyle w:val="TableCentre"/>
            </w:pPr>
            <w:r w:rsidRPr="000004B2">
              <w:t>0.21</w:t>
            </w:r>
          </w:p>
        </w:tc>
        <w:tc>
          <w:tcPr>
            <w:tcW w:w="1134" w:type="dxa"/>
          </w:tcPr>
          <w:p w14:paraId="14380649" w14:textId="32C3E735" w:rsidR="00DC39DB" w:rsidRDefault="00DC39DB" w:rsidP="00DC39DB">
            <w:pPr>
              <w:pStyle w:val="TableCentre"/>
            </w:pPr>
            <w:r w:rsidRPr="000004B2">
              <w:t>58</w:t>
            </w:r>
          </w:p>
        </w:tc>
        <w:tc>
          <w:tcPr>
            <w:tcW w:w="1276" w:type="dxa"/>
          </w:tcPr>
          <w:p w14:paraId="4455E94C" w14:textId="5CF65595" w:rsidR="00DC39DB" w:rsidRDefault="00DC39DB" w:rsidP="00DC39DB">
            <w:pPr>
              <w:pStyle w:val="TableCentre"/>
            </w:pPr>
            <w:r w:rsidRPr="000004B2">
              <w:t>0.03</w:t>
            </w:r>
          </w:p>
        </w:tc>
        <w:tc>
          <w:tcPr>
            <w:tcW w:w="1134" w:type="dxa"/>
          </w:tcPr>
          <w:p w14:paraId="2EE3ED17" w14:textId="74809562" w:rsidR="00DC39DB" w:rsidRDefault="00DC39DB" w:rsidP="00DC39DB">
            <w:pPr>
              <w:pStyle w:val="TableCentre"/>
            </w:pPr>
            <w:r w:rsidRPr="000004B2">
              <w:t>7</w:t>
            </w:r>
          </w:p>
        </w:tc>
        <w:tc>
          <w:tcPr>
            <w:tcW w:w="1275" w:type="dxa"/>
          </w:tcPr>
          <w:p w14:paraId="790B5515" w14:textId="222A4096" w:rsidR="00DC39DB" w:rsidRDefault="00DC39DB" w:rsidP="00DC39DB">
            <w:pPr>
              <w:pStyle w:val="TableCentre"/>
            </w:pPr>
            <w:r w:rsidRPr="000004B2">
              <w:t>0.24</w:t>
            </w:r>
          </w:p>
        </w:tc>
        <w:tc>
          <w:tcPr>
            <w:tcW w:w="1276" w:type="dxa"/>
          </w:tcPr>
          <w:p w14:paraId="42CBFCA4" w14:textId="750DA983" w:rsidR="00DC39DB" w:rsidRDefault="00DC39DB" w:rsidP="00DC39DB">
            <w:pPr>
              <w:pStyle w:val="TableCentre"/>
            </w:pPr>
            <w:r w:rsidRPr="000004B2">
              <w:t>66</w:t>
            </w:r>
          </w:p>
        </w:tc>
      </w:tr>
      <w:tr w:rsidR="00DC39DB" w:rsidRPr="005A5B60" w14:paraId="5697B819" w14:textId="77777777" w:rsidTr="00656706">
        <w:tc>
          <w:tcPr>
            <w:tcW w:w="1134" w:type="dxa"/>
          </w:tcPr>
          <w:p w14:paraId="1596C9DB" w14:textId="77777777" w:rsidR="00DC39DB" w:rsidRDefault="00DC39DB" w:rsidP="00DC39DB">
            <w:pPr>
              <w:pStyle w:val="TableCentre"/>
            </w:pPr>
            <w:r w:rsidRPr="00B75991">
              <w:t>2012/13</w:t>
            </w:r>
          </w:p>
        </w:tc>
        <w:tc>
          <w:tcPr>
            <w:tcW w:w="1305" w:type="dxa"/>
          </w:tcPr>
          <w:p w14:paraId="54CA9413" w14:textId="605C6315" w:rsidR="00DC39DB" w:rsidRDefault="00DC39DB" w:rsidP="00DC39DB">
            <w:pPr>
              <w:pStyle w:val="TableCentre"/>
            </w:pPr>
            <w:r w:rsidRPr="000004B2">
              <w:t>0.16</w:t>
            </w:r>
          </w:p>
        </w:tc>
        <w:tc>
          <w:tcPr>
            <w:tcW w:w="1134" w:type="dxa"/>
          </w:tcPr>
          <w:p w14:paraId="7A9F7B9C" w14:textId="0E20A076" w:rsidR="00DC39DB" w:rsidRDefault="00DC39DB" w:rsidP="00DC39DB">
            <w:pPr>
              <w:pStyle w:val="TableCentre"/>
            </w:pPr>
            <w:r w:rsidRPr="000004B2">
              <w:t>44</w:t>
            </w:r>
          </w:p>
        </w:tc>
        <w:tc>
          <w:tcPr>
            <w:tcW w:w="1276" w:type="dxa"/>
          </w:tcPr>
          <w:p w14:paraId="5356004A" w14:textId="07E87F10" w:rsidR="00DC39DB" w:rsidRDefault="00DC39DB" w:rsidP="00DC39DB">
            <w:pPr>
              <w:pStyle w:val="TableCentre"/>
            </w:pPr>
            <w:r w:rsidRPr="000004B2">
              <w:t>0.02</w:t>
            </w:r>
          </w:p>
        </w:tc>
        <w:tc>
          <w:tcPr>
            <w:tcW w:w="1134" w:type="dxa"/>
          </w:tcPr>
          <w:p w14:paraId="2555F106" w14:textId="4B05C421" w:rsidR="00DC39DB" w:rsidRDefault="00DC39DB" w:rsidP="00DC39DB">
            <w:pPr>
              <w:pStyle w:val="TableCentre"/>
            </w:pPr>
            <w:r w:rsidRPr="000004B2">
              <w:t>7</w:t>
            </w:r>
          </w:p>
        </w:tc>
        <w:tc>
          <w:tcPr>
            <w:tcW w:w="1275" w:type="dxa"/>
          </w:tcPr>
          <w:p w14:paraId="6D0C3A5C" w14:textId="7BFFE2AA" w:rsidR="00DC39DB" w:rsidRDefault="00DC39DB" w:rsidP="00DC39DB">
            <w:pPr>
              <w:pStyle w:val="TableCentre"/>
            </w:pPr>
            <w:r w:rsidRPr="000004B2">
              <w:t>0.18</w:t>
            </w:r>
          </w:p>
        </w:tc>
        <w:tc>
          <w:tcPr>
            <w:tcW w:w="1276" w:type="dxa"/>
          </w:tcPr>
          <w:p w14:paraId="0927CAB2" w14:textId="11209EE9" w:rsidR="00DC39DB" w:rsidRDefault="00DC39DB" w:rsidP="00DC39DB">
            <w:pPr>
              <w:pStyle w:val="TableCentre"/>
            </w:pPr>
            <w:r w:rsidRPr="000004B2">
              <w:t>51</w:t>
            </w:r>
          </w:p>
        </w:tc>
      </w:tr>
      <w:tr w:rsidR="00DC39DB" w:rsidRPr="005A5B60" w14:paraId="092DF429" w14:textId="77777777" w:rsidTr="00656706">
        <w:trPr>
          <w:trHeight w:val="205"/>
        </w:trPr>
        <w:tc>
          <w:tcPr>
            <w:tcW w:w="1134" w:type="dxa"/>
          </w:tcPr>
          <w:p w14:paraId="157E8215" w14:textId="77777777" w:rsidR="00DC39DB" w:rsidRDefault="00DC39DB" w:rsidP="00DC39DB">
            <w:pPr>
              <w:pStyle w:val="TableCentre"/>
            </w:pPr>
            <w:r w:rsidRPr="00B75991">
              <w:t>2013/14</w:t>
            </w:r>
          </w:p>
        </w:tc>
        <w:tc>
          <w:tcPr>
            <w:tcW w:w="1305" w:type="dxa"/>
          </w:tcPr>
          <w:p w14:paraId="315121CB" w14:textId="78CE6B81" w:rsidR="00DC39DB" w:rsidRDefault="00DC39DB" w:rsidP="00DC39DB">
            <w:pPr>
              <w:pStyle w:val="TableCentre"/>
            </w:pPr>
            <w:r w:rsidRPr="000004B2">
              <w:t>0.11</w:t>
            </w:r>
          </w:p>
        </w:tc>
        <w:tc>
          <w:tcPr>
            <w:tcW w:w="1134" w:type="dxa"/>
          </w:tcPr>
          <w:p w14:paraId="108A2B23" w14:textId="55D3A97A" w:rsidR="00DC39DB" w:rsidRDefault="00DC39DB" w:rsidP="00DC39DB">
            <w:pPr>
              <w:pStyle w:val="TableCentre"/>
            </w:pPr>
            <w:r w:rsidRPr="000004B2">
              <w:t>29</w:t>
            </w:r>
          </w:p>
        </w:tc>
        <w:tc>
          <w:tcPr>
            <w:tcW w:w="1276" w:type="dxa"/>
          </w:tcPr>
          <w:p w14:paraId="1FA58EA5" w14:textId="54430BF8" w:rsidR="00DC39DB" w:rsidRDefault="00DC39DB" w:rsidP="00DC39DB">
            <w:pPr>
              <w:pStyle w:val="TableCentre"/>
            </w:pPr>
            <w:r w:rsidRPr="000004B2">
              <w:t>0.02</w:t>
            </w:r>
          </w:p>
        </w:tc>
        <w:tc>
          <w:tcPr>
            <w:tcW w:w="1134" w:type="dxa"/>
          </w:tcPr>
          <w:p w14:paraId="2D5E1ADF" w14:textId="45D83943" w:rsidR="00DC39DB" w:rsidRDefault="00DC39DB" w:rsidP="00DC39DB">
            <w:pPr>
              <w:pStyle w:val="TableCentre"/>
            </w:pPr>
            <w:r w:rsidRPr="000004B2">
              <w:t>6</w:t>
            </w:r>
          </w:p>
        </w:tc>
        <w:tc>
          <w:tcPr>
            <w:tcW w:w="1275" w:type="dxa"/>
          </w:tcPr>
          <w:p w14:paraId="0E39A911" w14:textId="2EF8E50C" w:rsidR="00DC39DB" w:rsidRDefault="00DC39DB" w:rsidP="00DC39DB">
            <w:pPr>
              <w:pStyle w:val="TableCentre"/>
            </w:pPr>
            <w:r w:rsidRPr="000004B2">
              <w:t>0.13</w:t>
            </w:r>
          </w:p>
        </w:tc>
        <w:tc>
          <w:tcPr>
            <w:tcW w:w="1276" w:type="dxa"/>
          </w:tcPr>
          <w:p w14:paraId="5517B2AA" w14:textId="14FE4573" w:rsidR="00DC39DB" w:rsidRDefault="00DC39DB" w:rsidP="00DC39DB">
            <w:pPr>
              <w:pStyle w:val="TableCentre"/>
            </w:pPr>
            <w:r w:rsidRPr="000004B2">
              <w:t>35</w:t>
            </w:r>
          </w:p>
        </w:tc>
      </w:tr>
      <w:tr w:rsidR="00DC39DB" w:rsidRPr="005A5B60" w14:paraId="174B3BB1" w14:textId="77777777" w:rsidTr="00656706">
        <w:trPr>
          <w:trHeight w:val="205"/>
        </w:trPr>
        <w:tc>
          <w:tcPr>
            <w:tcW w:w="1134" w:type="dxa"/>
          </w:tcPr>
          <w:p w14:paraId="07D09231" w14:textId="760ACAE4" w:rsidR="00DC39DB" w:rsidRPr="00B75991" w:rsidRDefault="00DC39DB" w:rsidP="00DC39DB">
            <w:pPr>
              <w:pStyle w:val="TableCentre"/>
            </w:pPr>
            <w:r>
              <w:t>2014/15</w:t>
            </w:r>
          </w:p>
        </w:tc>
        <w:tc>
          <w:tcPr>
            <w:tcW w:w="1305" w:type="dxa"/>
          </w:tcPr>
          <w:p w14:paraId="6785058A" w14:textId="79BB0F16" w:rsidR="00DC39DB" w:rsidRPr="00B75991" w:rsidRDefault="00DC39DB" w:rsidP="00DC39DB">
            <w:pPr>
              <w:pStyle w:val="TableCentre"/>
            </w:pPr>
            <w:r w:rsidRPr="000004B2">
              <w:t>0.12</w:t>
            </w:r>
          </w:p>
        </w:tc>
        <w:tc>
          <w:tcPr>
            <w:tcW w:w="1134" w:type="dxa"/>
          </w:tcPr>
          <w:p w14:paraId="7532719F" w14:textId="183EB5AE" w:rsidR="00DC39DB" w:rsidRDefault="00DC39DB" w:rsidP="00DC39DB">
            <w:pPr>
              <w:pStyle w:val="TableCentre"/>
            </w:pPr>
            <w:r w:rsidRPr="000004B2">
              <w:t>33</w:t>
            </w:r>
          </w:p>
        </w:tc>
        <w:tc>
          <w:tcPr>
            <w:tcW w:w="1276" w:type="dxa"/>
          </w:tcPr>
          <w:p w14:paraId="2B3DCF95" w14:textId="38CCA343" w:rsidR="00DC39DB" w:rsidRPr="002446C7" w:rsidRDefault="00DC39DB" w:rsidP="00DC39DB">
            <w:pPr>
              <w:pStyle w:val="TableCentre"/>
            </w:pPr>
            <w:r w:rsidRPr="000004B2">
              <w:t>0.02</w:t>
            </w:r>
          </w:p>
        </w:tc>
        <w:tc>
          <w:tcPr>
            <w:tcW w:w="1134" w:type="dxa"/>
          </w:tcPr>
          <w:p w14:paraId="7D51537A" w14:textId="1DA00D05" w:rsidR="00DC39DB" w:rsidRPr="002446C7" w:rsidRDefault="00DC39DB" w:rsidP="00DC39DB">
            <w:pPr>
              <w:pStyle w:val="TableCentre"/>
            </w:pPr>
            <w:r w:rsidRPr="000004B2">
              <w:t>6</w:t>
            </w:r>
          </w:p>
        </w:tc>
        <w:tc>
          <w:tcPr>
            <w:tcW w:w="1275" w:type="dxa"/>
          </w:tcPr>
          <w:p w14:paraId="33FC730C" w14:textId="20203DD4" w:rsidR="00DC39DB" w:rsidRDefault="00DC39DB" w:rsidP="00DC39DB">
            <w:pPr>
              <w:pStyle w:val="TableCentre"/>
            </w:pPr>
            <w:r w:rsidRPr="000004B2">
              <w:t>0.14</w:t>
            </w:r>
          </w:p>
        </w:tc>
        <w:tc>
          <w:tcPr>
            <w:tcW w:w="1276" w:type="dxa"/>
          </w:tcPr>
          <w:p w14:paraId="76D6536C" w14:textId="0FF0ACA9" w:rsidR="00DC39DB" w:rsidRDefault="00DC39DB" w:rsidP="00DC39DB">
            <w:pPr>
              <w:pStyle w:val="TableCentre"/>
            </w:pPr>
            <w:r w:rsidRPr="000004B2">
              <w:t>39</w:t>
            </w:r>
          </w:p>
        </w:tc>
      </w:tr>
      <w:tr w:rsidR="00DC39DB" w:rsidRPr="005A5B60" w14:paraId="35683F1F" w14:textId="77777777" w:rsidTr="00656706">
        <w:trPr>
          <w:trHeight w:val="536"/>
        </w:trPr>
        <w:tc>
          <w:tcPr>
            <w:tcW w:w="1134" w:type="dxa"/>
          </w:tcPr>
          <w:p w14:paraId="42FC788D" w14:textId="77777777" w:rsidR="00DC39DB" w:rsidRDefault="00DC39DB" w:rsidP="00DC39DB">
            <w:pPr>
              <w:pStyle w:val="TableCentre"/>
            </w:pPr>
            <w:r w:rsidRPr="00B75991">
              <w:t>Latest Estimate</w:t>
            </w:r>
          </w:p>
        </w:tc>
        <w:tc>
          <w:tcPr>
            <w:tcW w:w="1305" w:type="dxa"/>
          </w:tcPr>
          <w:p w14:paraId="6AA980C7" w14:textId="22FB0084" w:rsidR="00DC39DB" w:rsidRDefault="00DC39DB" w:rsidP="00DC39DB">
            <w:pPr>
              <w:pStyle w:val="TableCentre"/>
            </w:pPr>
            <w:r w:rsidRPr="000004B2">
              <w:t>0.14</w:t>
            </w:r>
          </w:p>
        </w:tc>
        <w:tc>
          <w:tcPr>
            <w:tcW w:w="1134" w:type="dxa"/>
          </w:tcPr>
          <w:p w14:paraId="03BE3E0B" w14:textId="0F1F328C" w:rsidR="00DC39DB" w:rsidRDefault="00DC39DB" w:rsidP="00DC39DB">
            <w:pPr>
              <w:pStyle w:val="TableCentre"/>
            </w:pPr>
            <w:r w:rsidRPr="000004B2">
              <w:t>40</w:t>
            </w:r>
          </w:p>
        </w:tc>
        <w:tc>
          <w:tcPr>
            <w:tcW w:w="1276" w:type="dxa"/>
          </w:tcPr>
          <w:p w14:paraId="345EE71E" w14:textId="2F130491" w:rsidR="00DC39DB" w:rsidRDefault="00DC39DB" w:rsidP="00DC39DB">
            <w:pPr>
              <w:pStyle w:val="TableCentre"/>
            </w:pPr>
            <w:r w:rsidRPr="000004B2">
              <w:t>0.03</w:t>
            </w:r>
          </w:p>
        </w:tc>
        <w:tc>
          <w:tcPr>
            <w:tcW w:w="1134" w:type="dxa"/>
          </w:tcPr>
          <w:p w14:paraId="37D52970" w14:textId="1182648C" w:rsidR="00DC39DB" w:rsidRDefault="00DC39DB" w:rsidP="00DC39DB">
            <w:pPr>
              <w:pStyle w:val="TableCentre"/>
            </w:pPr>
            <w:r w:rsidRPr="000004B2">
              <w:t>7</w:t>
            </w:r>
          </w:p>
        </w:tc>
        <w:tc>
          <w:tcPr>
            <w:tcW w:w="1275" w:type="dxa"/>
          </w:tcPr>
          <w:p w14:paraId="07A388BB" w14:textId="1552EF6F" w:rsidR="00DC39DB" w:rsidRDefault="00DC39DB" w:rsidP="00DC39DB">
            <w:pPr>
              <w:pStyle w:val="TableCentre"/>
            </w:pPr>
            <w:r w:rsidRPr="000004B2">
              <w:t>0.17</w:t>
            </w:r>
          </w:p>
        </w:tc>
        <w:tc>
          <w:tcPr>
            <w:tcW w:w="1276" w:type="dxa"/>
          </w:tcPr>
          <w:p w14:paraId="27C115A6" w14:textId="1B693679" w:rsidR="00DC39DB" w:rsidRDefault="00DC39DB" w:rsidP="00DC39DB">
            <w:pPr>
              <w:pStyle w:val="TableCentre"/>
            </w:pPr>
            <w:r w:rsidRPr="000004B2">
              <w:t>47</w:t>
            </w:r>
          </w:p>
        </w:tc>
      </w:tr>
      <w:tr w:rsidR="00C466CC" w:rsidRPr="005A5B60" w14:paraId="6ECABAD0" w14:textId="77777777" w:rsidTr="00656706">
        <w:tc>
          <w:tcPr>
            <w:tcW w:w="8534" w:type="dxa"/>
            <w:gridSpan w:val="7"/>
            <w:shd w:val="clear" w:color="auto" w:fill="D9D9D9"/>
          </w:tcPr>
          <w:p w14:paraId="7B4A5C7A" w14:textId="77777777" w:rsidR="00C466CC" w:rsidRPr="005A5B60" w:rsidRDefault="00C466CC" w:rsidP="00F4769B">
            <w:pPr>
              <w:pStyle w:val="Table"/>
              <w:rPr>
                <w:b/>
                <w:bCs/>
                <w:sz w:val="18"/>
                <w:szCs w:val="18"/>
              </w:rPr>
            </w:pPr>
            <w:r w:rsidRPr="005A5B60">
              <w:rPr>
                <w:b/>
                <w:bCs/>
                <w:sz w:val="18"/>
                <w:szCs w:val="18"/>
              </w:rPr>
              <w:t>NORTHERN TERRITORY</w:t>
            </w:r>
          </w:p>
        </w:tc>
      </w:tr>
      <w:tr w:rsidR="003127C3" w:rsidRPr="005A5B60" w14:paraId="37609B46" w14:textId="77777777" w:rsidTr="00656706">
        <w:tc>
          <w:tcPr>
            <w:tcW w:w="1134" w:type="dxa"/>
          </w:tcPr>
          <w:p w14:paraId="726DBF8F" w14:textId="77777777" w:rsidR="003127C3" w:rsidRDefault="003127C3" w:rsidP="003127C3">
            <w:pPr>
              <w:pStyle w:val="TableCentre"/>
            </w:pPr>
            <w:r w:rsidRPr="00B75991">
              <w:t xml:space="preserve">2005/06 </w:t>
            </w:r>
          </w:p>
        </w:tc>
        <w:tc>
          <w:tcPr>
            <w:tcW w:w="1305" w:type="dxa"/>
          </w:tcPr>
          <w:p w14:paraId="775AD6D8" w14:textId="05683B00" w:rsidR="003127C3" w:rsidRDefault="003127C3" w:rsidP="003127C3">
            <w:pPr>
              <w:pStyle w:val="TableCentre"/>
            </w:pPr>
            <w:r w:rsidRPr="00EC09EC">
              <w:t>0.73</w:t>
            </w:r>
          </w:p>
        </w:tc>
        <w:tc>
          <w:tcPr>
            <w:tcW w:w="1134" w:type="dxa"/>
          </w:tcPr>
          <w:p w14:paraId="72F10D15" w14:textId="08A234C6" w:rsidR="003127C3" w:rsidRDefault="003127C3" w:rsidP="003127C3">
            <w:pPr>
              <w:pStyle w:val="TableCentre"/>
            </w:pPr>
            <w:r w:rsidRPr="00EC09EC">
              <w:t>203</w:t>
            </w:r>
          </w:p>
        </w:tc>
        <w:tc>
          <w:tcPr>
            <w:tcW w:w="1276" w:type="dxa"/>
          </w:tcPr>
          <w:p w14:paraId="248FDF22" w14:textId="153D56C5" w:rsidR="003127C3" w:rsidRDefault="003127C3" w:rsidP="003127C3">
            <w:pPr>
              <w:pStyle w:val="TableCentre"/>
            </w:pPr>
            <w:r w:rsidRPr="00EC09EC">
              <w:t>0.10</w:t>
            </w:r>
          </w:p>
        </w:tc>
        <w:tc>
          <w:tcPr>
            <w:tcW w:w="1134" w:type="dxa"/>
          </w:tcPr>
          <w:p w14:paraId="3E6FE29C" w14:textId="5E8FE682" w:rsidR="003127C3" w:rsidRDefault="003127C3" w:rsidP="003127C3">
            <w:pPr>
              <w:pStyle w:val="TableCentre"/>
            </w:pPr>
            <w:r w:rsidRPr="00EC09EC">
              <w:t>27</w:t>
            </w:r>
          </w:p>
        </w:tc>
        <w:tc>
          <w:tcPr>
            <w:tcW w:w="1275" w:type="dxa"/>
          </w:tcPr>
          <w:p w14:paraId="65554A8B" w14:textId="5D5499E0" w:rsidR="003127C3" w:rsidRDefault="003127C3" w:rsidP="003127C3">
            <w:pPr>
              <w:pStyle w:val="TableCentre"/>
            </w:pPr>
            <w:r w:rsidRPr="00EC09EC">
              <w:t>0.83</w:t>
            </w:r>
          </w:p>
        </w:tc>
        <w:tc>
          <w:tcPr>
            <w:tcW w:w="1276" w:type="dxa"/>
          </w:tcPr>
          <w:p w14:paraId="1419A877" w14:textId="423ACF65" w:rsidR="003127C3" w:rsidRDefault="003127C3" w:rsidP="003127C3">
            <w:pPr>
              <w:pStyle w:val="TableCentre"/>
            </w:pPr>
            <w:r w:rsidRPr="00EC09EC">
              <w:t>230</w:t>
            </w:r>
          </w:p>
        </w:tc>
      </w:tr>
      <w:tr w:rsidR="003127C3" w:rsidRPr="005A5B60" w14:paraId="60F60FC0" w14:textId="77777777" w:rsidTr="00656706">
        <w:tc>
          <w:tcPr>
            <w:tcW w:w="1134" w:type="dxa"/>
          </w:tcPr>
          <w:p w14:paraId="10318F32" w14:textId="77777777" w:rsidR="003127C3" w:rsidRDefault="003127C3" w:rsidP="003127C3">
            <w:pPr>
              <w:pStyle w:val="TableCentre"/>
            </w:pPr>
            <w:r w:rsidRPr="00B75991">
              <w:t>2006/07</w:t>
            </w:r>
          </w:p>
        </w:tc>
        <w:tc>
          <w:tcPr>
            <w:tcW w:w="1305" w:type="dxa"/>
          </w:tcPr>
          <w:p w14:paraId="584F1E92" w14:textId="7665D514" w:rsidR="003127C3" w:rsidRDefault="003127C3" w:rsidP="003127C3">
            <w:pPr>
              <w:pStyle w:val="TableCentre"/>
            </w:pPr>
            <w:r w:rsidRPr="00EC09EC">
              <w:t>0.72</w:t>
            </w:r>
          </w:p>
        </w:tc>
        <w:tc>
          <w:tcPr>
            <w:tcW w:w="1134" w:type="dxa"/>
          </w:tcPr>
          <w:p w14:paraId="6E54A3B9" w14:textId="5BD311CF" w:rsidR="003127C3" w:rsidRDefault="003127C3" w:rsidP="003127C3">
            <w:pPr>
              <w:pStyle w:val="TableCentre"/>
            </w:pPr>
            <w:r w:rsidRPr="00EC09EC">
              <w:t>200</w:t>
            </w:r>
          </w:p>
        </w:tc>
        <w:tc>
          <w:tcPr>
            <w:tcW w:w="1276" w:type="dxa"/>
          </w:tcPr>
          <w:p w14:paraId="4019E47F" w14:textId="1B06EEA8" w:rsidR="003127C3" w:rsidRDefault="003127C3" w:rsidP="003127C3">
            <w:pPr>
              <w:pStyle w:val="TableCentre"/>
            </w:pPr>
            <w:r w:rsidRPr="00EC09EC">
              <w:t>0.11</w:t>
            </w:r>
          </w:p>
        </w:tc>
        <w:tc>
          <w:tcPr>
            <w:tcW w:w="1134" w:type="dxa"/>
          </w:tcPr>
          <w:p w14:paraId="3C5FB261" w14:textId="025487DB" w:rsidR="003127C3" w:rsidRDefault="003127C3" w:rsidP="003127C3">
            <w:pPr>
              <w:pStyle w:val="TableCentre"/>
            </w:pPr>
            <w:r w:rsidRPr="00EC09EC">
              <w:t>30</w:t>
            </w:r>
          </w:p>
        </w:tc>
        <w:tc>
          <w:tcPr>
            <w:tcW w:w="1275" w:type="dxa"/>
          </w:tcPr>
          <w:p w14:paraId="3E4B0FB3" w14:textId="30AC42F7" w:rsidR="003127C3" w:rsidRDefault="003127C3" w:rsidP="003127C3">
            <w:pPr>
              <w:pStyle w:val="TableCentre"/>
            </w:pPr>
            <w:r w:rsidRPr="00EC09EC">
              <w:t>0.83</w:t>
            </w:r>
          </w:p>
        </w:tc>
        <w:tc>
          <w:tcPr>
            <w:tcW w:w="1276" w:type="dxa"/>
          </w:tcPr>
          <w:p w14:paraId="60A62569" w14:textId="00B7FF60" w:rsidR="003127C3" w:rsidRDefault="003127C3" w:rsidP="003127C3">
            <w:pPr>
              <w:pStyle w:val="TableCentre"/>
            </w:pPr>
            <w:r w:rsidRPr="00EC09EC">
              <w:t>230</w:t>
            </w:r>
          </w:p>
        </w:tc>
      </w:tr>
      <w:tr w:rsidR="003127C3" w:rsidRPr="005A5B60" w14:paraId="12BACF42" w14:textId="77777777" w:rsidTr="00656706">
        <w:tc>
          <w:tcPr>
            <w:tcW w:w="1134" w:type="dxa"/>
          </w:tcPr>
          <w:p w14:paraId="5AC71416" w14:textId="77777777" w:rsidR="003127C3" w:rsidRDefault="003127C3" w:rsidP="003127C3">
            <w:pPr>
              <w:pStyle w:val="TableCentre"/>
            </w:pPr>
            <w:r w:rsidRPr="00B75991">
              <w:t>2007/08</w:t>
            </w:r>
          </w:p>
        </w:tc>
        <w:tc>
          <w:tcPr>
            <w:tcW w:w="1305" w:type="dxa"/>
          </w:tcPr>
          <w:p w14:paraId="225A79F1" w14:textId="234E3398" w:rsidR="003127C3" w:rsidRDefault="003127C3" w:rsidP="003127C3">
            <w:pPr>
              <w:pStyle w:val="TableCentre"/>
            </w:pPr>
            <w:r w:rsidRPr="00EC09EC">
              <w:t>0.70</w:t>
            </w:r>
          </w:p>
        </w:tc>
        <w:tc>
          <w:tcPr>
            <w:tcW w:w="1134" w:type="dxa"/>
          </w:tcPr>
          <w:p w14:paraId="0404E640" w14:textId="3D409F3F" w:rsidR="003127C3" w:rsidRDefault="003127C3" w:rsidP="003127C3">
            <w:pPr>
              <w:pStyle w:val="TableCentre"/>
            </w:pPr>
            <w:r w:rsidRPr="00EC09EC">
              <w:t>195</w:t>
            </w:r>
          </w:p>
        </w:tc>
        <w:tc>
          <w:tcPr>
            <w:tcW w:w="1276" w:type="dxa"/>
          </w:tcPr>
          <w:p w14:paraId="4B01D49B" w14:textId="2C2B9F13" w:rsidR="003127C3" w:rsidRDefault="003127C3" w:rsidP="003127C3">
            <w:pPr>
              <w:pStyle w:val="TableCentre"/>
            </w:pPr>
            <w:r w:rsidRPr="00EC09EC">
              <w:t>0.11</w:t>
            </w:r>
          </w:p>
        </w:tc>
        <w:tc>
          <w:tcPr>
            <w:tcW w:w="1134" w:type="dxa"/>
          </w:tcPr>
          <w:p w14:paraId="2046105B" w14:textId="45DAE37E" w:rsidR="003127C3" w:rsidRDefault="003127C3" w:rsidP="003127C3">
            <w:pPr>
              <w:pStyle w:val="TableCentre"/>
            </w:pPr>
            <w:r w:rsidRPr="00EC09EC">
              <w:t>30</w:t>
            </w:r>
          </w:p>
        </w:tc>
        <w:tc>
          <w:tcPr>
            <w:tcW w:w="1275" w:type="dxa"/>
          </w:tcPr>
          <w:p w14:paraId="3AEE48ED" w14:textId="79765300" w:rsidR="003127C3" w:rsidRDefault="003127C3" w:rsidP="003127C3">
            <w:pPr>
              <w:pStyle w:val="TableCentre"/>
            </w:pPr>
            <w:r w:rsidRPr="00EC09EC">
              <w:t>0.81</w:t>
            </w:r>
          </w:p>
        </w:tc>
        <w:tc>
          <w:tcPr>
            <w:tcW w:w="1276" w:type="dxa"/>
          </w:tcPr>
          <w:p w14:paraId="62708C14" w14:textId="003E6732" w:rsidR="003127C3" w:rsidRDefault="003127C3" w:rsidP="003127C3">
            <w:pPr>
              <w:pStyle w:val="TableCentre"/>
            </w:pPr>
            <w:r w:rsidRPr="00EC09EC">
              <w:t>226</w:t>
            </w:r>
          </w:p>
        </w:tc>
      </w:tr>
      <w:tr w:rsidR="003127C3" w:rsidRPr="005A5B60" w14:paraId="30537997" w14:textId="77777777" w:rsidTr="00656706">
        <w:tc>
          <w:tcPr>
            <w:tcW w:w="1134" w:type="dxa"/>
          </w:tcPr>
          <w:p w14:paraId="23ADD159" w14:textId="77777777" w:rsidR="003127C3" w:rsidRDefault="003127C3" w:rsidP="003127C3">
            <w:pPr>
              <w:pStyle w:val="TableCentre"/>
            </w:pPr>
            <w:r w:rsidRPr="00B75991">
              <w:t>2008/09</w:t>
            </w:r>
          </w:p>
        </w:tc>
        <w:tc>
          <w:tcPr>
            <w:tcW w:w="1305" w:type="dxa"/>
          </w:tcPr>
          <w:p w14:paraId="5E4509EA" w14:textId="0EFB9809" w:rsidR="003127C3" w:rsidRDefault="003127C3" w:rsidP="003127C3">
            <w:pPr>
              <w:pStyle w:val="TableCentre"/>
            </w:pPr>
            <w:r w:rsidRPr="00EC09EC">
              <w:t>0.70</w:t>
            </w:r>
          </w:p>
        </w:tc>
        <w:tc>
          <w:tcPr>
            <w:tcW w:w="1134" w:type="dxa"/>
          </w:tcPr>
          <w:p w14:paraId="199A33E5" w14:textId="72354961" w:rsidR="003127C3" w:rsidRDefault="003127C3" w:rsidP="003127C3">
            <w:pPr>
              <w:pStyle w:val="TableCentre"/>
            </w:pPr>
            <w:r w:rsidRPr="00EC09EC">
              <w:t>194</w:t>
            </w:r>
          </w:p>
        </w:tc>
        <w:tc>
          <w:tcPr>
            <w:tcW w:w="1276" w:type="dxa"/>
          </w:tcPr>
          <w:p w14:paraId="4BC5A285" w14:textId="042FD6CD" w:rsidR="003127C3" w:rsidRDefault="003127C3" w:rsidP="003127C3">
            <w:pPr>
              <w:pStyle w:val="TableCentre"/>
            </w:pPr>
            <w:r w:rsidRPr="00EC09EC">
              <w:t>0.11</w:t>
            </w:r>
          </w:p>
        </w:tc>
        <w:tc>
          <w:tcPr>
            <w:tcW w:w="1134" w:type="dxa"/>
          </w:tcPr>
          <w:p w14:paraId="77F8A958" w14:textId="31604132" w:rsidR="003127C3" w:rsidRDefault="003127C3" w:rsidP="003127C3">
            <w:pPr>
              <w:pStyle w:val="TableCentre"/>
            </w:pPr>
            <w:r w:rsidRPr="00EC09EC">
              <w:t>29</w:t>
            </w:r>
          </w:p>
        </w:tc>
        <w:tc>
          <w:tcPr>
            <w:tcW w:w="1275" w:type="dxa"/>
          </w:tcPr>
          <w:p w14:paraId="19859DCA" w14:textId="4911248B" w:rsidR="003127C3" w:rsidRDefault="003127C3" w:rsidP="003127C3">
            <w:pPr>
              <w:pStyle w:val="TableCentre"/>
            </w:pPr>
            <w:r w:rsidRPr="00EC09EC">
              <w:t>0.80</w:t>
            </w:r>
          </w:p>
        </w:tc>
        <w:tc>
          <w:tcPr>
            <w:tcW w:w="1276" w:type="dxa"/>
          </w:tcPr>
          <w:p w14:paraId="36031BEF" w14:textId="5B5AEA92" w:rsidR="003127C3" w:rsidRDefault="003127C3" w:rsidP="003127C3">
            <w:pPr>
              <w:pStyle w:val="TableCentre"/>
            </w:pPr>
            <w:r w:rsidRPr="00EC09EC">
              <w:t>223</w:t>
            </w:r>
          </w:p>
        </w:tc>
      </w:tr>
      <w:tr w:rsidR="003127C3" w:rsidRPr="005A5B60" w14:paraId="0AEED28B" w14:textId="77777777" w:rsidTr="00656706">
        <w:tc>
          <w:tcPr>
            <w:tcW w:w="1134" w:type="dxa"/>
          </w:tcPr>
          <w:p w14:paraId="0D6C6090" w14:textId="77777777" w:rsidR="003127C3" w:rsidRDefault="003127C3" w:rsidP="003127C3">
            <w:pPr>
              <w:pStyle w:val="TableCentre"/>
            </w:pPr>
            <w:r w:rsidRPr="00B75991">
              <w:t>2009/10</w:t>
            </w:r>
          </w:p>
        </w:tc>
        <w:tc>
          <w:tcPr>
            <w:tcW w:w="1305" w:type="dxa"/>
          </w:tcPr>
          <w:p w14:paraId="11C12B76" w14:textId="12294043" w:rsidR="003127C3" w:rsidRDefault="003127C3" w:rsidP="003127C3">
            <w:pPr>
              <w:pStyle w:val="TableCentre"/>
            </w:pPr>
            <w:r w:rsidRPr="00EC09EC">
              <w:t>0.69</w:t>
            </w:r>
          </w:p>
        </w:tc>
        <w:tc>
          <w:tcPr>
            <w:tcW w:w="1134" w:type="dxa"/>
          </w:tcPr>
          <w:p w14:paraId="3AAD1BB8" w14:textId="48317755" w:rsidR="003127C3" w:rsidRDefault="003127C3" w:rsidP="003127C3">
            <w:pPr>
              <w:pStyle w:val="TableCentre"/>
            </w:pPr>
            <w:r w:rsidRPr="00EC09EC">
              <w:t>192</w:t>
            </w:r>
          </w:p>
        </w:tc>
        <w:tc>
          <w:tcPr>
            <w:tcW w:w="1276" w:type="dxa"/>
          </w:tcPr>
          <w:p w14:paraId="1E0D311F" w14:textId="3BDC77DA" w:rsidR="003127C3" w:rsidRDefault="003127C3" w:rsidP="003127C3">
            <w:pPr>
              <w:pStyle w:val="TableCentre"/>
            </w:pPr>
            <w:r w:rsidRPr="00EC09EC">
              <w:t>0.10</w:t>
            </w:r>
          </w:p>
        </w:tc>
        <w:tc>
          <w:tcPr>
            <w:tcW w:w="1134" w:type="dxa"/>
          </w:tcPr>
          <w:p w14:paraId="7B222C7A" w14:textId="4ABCBA42" w:rsidR="003127C3" w:rsidRDefault="003127C3" w:rsidP="003127C3">
            <w:pPr>
              <w:pStyle w:val="TableCentre"/>
            </w:pPr>
            <w:r w:rsidRPr="00EC09EC">
              <w:t>28</w:t>
            </w:r>
          </w:p>
        </w:tc>
        <w:tc>
          <w:tcPr>
            <w:tcW w:w="1275" w:type="dxa"/>
          </w:tcPr>
          <w:p w14:paraId="691149B1" w14:textId="1CBD6DEF" w:rsidR="003127C3" w:rsidRDefault="003127C3" w:rsidP="003127C3">
            <w:pPr>
              <w:pStyle w:val="TableCentre"/>
            </w:pPr>
            <w:r w:rsidRPr="00EC09EC">
              <w:t>0.79</w:t>
            </w:r>
          </w:p>
        </w:tc>
        <w:tc>
          <w:tcPr>
            <w:tcW w:w="1276" w:type="dxa"/>
          </w:tcPr>
          <w:p w14:paraId="5744F16D" w14:textId="71101044" w:rsidR="003127C3" w:rsidRDefault="003127C3" w:rsidP="003127C3">
            <w:pPr>
              <w:pStyle w:val="TableCentre"/>
            </w:pPr>
            <w:r w:rsidRPr="00EC09EC">
              <w:t>220</w:t>
            </w:r>
          </w:p>
        </w:tc>
      </w:tr>
      <w:tr w:rsidR="003127C3" w:rsidRPr="005A5B60" w14:paraId="69C335A0" w14:textId="77777777" w:rsidTr="00656706">
        <w:tc>
          <w:tcPr>
            <w:tcW w:w="1134" w:type="dxa"/>
          </w:tcPr>
          <w:p w14:paraId="070FE036" w14:textId="77777777" w:rsidR="003127C3" w:rsidRDefault="003127C3" w:rsidP="003127C3">
            <w:pPr>
              <w:pStyle w:val="TableCentre"/>
            </w:pPr>
            <w:r w:rsidRPr="00B75991">
              <w:t>2010/11</w:t>
            </w:r>
          </w:p>
        </w:tc>
        <w:tc>
          <w:tcPr>
            <w:tcW w:w="1305" w:type="dxa"/>
          </w:tcPr>
          <w:p w14:paraId="07193690" w14:textId="722ED85F" w:rsidR="003127C3" w:rsidRDefault="003127C3" w:rsidP="003127C3">
            <w:pPr>
              <w:pStyle w:val="TableCentre"/>
            </w:pPr>
            <w:r w:rsidRPr="00EC09EC">
              <w:t>0.68</w:t>
            </w:r>
          </w:p>
        </w:tc>
        <w:tc>
          <w:tcPr>
            <w:tcW w:w="1134" w:type="dxa"/>
          </w:tcPr>
          <w:p w14:paraId="6D4ED59A" w14:textId="62294E54" w:rsidR="003127C3" w:rsidRDefault="003127C3" w:rsidP="003127C3">
            <w:pPr>
              <w:pStyle w:val="TableCentre"/>
            </w:pPr>
            <w:r w:rsidRPr="00EC09EC">
              <w:t>189</w:t>
            </w:r>
          </w:p>
        </w:tc>
        <w:tc>
          <w:tcPr>
            <w:tcW w:w="1276" w:type="dxa"/>
          </w:tcPr>
          <w:p w14:paraId="046563FE" w14:textId="7EF36C18" w:rsidR="003127C3" w:rsidRDefault="003127C3" w:rsidP="003127C3">
            <w:pPr>
              <w:pStyle w:val="TableCentre"/>
            </w:pPr>
            <w:r w:rsidRPr="00EC09EC">
              <w:t>0.10</w:t>
            </w:r>
          </w:p>
        </w:tc>
        <w:tc>
          <w:tcPr>
            <w:tcW w:w="1134" w:type="dxa"/>
          </w:tcPr>
          <w:p w14:paraId="40B9C23E" w14:textId="5FBA06DC" w:rsidR="003127C3" w:rsidRDefault="003127C3" w:rsidP="003127C3">
            <w:pPr>
              <w:pStyle w:val="TableCentre"/>
            </w:pPr>
            <w:r w:rsidRPr="00EC09EC">
              <w:t>27</w:t>
            </w:r>
          </w:p>
        </w:tc>
        <w:tc>
          <w:tcPr>
            <w:tcW w:w="1275" w:type="dxa"/>
          </w:tcPr>
          <w:p w14:paraId="315D9C7E" w14:textId="449627E1" w:rsidR="003127C3" w:rsidRDefault="003127C3" w:rsidP="003127C3">
            <w:pPr>
              <w:pStyle w:val="TableCentre"/>
            </w:pPr>
            <w:r w:rsidRPr="00EC09EC">
              <w:t>0.78</w:t>
            </w:r>
          </w:p>
        </w:tc>
        <w:tc>
          <w:tcPr>
            <w:tcW w:w="1276" w:type="dxa"/>
          </w:tcPr>
          <w:p w14:paraId="6F494AB0" w14:textId="30B69D49" w:rsidR="003127C3" w:rsidRDefault="003127C3" w:rsidP="003127C3">
            <w:pPr>
              <w:pStyle w:val="TableCentre"/>
            </w:pPr>
            <w:r w:rsidRPr="00EC09EC">
              <w:t>216</w:t>
            </w:r>
          </w:p>
        </w:tc>
      </w:tr>
      <w:tr w:rsidR="003127C3" w:rsidRPr="005A5B60" w14:paraId="50ED89F6" w14:textId="77777777" w:rsidTr="00656706">
        <w:tc>
          <w:tcPr>
            <w:tcW w:w="1134" w:type="dxa"/>
          </w:tcPr>
          <w:p w14:paraId="00ED265A" w14:textId="77777777" w:rsidR="003127C3" w:rsidRDefault="003127C3" w:rsidP="003127C3">
            <w:pPr>
              <w:pStyle w:val="TableCentre"/>
            </w:pPr>
            <w:r w:rsidRPr="00B75991">
              <w:t>2011/12</w:t>
            </w:r>
          </w:p>
        </w:tc>
        <w:tc>
          <w:tcPr>
            <w:tcW w:w="1305" w:type="dxa"/>
          </w:tcPr>
          <w:p w14:paraId="24E4FB67" w14:textId="2DF14E83" w:rsidR="003127C3" w:rsidRDefault="003127C3" w:rsidP="003127C3">
            <w:pPr>
              <w:pStyle w:val="TableCentre"/>
            </w:pPr>
            <w:r w:rsidRPr="00EC09EC">
              <w:t>0.68</w:t>
            </w:r>
          </w:p>
        </w:tc>
        <w:tc>
          <w:tcPr>
            <w:tcW w:w="1134" w:type="dxa"/>
          </w:tcPr>
          <w:p w14:paraId="7F8D5470" w14:textId="2F3328EF" w:rsidR="003127C3" w:rsidRDefault="003127C3" w:rsidP="003127C3">
            <w:pPr>
              <w:pStyle w:val="TableCentre"/>
            </w:pPr>
            <w:r w:rsidRPr="00EC09EC">
              <w:t>190</w:t>
            </w:r>
          </w:p>
        </w:tc>
        <w:tc>
          <w:tcPr>
            <w:tcW w:w="1276" w:type="dxa"/>
          </w:tcPr>
          <w:p w14:paraId="6BED56F7" w14:textId="5D921A28" w:rsidR="003127C3" w:rsidRDefault="003127C3" w:rsidP="003127C3">
            <w:pPr>
              <w:pStyle w:val="TableCentre"/>
            </w:pPr>
            <w:r w:rsidRPr="00EC09EC">
              <w:t>0.10</w:t>
            </w:r>
          </w:p>
        </w:tc>
        <w:tc>
          <w:tcPr>
            <w:tcW w:w="1134" w:type="dxa"/>
          </w:tcPr>
          <w:p w14:paraId="0B2E3726" w14:textId="7AC60F55" w:rsidR="003127C3" w:rsidRDefault="003127C3" w:rsidP="003127C3">
            <w:pPr>
              <w:pStyle w:val="TableCentre"/>
            </w:pPr>
            <w:r w:rsidRPr="00EC09EC">
              <w:t>28</w:t>
            </w:r>
          </w:p>
        </w:tc>
        <w:tc>
          <w:tcPr>
            <w:tcW w:w="1275" w:type="dxa"/>
          </w:tcPr>
          <w:p w14:paraId="07065233" w14:textId="13577B09" w:rsidR="003127C3" w:rsidRDefault="003127C3" w:rsidP="003127C3">
            <w:pPr>
              <w:pStyle w:val="TableCentre"/>
            </w:pPr>
            <w:r w:rsidRPr="00EC09EC">
              <w:t>0.78</w:t>
            </w:r>
          </w:p>
        </w:tc>
        <w:tc>
          <w:tcPr>
            <w:tcW w:w="1276" w:type="dxa"/>
          </w:tcPr>
          <w:p w14:paraId="188C1425" w14:textId="12675F15" w:rsidR="003127C3" w:rsidRDefault="003127C3" w:rsidP="003127C3">
            <w:pPr>
              <w:pStyle w:val="TableCentre"/>
            </w:pPr>
            <w:r w:rsidRPr="00EC09EC">
              <w:t>217</w:t>
            </w:r>
          </w:p>
        </w:tc>
      </w:tr>
      <w:tr w:rsidR="003127C3" w:rsidRPr="005A5B60" w14:paraId="31F451D3" w14:textId="77777777" w:rsidTr="00656706">
        <w:tc>
          <w:tcPr>
            <w:tcW w:w="1134" w:type="dxa"/>
          </w:tcPr>
          <w:p w14:paraId="43D276E3" w14:textId="77777777" w:rsidR="003127C3" w:rsidRDefault="003127C3" w:rsidP="003127C3">
            <w:pPr>
              <w:pStyle w:val="TableCentre"/>
            </w:pPr>
            <w:r w:rsidRPr="00B75991">
              <w:t>2012/13</w:t>
            </w:r>
          </w:p>
        </w:tc>
        <w:tc>
          <w:tcPr>
            <w:tcW w:w="1305" w:type="dxa"/>
          </w:tcPr>
          <w:p w14:paraId="7C27B81B" w14:textId="72C20209" w:rsidR="003127C3" w:rsidRDefault="003127C3" w:rsidP="003127C3">
            <w:pPr>
              <w:pStyle w:val="TableCentre"/>
            </w:pPr>
            <w:r w:rsidRPr="00EC09EC">
              <w:t>0.67</w:t>
            </w:r>
          </w:p>
        </w:tc>
        <w:tc>
          <w:tcPr>
            <w:tcW w:w="1134" w:type="dxa"/>
          </w:tcPr>
          <w:p w14:paraId="1ACED541" w14:textId="5FE3AE1F" w:rsidR="003127C3" w:rsidRDefault="003127C3" w:rsidP="003127C3">
            <w:pPr>
              <w:pStyle w:val="TableCentre"/>
            </w:pPr>
            <w:r w:rsidRPr="00EC09EC">
              <w:t>187</w:t>
            </w:r>
          </w:p>
        </w:tc>
        <w:tc>
          <w:tcPr>
            <w:tcW w:w="1276" w:type="dxa"/>
          </w:tcPr>
          <w:p w14:paraId="0BD7D264" w14:textId="3C7C983F" w:rsidR="003127C3" w:rsidRDefault="003127C3" w:rsidP="003127C3">
            <w:pPr>
              <w:pStyle w:val="TableCentre"/>
            </w:pPr>
            <w:r w:rsidRPr="00EC09EC">
              <w:t>0.10</w:t>
            </w:r>
          </w:p>
        </w:tc>
        <w:tc>
          <w:tcPr>
            <w:tcW w:w="1134" w:type="dxa"/>
          </w:tcPr>
          <w:p w14:paraId="71AF0D82" w14:textId="23D5C4E8" w:rsidR="003127C3" w:rsidRDefault="003127C3" w:rsidP="003127C3">
            <w:pPr>
              <w:pStyle w:val="TableCentre"/>
            </w:pPr>
            <w:r w:rsidRPr="00EC09EC">
              <w:t>27</w:t>
            </w:r>
          </w:p>
        </w:tc>
        <w:tc>
          <w:tcPr>
            <w:tcW w:w="1275" w:type="dxa"/>
          </w:tcPr>
          <w:p w14:paraId="63A6237E" w14:textId="3BC7732B" w:rsidR="003127C3" w:rsidRDefault="003127C3" w:rsidP="003127C3">
            <w:pPr>
              <w:pStyle w:val="TableCentre"/>
            </w:pPr>
            <w:r w:rsidRPr="00EC09EC">
              <w:t>0.77</w:t>
            </w:r>
          </w:p>
        </w:tc>
        <w:tc>
          <w:tcPr>
            <w:tcW w:w="1276" w:type="dxa"/>
          </w:tcPr>
          <w:p w14:paraId="77AC8EEF" w14:textId="4B89619D" w:rsidR="003127C3" w:rsidRDefault="003127C3" w:rsidP="003127C3">
            <w:pPr>
              <w:pStyle w:val="TableCentre"/>
            </w:pPr>
            <w:r w:rsidRPr="00EC09EC">
              <w:t>214</w:t>
            </w:r>
          </w:p>
        </w:tc>
      </w:tr>
      <w:tr w:rsidR="003127C3" w:rsidRPr="005A5B60" w14:paraId="39B0D8EF" w14:textId="77777777" w:rsidTr="00656706">
        <w:tc>
          <w:tcPr>
            <w:tcW w:w="1134" w:type="dxa"/>
          </w:tcPr>
          <w:p w14:paraId="04F3CDD1" w14:textId="77777777" w:rsidR="003127C3" w:rsidRDefault="003127C3" w:rsidP="003127C3">
            <w:pPr>
              <w:pStyle w:val="TableCentre"/>
            </w:pPr>
            <w:r w:rsidRPr="00B75991">
              <w:t>2013/14</w:t>
            </w:r>
          </w:p>
        </w:tc>
        <w:tc>
          <w:tcPr>
            <w:tcW w:w="1305" w:type="dxa"/>
          </w:tcPr>
          <w:p w14:paraId="182B8D51" w14:textId="7B7245C3" w:rsidR="003127C3" w:rsidRDefault="003127C3" w:rsidP="003127C3">
            <w:pPr>
              <w:pStyle w:val="TableCentre"/>
            </w:pPr>
            <w:r w:rsidRPr="00EC09EC">
              <w:t>0.67</w:t>
            </w:r>
          </w:p>
        </w:tc>
        <w:tc>
          <w:tcPr>
            <w:tcW w:w="1134" w:type="dxa"/>
          </w:tcPr>
          <w:p w14:paraId="59D90D5A" w14:textId="3DF50B73" w:rsidR="003127C3" w:rsidRDefault="003127C3" w:rsidP="003127C3">
            <w:pPr>
              <w:pStyle w:val="TableCentre"/>
            </w:pPr>
            <w:r w:rsidRPr="00EC09EC">
              <w:t>186</w:t>
            </w:r>
          </w:p>
        </w:tc>
        <w:tc>
          <w:tcPr>
            <w:tcW w:w="1276" w:type="dxa"/>
          </w:tcPr>
          <w:p w14:paraId="76E226FC" w14:textId="2D369FC8" w:rsidR="003127C3" w:rsidRDefault="003127C3" w:rsidP="003127C3">
            <w:pPr>
              <w:pStyle w:val="TableCentre"/>
            </w:pPr>
            <w:r w:rsidRPr="00EC09EC">
              <w:t>0.09</w:t>
            </w:r>
          </w:p>
        </w:tc>
        <w:tc>
          <w:tcPr>
            <w:tcW w:w="1134" w:type="dxa"/>
          </w:tcPr>
          <w:p w14:paraId="5CFE83F6" w14:textId="3BCAF1C6" w:rsidR="003127C3" w:rsidRDefault="003127C3" w:rsidP="003127C3">
            <w:pPr>
              <w:pStyle w:val="TableCentre"/>
            </w:pPr>
            <w:r w:rsidRPr="00EC09EC">
              <w:t>26</w:t>
            </w:r>
          </w:p>
        </w:tc>
        <w:tc>
          <w:tcPr>
            <w:tcW w:w="1275" w:type="dxa"/>
          </w:tcPr>
          <w:p w14:paraId="2B195C4B" w14:textId="6CDFAB83" w:rsidR="003127C3" w:rsidRDefault="003127C3" w:rsidP="003127C3">
            <w:pPr>
              <w:pStyle w:val="TableCentre"/>
            </w:pPr>
            <w:r w:rsidRPr="00EC09EC">
              <w:t>0.76</w:t>
            </w:r>
          </w:p>
        </w:tc>
        <w:tc>
          <w:tcPr>
            <w:tcW w:w="1276" w:type="dxa"/>
          </w:tcPr>
          <w:p w14:paraId="06F6809E" w14:textId="50A59A39" w:rsidR="003127C3" w:rsidRDefault="003127C3" w:rsidP="003127C3">
            <w:pPr>
              <w:pStyle w:val="TableCentre"/>
            </w:pPr>
            <w:r w:rsidRPr="00EC09EC">
              <w:t>212</w:t>
            </w:r>
          </w:p>
        </w:tc>
      </w:tr>
      <w:tr w:rsidR="003127C3" w:rsidRPr="005A5B60" w14:paraId="6B0C58C0" w14:textId="77777777" w:rsidTr="00656706">
        <w:tc>
          <w:tcPr>
            <w:tcW w:w="1134" w:type="dxa"/>
          </w:tcPr>
          <w:p w14:paraId="1A4D09FC" w14:textId="5BCDBC65" w:rsidR="003127C3" w:rsidRPr="00B75991" w:rsidRDefault="003127C3" w:rsidP="003127C3">
            <w:pPr>
              <w:pStyle w:val="TableCentre"/>
            </w:pPr>
            <w:r>
              <w:t>2014/15</w:t>
            </w:r>
          </w:p>
        </w:tc>
        <w:tc>
          <w:tcPr>
            <w:tcW w:w="1305" w:type="dxa"/>
          </w:tcPr>
          <w:p w14:paraId="1884C59E" w14:textId="7C1A4F0D" w:rsidR="003127C3" w:rsidRPr="00B75991" w:rsidRDefault="003127C3" w:rsidP="003127C3">
            <w:pPr>
              <w:pStyle w:val="TableCentre"/>
            </w:pPr>
            <w:r w:rsidRPr="00EC09EC">
              <w:t>0.66</w:t>
            </w:r>
          </w:p>
        </w:tc>
        <w:tc>
          <w:tcPr>
            <w:tcW w:w="1134" w:type="dxa"/>
          </w:tcPr>
          <w:p w14:paraId="389DF34C" w14:textId="18579777" w:rsidR="003127C3" w:rsidRPr="00943682" w:rsidRDefault="003127C3" w:rsidP="003127C3">
            <w:pPr>
              <w:pStyle w:val="TableCentre"/>
            </w:pPr>
            <w:r w:rsidRPr="00EC09EC">
              <w:t>184</w:t>
            </w:r>
          </w:p>
        </w:tc>
        <w:tc>
          <w:tcPr>
            <w:tcW w:w="1276" w:type="dxa"/>
          </w:tcPr>
          <w:p w14:paraId="1E8B8D98" w14:textId="735A7FE0" w:rsidR="003127C3" w:rsidRPr="00943682" w:rsidRDefault="003127C3" w:rsidP="003127C3">
            <w:pPr>
              <w:pStyle w:val="TableCentre"/>
            </w:pPr>
            <w:r w:rsidRPr="00EC09EC">
              <w:t>0.09</w:t>
            </w:r>
          </w:p>
        </w:tc>
        <w:tc>
          <w:tcPr>
            <w:tcW w:w="1134" w:type="dxa"/>
          </w:tcPr>
          <w:p w14:paraId="6AC3B1AB" w14:textId="71E8B7CC" w:rsidR="003127C3" w:rsidRPr="00943682" w:rsidRDefault="003127C3" w:rsidP="003127C3">
            <w:pPr>
              <w:pStyle w:val="TableCentre"/>
            </w:pPr>
            <w:r w:rsidRPr="00EC09EC">
              <w:t>25</w:t>
            </w:r>
          </w:p>
        </w:tc>
        <w:tc>
          <w:tcPr>
            <w:tcW w:w="1275" w:type="dxa"/>
          </w:tcPr>
          <w:p w14:paraId="7083E8D3" w14:textId="07DFFE08" w:rsidR="003127C3" w:rsidRPr="00943682" w:rsidRDefault="003127C3" w:rsidP="003127C3">
            <w:pPr>
              <w:pStyle w:val="TableCentre"/>
            </w:pPr>
            <w:r w:rsidRPr="00EC09EC">
              <w:t>0.75</w:t>
            </w:r>
          </w:p>
        </w:tc>
        <w:tc>
          <w:tcPr>
            <w:tcW w:w="1276" w:type="dxa"/>
          </w:tcPr>
          <w:p w14:paraId="0F87E296" w14:textId="37212231" w:rsidR="003127C3" w:rsidRPr="00943682" w:rsidRDefault="003127C3" w:rsidP="003127C3">
            <w:pPr>
              <w:pStyle w:val="TableCentre"/>
            </w:pPr>
            <w:r w:rsidRPr="00EC09EC">
              <w:t>209</w:t>
            </w:r>
          </w:p>
        </w:tc>
      </w:tr>
      <w:tr w:rsidR="003127C3" w:rsidRPr="005A5B60" w14:paraId="2B6E0ABB" w14:textId="77777777" w:rsidTr="00656706">
        <w:tc>
          <w:tcPr>
            <w:tcW w:w="1134" w:type="dxa"/>
          </w:tcPr>
          <w:p w14:paraId="507F10C1" w14:textId="77777777" w:rsidR="003127C3" w:rsidRDefault="003127C3" w:rsidP="003127C3">
            <w:pPr>
              <w:pStyle w:val="TableCentre"/>
            </w:pPr>
            <w:r w:rsidRPr="00B75991">
              <w:t>Latest Estimate</w:t>
            </w:r>
          </w:p>
        </w:tc>
        <w:tc>
          <w:tcPr>
            <w:tcW w:w="1305" w:type="dxa"/>
          </w:tcPr>
          <w:p w14:paraId="35B2A457" w14:textId="0E5A7EB1" w:rsidR="003127C3" w:rsidRDefault="003127C3" w:rsidP="003127C3">
            <w:pPr>
              <w:pStyle w:val="TableCentre"/>
            </w:pPr>
            <w:r w:rsidRPr="00EC09EC">
              <w:t>0.64</w:t>
            </w:r>
          </w:p>
        </w:tc>
        <w:tc>
          <w:tcPr>
            <w:tcW w:w="1134" w:type="dxa"/>
          </w:tcPr>
          <w:p w14:paraId="21576A7C" w14:textId="63128E85" w:rsidR="003127C3" w:rsidRDefault="003127C3" w:rsidP="003127C3">
            <w:pPr>
              <w:pStyle w:val="TableCentre"/>
            </w:pPr>
            <w:r w:rsidRPr="00EC09EC">
              <w:t>179</w:t>
            </w:r>
          </w:p>
        </w:tc>
        <w:tc>
          <w:tcPr>
            <w:tcW w:w="1276" w:type="dxa"/>
          </w:tcPr>
          <w:p w14:paraId="319CD876" w14:textId="4603E8CF" w:rsidR="003127C3" w:rsidRDefault="003127C3" w:rsidP="003127C3">
            <w:pPr>
              <w:pStyle w:val="TableCentre"/>
            </w:pPr>
            <w:r w:rsidRPr="00EC09EC">
              <w:t>0.09</w:t>
            </w:r>
          </w:p>
        </w:tc>
        <w:tc>
          <w:tcPr>
            <w:tcW w:w="1134" w:type="dxa"/>
          </w:tcPr>
          <w:p w14:paraId="6928F04B" w14:textId="7212498D" w:rsidR="003127C3" w:rsidRDefault="003127C3" w:rsidP="003127C3">
            <w:pPr>
              <w:pStyle w:val="TableCentre"/>
            </w:pPr>
            <w:r w:rsidRPr="00EC09EC">
              <w:t>24</w:t>
            </w:r>
          </w:p>
        </w:tc>
        <w:tc>
          <w:tcPr>
            <w:tcW w:w="1275" w:type="dxa"/>
          </w:tcPr>
          <w:p w14:paraId="62976DBF" w14:textId="0B483C5A" w:rsidR="003127C3" w:rsidRDefault="003127C3" w:rsidP="003127C3">
            <w:pPr>
              <w:pStyle w:val="TableCentre"/>
            </w:pPr>
            <w:r w:rsidRPr="00EC09EC">
              <w:t>0.73</w:t>
            </w:r>
          </w:p>
        </w:tc>
        <w:tc>
          <w:tcPr>
            <w:tcW w:w="1276" w:type="dxa"/>
          </w:tcPr>
          <w:p w14:paraId="665A25EE" w14:textId="48EB2A7A" w:rsidR="003127C3" w:rsidRDefault="003127C3" w:rsidP="003127C3">
            <w:pPr>
              <w:pStyle w:val="TableCentre"/>
            </w:pPr>
            <w:r w:rsidRPr="00EC09EC">
              <w:t>203</w:t>
            </w:r>
          </w:p>
        </w:tc>
      </w:tr>
      <w:tr w:rsidR="00C466CC" w:rsidRPr="005A5B60" w14:paraId="55614C0F" w14:textId="77777777" w:rsidTr="00656706">
        <w:tc>
          <w:tcPr>
            <w:tcW w:w="8534" w:type="dxa"/>
            <w:gridSpan w:val="7"/>
            <w:shd w:val="clear" w:color="auto" w:fill="D9D9D9"/>
          </w:tcPr>
          <w:p w14:paraId="379E77A8" w14:textId="77777777" w:rsidR="00C466CC" w:rsidRPr="005A5B60" w:rsidRDefault="00C466CC" w:rsidP="0028737A">
            <w:pPr>
              <w:pStyle w:val="Table"/>
              <w:rPr>
                <w:b/>
                <w:bCs/>
                <w:sz w:val="18"/>
                <w:szCs w:val="18"/>
              </w:rPr>
            </w:pPr>
            <w:r w:rsidRPr="005A5B60">
              <w:rPr>
                <w:b/>
                <w:bCs/>
                <w:sz w:val="18"/>
                <w:szCs w:val="18"/>
              </w:rPr>
              <w:t>AUSTRALIA</w:t>
            </w:r>
          </w:p>
        </w:tc>
      </w:tr>
      <w:tr w:rsidR="003127C3" w:rsidRPr="005A5B60" w14:paraId="0BF6BE62" w14:textId="77777777" w:rsidTr="00656706">
        <w:tc>
          <w:tcPr>
            <w:tcW w:w="1134" w:type="dxa"/>
          </w:tcPr>
          <w:p w14:paraId="10AFC819" w14:textId="77777777" w:rsidR="003127C3" w:rsidRDefault="003127C3" w:rsidP="003127C3">
            <w:pPr>
              <w:pStyle w:val="TableCentre"/>
            </w:pPr>
            <w:r w:rsidRPr="00B75991">
              <w:t xml:space="preserve">2005/06 </w:t>
            </w:r>
          </w:p>
        </w:tc>
        <w:tc>
          <w:tcPr>
            <w:tcW w:w="1305" w:type="dxa"/>
          </w:tcPr>
          <w:p w14:paraId="429C2918" w14:textId="0EA5DA1B" w:rsidR="003127C3" w:rsidRDefault="003127C3" w:rsidP="003127C3">
            <w:pPr>
              <w:pStyle w:val="TableCentre"/>
            </w:pPr>
            <w:r w:rsidRPr="00D30766">
              <w:t>0.92</w:t>
            </w:r>
          </w:p>
        </w:tc>
        <w:tc>
          <w:tcPr>
            <w:tcW w:w="1134" w:type="dxa"/>
          </w:tcPr>
          <w:p w14:paraId="7BE15887" w14:textId="071E3343" w:rsidR="003127C3" w:rsidRDefault="003127C3" w:rsidP="003127C3">
            <w:pPr>
              <w:pStyle w:val="TableCentre"/>
            </w:pPr>
            <w:r w:rsidRPr="00D30766">
              <w:t>256</w:t>
            </w:r>
          </w:p>
        </w:tc>
        <w:tc>
          <w:tcPr>
            <w:tcW w:w="1276" w:type="dxa"/>
          </w:tcPr>
          <w:p w14:paraId="0F0E38F1" w14:textId="409DA5D3" w:rsidR="003127C3" w:rsidRDefault="003127C3" w:rsidP="003127C3">
            <w:pPr>
              <w:pStyle w:val="TableCentre"/>
            </w:pPr>
            <w:r w:rsidRPr="00D30766">
              <w:t>0.11</w:t>
            </w:r>
          </w:p>
        </w:tc>
        <w:tc>
          <w:tcPr>
            <w:tcW w:w="1134" w:type="dxa"/>
          </w:tcPr>
          <w:p w14:paraId="2FAB3FCE" w14:textId="4C8F6561" w:rsidR="003127C3" w:rsidRDefault="003127C3" w:rsidP="003127C3">
            <w:pPr>
              <w:pStyle w:val="TableCentre"/>
            </w:pPr>
            <w:r w:rsidRPr="00D30766">
              <w:t>30</w:t>
            </w:r>
          </w:p>
        </w:tc>
        <w:tc>
          <w:tcPr>
            <w:tcW w:w="1275" w:type="dxa"/>
          </w:tcPr>
          <w:p w14:paraId="57BB9BE6" w14:textId="58552686" w:rsidR="003127C3" w:rsidRDefault="003127C3" w:rsidP="003127C3">
            <w:pPr>
              <w:pStyle w:val="TableCentre"/>
            </w:pPr>
            <w:r w:rsidRPr="00D30766">
              <w:t>1.03</w:t>
            </w:r>
          </w:p>
        </w:tc>
        <w:tc>
          <w:tcPr>
            <w:tcW w:w="1276" w:type="dxa"/>
          </w:tcPr>
          <w:p w14:paraId="5358AD21" w14:textId="6EC3A469" w:rsidR="003127C3" w:rsidRDefault="003127C3" w:rsidP="003127C3">
            <w:pPr>
              <w:pStyle w:val="TableCentre"/>
            </w:pPr>
            <w:r w:rsidRPr="00D30766">
              <w:t>286</w:t>
            </w:r>
          </w:p>
        </w:tc>
      </w:tr>
      <w:tr w:rsidR="003127C3" w:rsidRPr="005A5B60" w14:paraId="7CAD66CF" w14:textId="77777777" w:rsidTr="00656706">
        <w:tc>
          <w:tcPr>
            <w:tcW w:w="1134" w:type="dxa"/>
          </w:tcPr>
          <w:p w14:paraId="13F25E97" w14:textId="77777777" w:rsidR="003127C3" w:rsidRDefault="003127C3" w:rsidP="003127C3">
            <w:pPr>
              <w:pStyle w:val="TableCentre"/>
            </w:pPr>
            <w:r w:rsidRPr="00B75991">
              <w:t>2006/07</w:t>
            </w:r>
          </w:p>
        </w:tc>
        <w:tc>
          <w:tcPr>
            <w:tcW w:w="1305" w:type="dxa"/>
          </w:tcPr>
          <w:p w14:paraId="5423880B" w14:textId="204F0911" w:rsidR="003127C3" w:rsidRDefault="003127C3" w:rsidP="003127C3">
            <w:pPr>
              <w:pStyle w:val="TableCentre"/>
            </w:pPr>
            <w:r w:rsidRPr="00D30766">
              <w:t>0.92</w:t>
            </w:r>
          </w:p>
        </w:tc>
        <w:tc>
          <w:tcPr>
            <w:tcW w:w="1134" w:type="dxa"/>
          </w:tcPr>
          <w:p w14:paraId="7226E8E2" w14:textId="22C54072" w:rsidR="003127C3" w:rsidRDefault="003127C3" w:rsidP="003127C3">
            <w:pPr>
              <w:pStyle w:val="TableCentre"/>
            </w:pPr>
            <w:r w:rsidRPr="00D30766">
              <w:t>256</w:t>
            </w:r>
          </w:p>
        </w:tc>
        <w:tc>
          <w:tcPr>
            <w:tcW w:w="1276" w:type="dxa"/>
          </w:tcPr>
          <w:p w14:paraId="59C10C9A" w14:textId="0E6B1D85" w:rsidR="003127C3" w:rsidRDefault="003127C3" w:rsidP="003127C3">
            <w:pPr>
              <w:pStyle w:val="TableCentre"/>
            </w:pPr>
            <w:r w:rsidRPr="00D30766">
              <w:t>0.11</w:t>
            </w:r>
          </w:p>
        </w:tc>
        <w:tc>
          <w:tcPr>
            <w:tcW w:w="1134" w:type="dxa"/>
          </w:tcPr>
          <w:p w14:paraId="5E0D5C5D" w14:textId="58827300" w:rsidR="003127C3" w:rsidRDefault="003127C3" w:rsidP="003127C3">
            <w:pPr>
              <w:pStyle w:val="TableCentre"/>
            </w:pPr>
            <w:r w:rsidRPr="00D30766">
              <w:t>31</w:t>
            </w:r>
          </w:p>
        </w:tc>
        <w:tc>
          <w:tcPr>
            <w:tcW w:w="1275" w:type="dxa"/>
          </w:tcPr>
          <w:p w14:paraId="419D559E" w14:textId="7543BD07" w:rsidR="003127C3" w:rsidRDefault="003127C3" w:rsidP="003127C3">
            <w:pPr>
              <w:pStyle w:val="TableCentre"/>
            </w:pPr>
            <w:r w:rsidRPr="00D30766">
              <w:t>1.03</w:t>
            </w:r>
          </w:p>
        </w:tc>
        <w:tc>
          <w:tcPr>
            <w:tcW w:w="1276" w:type="dxa"/>
          </w:tcPr>
          <w:p w14:paraId="4BEA7593" w14:textId="1BBBBE09" w:rsidR="003127C3" w:rsidRDefault="003127C3" w:rsidP="003127C3">
            <w:pPr>
              <w:pStyle w:val="TableCentre"/>
            </w:pPr>
            <w:r w:rsidRPr="00D30766">
              <w:t>286</w:t>
            </w:r>
          </w:p>
        </w:tc>
      </w:tr>
      <w:tr w:rsidR="003127C3" w:rsidRPr="005A5B60" w14:paraId="14BF5F3E" w14:textId="77777777" w:rsidTr="00656706">
        <w:tc>
          <w:tcPr>
            <w:tcW w:w="1134" w:type="dxa"/>
          </w:tcPr>
          <w:p w14:paraId="234E0E4F" w14:textId="77777777" w:rsidR="003127C3" w:rsidRDefault="003127C3" w:rsidP="003127C3">
            <w:pPr>
              <w:pStyle w:val="TableCentre"/>
            </w:pPr>
            <w:r w:rsidRPr="00B75991">
              <w:t>2007/08</w:t>
            </w:r>
          </w:p>
        </w:tc>
        <w:tc>
          <w:tcPr>
            <w:tcW w:w="1305" w:type="dxa"/>
          </w:tcPr>
          <w:p w14:paraId="0487B0F6" w14:textId="234E72E3" w:rsidR="003127C3" w:rsidRDefault="003127C3" w:rsidP="003127C3">
            <w:pPr>
              <w:pStyle w:val="TableCentre"/>
            </w:pPr>
            <w:r w:rsidRPr="00D30766">
              <w:t>0.92</w:t>
            </w:r>
          </w:p>
        </w:tc>
        <w:tc>
          <w:tcPr>
            <w:tcW w:w="1134" w:type="dxa"/>
          </w:tcPr>
          <w:p w14:paraId="649C930C" w14:textId="209B2C99" w:rsidR="003127C3" w:rsidRDefault="003127C3" w:rsidP="003127C3">
            <w:pPr>
              <w:pStyle w:val="TableCentre"/>
            </w:pPr>
            <w:r w:rsidRPr="00D30766">
              <w:t>255</w:t>
            </w:r>
          </w:p>
        </w:tc>
        <w:tc>
          <w:tcPr>
            <w:tcW w:w="1276" w:type="dxa"/>
          </w:tcPr>
          <w:p w14:paraId="65C230B6" w14:textId="3F015112" w:rsidR="003127C3" w:rsidRDefault="003127C3" w:rsidP="003127C3">
            <w:pPr>
              <w:pStyle w:val="TableCentre"/>
            </w:pPr>
            <w:r w:rsidRPr="00D30766">
              <w:t>0.12</w:t>
            </w:r>
          </w:p>
        </w:tc>
        <w:tc>
          <w:tcPr>
            <w:tcW w:w="1134" w:type="dxa"/>
          </w:tcPr>
          <w:p w14:paraId="65D3B1E6" w14:textId="1B50F317" w:rsidR="003127C3" w:rsidRDefault="003127C3" w:rsidP="003127C3">
            <w:pPr>
              <w:pStyle w:val="TableCentre"/>
            </w:pPr>
            <w:r w:rsidRPr="00D30766">
              <w:t>32</w:t>
            </w:r>
          </w:p>
        </w:tc>
        <w:tc>
          <w:tcPr>
            <w:tcW w:w="1275" w:type="dxa"/>
          </w:tcPr>
          <w:p w14:paraId="055CA118" w14:textId="59AEAB57" w:rsidR="003127C3" w:rsidRDefault="003127C3" w:rsidP="003127C3">
            <w:pPr>
              <w:pStyle w:val="TableCentre"/>
            </w:pPr>
            <w:r w:rsidRPr="00D30766">
              <w:t>1.03</w:t>
            </w:r>
          </w:p>
        </w:tc>
        <w:tc>
          <w:tcPr>
            <w:tcW w:w="1276" w:type="dxa"/>
          </w:tcPr>
          <w:p w14:paraId="4D9CD5B5" w14:textId="420FF941" w:rsidR="003127C3" w:rsidRDefault="003127C3" w:rsidP="003127C3">
            <w:pPr>
              <w:pStyle w:val="TableCentre"/>
            </w:pPr>
            <w:r w:rsidRPr="00D30766">
              <w:t>287</w:t>
            </w:r>
          </w:p>
        </w:tc>
      </w:tr>
      <w:tr w:rsidR="003127C3" w:rsidRPr="005A5B60" w14:paraId="3C2AA57C" w14:textId="77777777" w:rsidTr="00656706">
        <w:tc>
          <w:tcPr>
            <w:tcW w:w="1134" w:type="dxa"/>
          </w:tcPr>
          <w:p w14:paraId="0CB582E0" w14:textId="77777777" w:rsidR="003127C3" w:rsidRDefault="003127C3" w:rsidP="003127C3">
            <w:pPr>
              <w:pStyle w:val="TableCentre"/>
            </w:pPr>
            <w:r w:rsidRPr="00B75991">
              <w:t>2008/09</w:t>
            </w:r>
          </w:p>
        </w:tc>
        <w:tc>
          <w:tcPr>
            <w:tcW w:w="1305" w:type="dxa"/>
          </w:tcPr>
          <w:p w14:paraId="2A6A8B71" w14:textId="3C8CD647" w:rsidR="003127C3" w:rsidRDefault="003127C3" w:rsidP="003127C3">
            <w:pPr>
              <w:pStyle w:val="TableCentre"/>
            </w:pPr>
            <w:r w:rsidRPr="00D30766">
              <w:t>0.92</w:t>
            </w:r>
          </w:p>
        </w:tc>
        <w:tc>
          <w:tcPr>
            <w:tcW w:w="1134" w:type="dxa"/>
          </w:tcPr>
          <w:p w14:paraId="54742D24" w14:textId="1FDE6FBB" w:rsidR="003127C3" w:rsidRDefault="003127C3" w:rsidP="003127C3">
            <w:pPr>
              <w:pStyle w:val="TableCentre"/>
            </w:pPr>
            <w:r w:rsidRPr="00D30766">
              <w:t>255</w:t>
            </w:r>
          </w:p>
        </w:tc>
        <w:tc>
          <w:tcPr>
            <w:tcW w:w="1276" w:type="dxa"/>
          </w:tcPr>
          <w:p w14:paraId="07F495AC" w14:textId="143DB214" w:rsidR="003127C3" w:rsidRDefault="003127C3" w:rsidP="003127C3">
            <w:pPr>
              <w:pStyle w:val="TableCentre"/>
            </w:pPr>
            <w:r w:rsidRPr="00D30766">
              <w:t>0.12</w:t>
            </w:r>
          </w:p>
        </w:tc>
        <w:tc>
          <w:tcPr>
            <w:tcW w:w="1134" w:type="dxa"/>
          </w:tcPr>
          <w:p w14:paraId="4D1EA7EC" w14:textId="060C3534" w:rsidR="003127C3" w:rsidRDefault="003127C3" w:rsidP="003127C3">
            <w:pPr>
              <w:pStyle w:val="TableCentre"/>
            </w:pPr>
            <w:r w:rsidRPr="00D30766">
              <w:t>32</w:t>
            </w:r>
          </w:p>
        </w:tc>
        <w:tc>
          <w:tcPr>
            <w:tcW w:w="1275" w:type="dxa"/>
          </w:tcPr>
          <w:p w14:paraId="2C1CEAAB" w14:textId="4AEB9FD4" w:rsidR="003127C3" w:rsidRDefault="003127C3" w:rsidP="003127C3">
            <w:pPr>
              <w:pStyle w:val="TableCentre"/>
            </w:pPr>
            <w:r w:rsidRPr="00D30766">
              <w:t>1.03</w:t>
            </w:r>
          </w:p>
        </w:tc>
        <w:tc>
          <w:tcPr>
            <w:tcW w:w="1276" w:type="dxa"/>
          </w:tcPr>
          <w:p w14:paraId="6C63651B" w14:textId="016809AD" w:rsidR="003127C3" w:rsidRDefault="003127C3" w:rsidP="003127C3">
            <w:pPr>
              <w:pStyle w:val="TableCentre"/>
            </w:pPr>
            <w:r w:rsidRPr="00D30766">
              <w:t>287</w:t>
            </w:r>
          </w:p>
        </w:tc>
      </w:tr>
      <w:tr w:rsidR="003127C3" w:rsidRPr="005A5B60" w14:paraId="572FD315" w14:textId="77777777" w:rsidTr="00656706">
        <w:tc>
          <w:tcPr>
            <w:tcW w:w="1134" w:type="dxa"/>
          </w:tcPr>
          <w:p w14:paraId="4B1B5672" w14:textId="77777777" w:rsidR="003127C3" w:rsidRDefault="003127C3" w:rsidP="003127C3">
            <w:pPr>
              <w:pStyle w:val="TableCentre"/>
            </w:pPr>
            <w:r w:rsidRPr="00B75991">
              <w:t>2009/10</w:t>
            </w:r>
          </w:p>
        </w:tc>
        <w:tc>
          <w:tcPr>
            <w:tcW w:w="1305" w:type="dxa"/>
          </w:tcPr>
          <w:p w14:paraId="72D0296E" w14:textId="2794F10F" w:rsidR="003127C3" w:rsidRDefault="003127C3" w:rsidP="003127C3">
            <w:pPr>
              <w:pStyle w:val="TableCentre"/>
            </w:pPr>
            <w:r w:rsidRPr="00D30766">
              <w:t>0.90</w:t>
            </w:r>
          </w:p>
        </w:tc>
        <w:tc>
          <w:tcPr>
            <w:tcW w:w="1134" w:type="dxa"/>
          </w:tcPr>
          <w:p w14:paraId="36D24EE2" w14:textId="01B8C9A4" w:rsidR="003127C3" w:rsidRDefault="003127C3" w:rsidP="003127C3">
            <w:pPr>
              <w:pStyle w:val="TableCentre"/>
            </w:pPr>
            <w:r w:rsidRPr="00D30766">
              <w:t>251</w:t>
            </w:r>
          </w:p>
        </w:tc>
        <w:tc>
          <w:tcPr>
            <w:tcW w:w="1276" w:type="dxa"/>
          </w:tcPr>
          <w:p w14:paraId="3D28F990" w14:textId="40088AF5" w:rsidR="003127C3" w:rsidRDefault="003127C3" w:rsidP="003127C3">
            <w:pPr>
              <w:pStyle w:val="TableCentre"/>
            </w:pPr>
            <w:r w:rsidRPr="00D30766">
              <w:t>0.12</w:t>
            </w:r>
          </w:p>
        </w:tc>
        <w:tc>
          <w:tcPr>
            <w:tcW w:w="1134" w:type="dxa"/>
          </w:tcPr>
          <w:p w14:paraId="67FACB66" w14:textId="5F397BC4" w:rsidR="003127C3" w:rsidRDefault="003127C3" w:rsidP="003127C3">
            <w:pPr>
              <w:pStyle w:val="TableCentre"/>
            </w:pPr>
            <w:r w:rsidRPr="00D30766">
              <w:t>32</w:t>
            </w:r>
          </w:p>
        </w:tc>
        <w:tc>
          <w:tcPr>
            <w:tcW w:w="1275" w:type="dxa"/>
          </w:tcPr>
          <w:p w14:paraId="1B59E9D7" w14:textId="3653051A" w:rsidR="003127C3" w:rsidRDefault="003127C3" w:rsidP="003127C3">
            <w:pPr>
              <w:pStyle w:val="TableCentre"/>
            </w:pPr>
            <w:r w:rsidRPr="00D30766">
              <w:t>1.02</w:t>
            </w:r>
          </w:p>
        </w:tc>
        <w:tc>
          <w:tcPr>
            <w:tcW w:w="1276" w:type="dxa"/>
          </w:tcPr>
          <w:p w14:paraId="636C9227" w14:textId="1687334D" w:rsidR="003127C3" w:rsidRDefault="003127C3" w:rsidP="003127C3">
            <w:pPr>
              <w:pStyle w:val="TableCentre"/>
            </w:pPr>
            <w:r w:rsidRPr="00D30766">
              <w:t>283</w:t>
            </w:r>
          </w:p>
        </w:tc>
      </w:tr>
      <w:tr w:rsidR="003127C3" w:rsidRPr="005A5B60" w14:paraId="74282B69" w14:textId="77777777" w:rsidTr="00656706">
        <w:tc>
          <w:tcPr>
            <w:tcW w:w="1134" w:type="dxa"/>
          </w:tcPr>
          <w:p w14:paraId="60C1C290" w14:textId="77777777" w:rsidR="003127C3" w:rsidRDefault="003127C3" w:rsidP="003127C3">
            <w:pPr>
              <w:pStyle w:val="TableCentre"/>
            </w:pPr>
            <w:r w:rsidRPr="00B75991">
              <w:t>2010/11</w:t>
            </w:r>
          </w:p>
        </w:tc>
        <w:tc>
          <w:tcPr>
            <w:tcW w:w="1305" w:type="dxa"/>
          </w:tcPr>
          <w:p w14:paraId="04520AC6" w14:textId="1C96E11F" w:rsidR="003127C3" w:rsidRDefault="003127C3" w:rsidP="003127C3">
            <w:pPr>
              <w:pStyle w:val="TableCentre"/>
            </w:pPr>
            <w:r w:rsidRPr="00D30766">
              <w:t>0.88</w:t>
            </w:r>
          </w:p>
        </w:tc>
        <w:tc>
          <w:tcPr>
            <w:tcW w:w="1134" w:type="dxa"/>
          </w:tcPr>
          <w:p w14:paraId="5A73F617" w14:textId="39DD3C8A" w:rsidR="003127C3" w:rsidRDefault="003127C3" w:rsidP="003127C3">
            <w:pPr>
              <w:pStyle w:val="TableCentre"/>
            </w:pPr>
            <w:r w:rsidRPr="00D30766">
              <w:t>246</w:t>
            </w:r>
          </w:p>
        </w:tc>
        <w:tc>
          <w:tcPr>
            <w:tcW w:w="1276" w:type="dxa"/>
          </w:tcPr>
          <w:p w14:paraId="2DB4B7FC" w14:textId="76989E14" w:rsidR="003127C3" w:rsidRDefault="003127C3" w:rsidP="003127C3">
            <w:pPr>
              <w:pStyle w:val="TableCentre"/>
            </w:pPr>
            <w:r w:rsidRPr="00D30766">
              <w:t>0.12</w:t>
            </w:r>
          </w:p>
        </w:tc>
        <w:tc>
          <w:tcPr>
            <w:tcW w:w="1134" w:type="dxa"/>
          </w:tcPr>
          <w:p w14:paraId="0902FA0B" w14:textId="78C1A6B0" w:rsidR="003127C3" w:rsidRDefault="003127C3" w:rsidP="003127C3">
            <w:pPr>
              <w:pStyle w:val="TableCentre"/>
            </w:pPr>
            <w:r w:rsidRPr="00D30766">
              <w:t>32</w:t>
            </w:r>
          </w:p>
        </w:tc>
        <w:tc>
          <w:tcPr>
            <w:tcW w:w="1275" w:type="dxa"/>
          </w:tcPr>
          <w:p w14:paraId="523F3403" w14:textId="706AA1B8" w:rsidR="003127C3" w:rsidRDefault="003127C3" w:rsidP="003127C3">
            <w:pPr>
              <w:pStyle w:val="TableCentre"/>
            </w:pPr>
            <w:r w:rsidRPr="00D30766">
              <w:t>1.00</w:t>
            </w:r>
          </w:p>
        </w:tc>
        <w:tc>
          <w:tcPr>
            <w:tcW w:w="1276" w:type="dxa"/>
          </w:tcPr>
          <w:p w14:paraId="5DBB43E2" w14:textId="182B2598" w:rsidR="003127C3" w:rsidRDefault="003127C3" w:rsidP="003127C3">
            <w:pPr>
              <w:pStyle w:val="TableCentre"/>
            </w:pPr>
            <w:r w:rsidRPr="00D30766">
              <w:t>278</w:t>
            </w:r>
          </w:p>
        </w:tc>
      </w:tr>
      <w:tr w:rsidR="003127C3" w:rsidRPr="005A5B60" w14:paraId="48AF1D79" w14:textId="77777777" w:rsidTr="00656706">
        <w:tc>
          <w:tcPr>
            <w:tcW w:w="1134" w:type="dxa"/>
          </w:tcPr>
          <w:p w14:paraId="44165414" w14:textId="77777777" w:rsidR="003127C3" w:rsidRDefault="003127C3" w:rsidP="003127C3">
            <w:pPr>
              <w:pStyle w:val="TableCentre"/>
            </w:pPr>
            <w:r w:rsidRPr="00B75991">
              <w:t>2011/12</w:t>
            </w:r>
          </w:p>
        </w:tc>
        <w:tc>
          <w:tcPr>
            <w:tcW w:w="1305" w:type="dxa"/>
          </w:tcPr>
          <w:p w14:paraId="27A463B3" w14:textId="292A0AEB" w:rsidR="003127C3" w:rsidRDefault="003127C3" w:rsidP="003127C3">
            <w:pPr>
              <w:pStyle w:val="TableCentre"/>
            </w:pPr>
            <w:r w:rsidRPr="00D30766">
              <w:t>0.87</w:t>
            </w:r>
          </w:p>
        </w:tc>
        <w:tc>
          <w:tcPr>
            <w:tcW w:w="1134" w:type="dxa"/>
          </w:tcPr>
          <w:p w14:paraId="68919B19" w14:textId="6B3F00C9" w:rsidR="003127C3" w:rsidRDefault="003127C3" w:rsidP="003127C3">
            <w:pPr>
              <w:pStyle w:val="TableCentre"/>
            </w:pPr>
            <w:r w:rsidRPr="00D30766">
              <w:t>241</w:t>
            </w:r>
          </w:p>
        </w:tc>
        <w:tc>
          <w:tcPr>
            <w:tcW w:w="1276" w:type="dxa"/>
          </w:tcPr>
          <w:p w14:paraId="34F7FC74" w14:textId="13A06FC5" w:rsidR="003127C3" w:rsidRDefault="003127C3" w:rsidP="003127C3">
            <w:pPr>
              <w:pStyle w:val="TableCentre"/>
            </w:pPr>
            <w:r w:rsidRPr="00D30766">
              <w:t>0.12</w:t>
            </w:r>
          </w:p>
        </w:tc>
        <w:tc>
          <w:tcPr>
            <w:tcW w:w="1134" w:type="dxa"/>
          </w:tcPr>
          <w:p w14:paraId="289CB6F9" w14:textId="6C3237BB" w:rsidR="003127C3" w:rsidRDefault="003127C3" w:rsidP="003127C3">
            <w:pPr>
              <w:pStyle w:val="TableCentre"/>
            </w:pPr>
            <w:r w:rsidRPr="00D30766">
              <w:t>32</w:t>
            </w:r>
          </w:p>
        </w:tc>
        <w:tc>
          <w:tcPr>
            <w:tcW w:w="1275" w:type="dxa"/>
          </w:tcPr>
          <w:p w14:paraId="1F243737" w14:textId="1DA93BB1" w:rsidR="003127C3" w:rsidRDefault="003127C3" w:rsidP="003127C3">
            <w:pPr>
              <w:pStyle w:val="TableCentre"/>
            </w:pPr>
            <w:r w:rsidRPr="00D30766">
              <w:t>0.98</w:t>
            </w:r>
          </w:p>
        </w:tc>
        <w:tc>
          <w:tcPr>
            <w:tcW w:w="1276" w:type="dxa"/>
          </w:tcPr>
          <w:p w14:paraId="4B66FAC4" w14:textId="0A3A8CE0" w:rsidR="003127C3" w:rsidRDefault="003127C3" w:rsidP="003127C3">
            <w:pPr>
              <w:pStyle w:val="TableCentre"/>
            </w:pPr>
            <w:r w:rsidRPr="00D30766">
              <w:t>274</w:t>
            </w:r>
          </w:p>
        </w:tc>
      </w:tr>
      <w:tr w:rsidR="003127C3" w:rsidRPr="005A5B60" w14:paraId="25A11BDA" w14:textId="77777777" w:rsidTr="00656706">
        <w:tc>
          <w:tcPr>
            <w:tcW w:w="1134" w:type="dxa"/>
          </w:tcPr>
          <w:p w14:paraId="010A96DC" w14:textId="77777777" w:rsidR="003127C3" w:rsidRDefault="003127C3" w:rsidP="003127C3">
            <w:pPr>
              <w:pStyle w:val="TableCentre"/>
            </w:pPr>
            <w:r w:rsidRPr="00B75991">
              <w:t>2012/13</w:t>
            </w:r>
          </w:p>
        </w:tc>
        <w:tc>
          <w:tcPr>
            <w:tcW w:w="1305" w:type="dxa"/>
          </w:tcPr>
          <w:p w14:paraId="0E4A189E" w14:textId="0CE9DC73" w:rsidR="003127C3" w:rsidRDefault="003127C3" w:rsidP="003127C3">
            <w:pPr>
              <w:pStyle w:val="TableCentre"/>
            </w:pPr>
            <w:r w:rsidRPr="00D30766">
              <w:t>0.85</w:t>
            </w:r>
          </w:p>
        </w:tc>
        <w:tc>
          <w:tcPr>
            <w:tcW w:w="1134" w:type="dxa"/>
          </w:tcPr>
          <w:p w14:paraId="4B9F1CB2" w14:textId="40C6ABD2" w:rsidR="003127C3" w:rsidRDefault="003127C3" w:rsidP="003127C3">
            <w:pPr>
              <w:pStyle w:val="TableCentre"/>
            </w:pPr>
            <w:r w:rsidRPr="00D30766">
              <w:t>236</w:t>
            </w:r>
          </w:p>
        </w:tc>
        <w:tc>
          <w:tcPr>
            <w:tcW w:w="1276" w:type="dxa"/>
          </w:tcPr>
          <w:p w14:paraId="321CBFF4" w14:textId="29F7C328" w:rsidR="003127C3" w:rsidRDefault="003127C3" w:rsidP="003127C3">
            <w:pPr>
              <w:pStyle w:val="TableCentre"/>
            </w:pPr>
            <w:r w:rsidRPr="00D30766">
              <w:t>0.11</w:t>
            </w:r>
          </w:p>
        </w:tc>
        <w:tc>
          <w:tcPr>
            <w:tcW w:w="1134" w:type="dxa"/>
          </w:tcPr>
          <w:p w14:paraId="13FCC95D" w14:textId="14C56C41" w:rsidR="003127C3" w:rsidRDefault="003127C3" w:rsidP="003127C3">
            <w:pPr>
              <w:pStyle w:val="TableCentre"/>
            </w:pPr>
            <w:r w:rsidRPr="00D30766">
              <w:t>32</w:t>
            </w:r>
          </w:p>
        </w:tc>
        <w:tc>
          <w:tcPr>
            <w:tcW w:w="1275" w:type="dxa"/>
          </w:tcPr>
          <w:p w14:paraId="63C5A077" w14:textId="69598CEF" w:rsidR="003127C3" w:rsidRDefault="003127C3" w:rsidP="003127C3">
            <w:pPr>
              <w:pStyle w:val="TableCentre"/>
            </w:pPr>
            <w:r w:rsidRPr="00D30766">
              <w:t>0.96</w:t>
            </w:r>
          </w:p>
        </w:tc>
        <w:tc>
          <w:tcPr>
            <w:tcW w:w="1276" w:type="dxa"/>
          </w:tcPr>
          <w:p w14:paraId="2FA9F177" w14:textId="7DE5EBFA" w:rsidR="003127C3" w:rsidRDefault="003127C3" w:rsidP="003127C3">
            <w:pPr>
              <w:pStyle w:val="TableCentre"/>
            </w:pPr>
            <w:r w:rsidRPr="00D30766">
              <w:t>268</w:t>
            </w:r>
          </w:p>
        </w:tc>
      </w:tr>
      <w:tr w:rsidR="003127C3" w:rsidRPr="005A5B60" w14:paraId="4758BEAE" w14:textId="77777777" w:rsidTr="00656706">
        <w:tc>
          <w:tcPr>
            <w:tcW w:w="1134" w:type="dxa"/>
          </w:tcPr>
          <w:p w14:paraId="30B647D3" w14:textId="77777777" w:rsidR="003127C3" w:rsidRDefault="003127C3" w:rsidP="003127C3">
            <w:pPr>
              <w:pStyle w:val="TableCentre"/>
            </w:pPr>
            <w:r w:rsidRPr="00B75991">
              <w:t>2013/14</w:t>
            </w:r>
          </w:p>
        </w:tc>
        <w:tc>
          <w:tcPr>
            <w:tcW w:w="1305" w:type="dxa"/>
          </w:tcPr>
          <w:p w14:paraId="5BEE2405" w14:textId="66034215" w:rsidR="003127C3" w:rsidRDefault="003127C3" w:rsidP="003127C3">
            <w:pPr>
              <w:pStyle w:val="TableCentre"/>
            </w:pPr>
            <w:r w:rsidRPr="00D30766">
              <w:t>0.83</w:t>
            </w:r>
          </w:p>
        </w:tc>
        <w:tc>
          <w:tcPr>
            <w:tcW w:w="1134" w:type="dxa"/>
          </w:tcPr>
          <w:p w14:paraId="59E8C0C3" w14:textId="0F9DF06C" w:rsidR="003127C3" w:rsidRDefault="003127C3" w:rsidP="003127C3">
            <w:pPr>
              <w:pStyle w:val="TableCentre"/>
            </w:pPr>
            <w:r w:rsidRPr="00D30766">
              <w:t>229</w:t>
            </w:r>
          </w:p>
        </w:tc>
        <w:tc>
          <w:tcPr>
            <w:tcW w:w="1276" w:type="dxa"/>
          </w:tcPr>
          <w:p w14:paraId="5137D6B9" w14:textId="2C5516ED" w:rsidR="003127C3" w:rsidRDefault="003127C3" w:rsidP="003127C3">
            <w:pPr>
              <w:pStyle w:val="TableCentre"/>
            </w:pPr>
            <w:r w:rsidRPr="00D30766">
              <w:t>0.12</w:t>
            </w:r>
          </w:p>
        </w:tc>
        <w:tc>
          <w:tcPr>
            <w:tcW w:w="1134" w:type="dxa"/>
          </w:tcPr>
          <w:p w14:paraId="663567E6" w14:textId="33691A30" w:rsidR="003127C3" w:rsidRDefault="003127C3" w:rsidP="003127C3">
            <w:pPr>
              <w:pStyle w:val="TableCentre"/>
            </w:pPr>
            <w:r w:rsidRPr="00D30766">
              <w:t>32</w:t>
            </w:r>
          </w:p>
        </w:tc>
        <w:tc>
          <w:tcPr>
            <w:tcW w:w="1275" w:type="dxa"/>
          </w:tcPr>
          <w:p w14:paraId="29DFC397" w14:textId="4645E3A3" w:rsidR="003127C3" w:rsidRDefault="003127C3" w:rsidP="003127C3">
            <w:pPr>
              <w:pStyle w:val="TableCentre"/>
            </w:pPr>
            <w:r w:rsidRPr="00D30766">
              <w:t>0.94</w:t>
            </w:r>
          </w:p>
        </w:tc>
        <w:tc>
          <w:tcPr>
            <w:tcW w:w="1276" w:type="dxa"/>
          </w:tcPr>
          <w:p w14:paraId="085F33F4" w14:textId="243D9DE1" w:rsidR="003127C3" w:rsidRDefault="003127C3" w:rsidP="003127C3">
            <w:pPr>
              <w:pStyle w:val="TableCentre"/>
            </w:pPr>
            <w:r w:rsidRPr="00D30766">
              <w:t>261</w:t>
            </w:r>
          </w:p>
        </w:tc>
      </w:tr>
      <w:tr w:rsidR="003127C3" w:rsidRPr="005A5B60" w14:paraId="22660DE4" w14:textId="77777777" w:rsidTr="00BA6A01">
        <w:tc>
          <w:tcPr>
            <w:tcW w:w="1134" w:type="dxa"/>
          </w:tcPr>
          <w:p w14:paraId="727344AA" w14:textId="17CC9DF0" w:rsidR="003127C3" w:rsidRPr="00B75991" w:rsidRDefault="003127C3" w:rsidP="003127C3">
            <w:pPr>
              <w:pStyle w:val="TableCentre"/>
            </w:pPr>
            <w:r w:rsidRPr="003127C3">
              <w:t>2014/15</w:t>
            </w:r>
          </w:p>
        </w:tc>
        <w:tc>
          <w:tcPr>
            <w:tcW w:w="1305" w:type="dxa"/>
          </w:tcPr>
          <w:p w14:paraId="4B1E1FCC" w14:textId="167DAE5F" w:rsidR="003127C3" w:rsidRPr="001E50E0" w:rsidRDefault="003127C3" w:rsidP="003127C3">
            <w:pPr>
              <w:pStyle w:val="TableCentre"/>
            </w:pPr>
            <w:r w:rsidRPr="00D30766">
              <w:t>0.81</w:t>
            </w:r>
          </w:p>
        </w:tc>
        <w:tc>
          <w:tcPr>
            <w:tcW w:w="1134" w:type="dxa"/>
          </w:tcPr>
          <w:p w14:paraId="5DB6C0A1" w14:textId="6E973F9C" w:rsidR="003127C3" w:rsidRPr="001E50E0" w:rsidRDefault="003127C3" w:rsidP="003127C3">
            <w:pPr>
              <w:pStyle w:val="TableCentre"/>
            </w:pPr>
            <w:r w:rsidRPr="00D30766">
              <w:t>225</w:t>
            </w:r>
          </w:p>
        </w:tc>
        <w:tc>
          <w:tcPr>
            <w:tcW w:w="1276" w:type="dxa"/>
          </w:tcPr>
          <w:p w14:paraId="4708D36E" w14:textId="3B70405A" w:rsidR="003127C3" w:rsidRPr="001E50E0" w:rsidRDefault="003127C3" w:rsidP="003127C3">
            <w:pPr>
              <w:pStyle w:val="TableCentre"/>
            </w:pPr>
            <w:r w:rsidRPr="00D30766">
              <w:t>0.11</w:t>
            </w:r>
          </w:p>
        </w:tc>
        <w:tc>
          <w:tcPr>
            <w:tcW w:w="1134" w:type="dxa"/>
          </w:tcPr>
          <w:p w14:paraId="38A3EEDD" w14:textId="5C61A020" w:rsidR="003127C3" w:rsidRPr="001E50E0" w:rsidRDefault="003127C3" w:rsidP="003127C3">
            <w:pPr>
              <w:pStyle w:val="TableCentre"/>
            </w:pPr>
            <w:r w:rsidRPr="00D30766">
              <w:t>31</w:t>
            </w:r>
          </w:p>
        </w:tc>
        <w:tc>
          <w:tcPr>
            <w:tcW w:w="1275" w:type="dxa"/>
          </w:tcPr>
          <w:p w14:paraId="040F6E34" w14:textId="2848C6E4" w:rsidR="003127C3" w:rsidRPr="001E50E0" w:rsidRDefault="003127C3" w:rsidP="003127C3">
            <w:pPr>
              <w:pStyle w:val="TableCentre"/>
            </w:pPr>
            <w:r w:rsidRPr="00D30766">
              <w:t>0.92</w:t>
            </w:r>
          </w:p>
        </w:tc>
        <w:tc>
          <w:tcPr>
            <w:tcW w:w="1276" w:type="dxa"/>
          </w:tcPr>
          <w:p w14:paraId="5F03732A" w14:textId="4EA47FEE" w:rsidR="003127C3" w:rsidRPr="001E50E0" w:rsidRDefault="003127C3" w:rsidP="003127C3">
            <w:pPr>
              <w:pStyle w:val="TableCentre"/>
            </w:pPr>
            <w:r w:rsidRPr="00D30766">
              <w:t>255</w:t>
            </w:r>
          </w:p>
        </w:tc>
      </w:tr>
      <w:tr w:rsidR="003127C3" w:rsidRPr="005A5B60" w14:paraId="2B74CFDA" w14:textId="77777777" w:rsidTr="00BE5F74">
        <w:tc>
          <w:tcPr>
            <w:tcW w:w="1134" w:type="dxa"/>
          </w:tcPr>
          <w:p w14:paraId="3297E50A" w14:textId="77777777" w:rsidR="003127C3" w:rsidRDefault="003127C3" w:rsidP="003127C3">
            <w:pPr>
              <w:pStyle w:val="TableCentre"/>
            </w:pPr>
            <w:r w:rsidRPr="00B75991">
              <w:t>Latest Estimate</w:t>
            </w:r>
          </w:p>
        </w:tc>
        <w:tc>
          <w:tcPr>
            <w:tcW w:w="1305" w:type="dxa"/>
          </w:tcPr>
          <w:p w14:paraId="083A8395" w14:textId="74DDB67A" w:rsidR="003127C3" w:rsidRDefault="003127C3" w:rsidP="003127C3">
            <w:pPr>
              <w:pStyle w:val="TableCentre"/>
            </w:pPr>
            <w:r w:rsidRPr="00D30766">
              <w:t>0.81</w:t>
            </w:r>
          </w:p>
        </w:tc>
        <w:tc>
          <w:tcPr>
            <w:tcW w:w="1134" w:type="dxa"/>
          </w:tcPr>
          <w:p w14:paraId="47D6A187" w14:textId="559A34AF" w:rsidR="003127C3" w:rsidRDefault="003127C3" w:rsidP="003127C3">
            <w:pPr>
              <w:pStyle w:val="TableCentre"/>
            </w:pPr>
            <w:r w:rsidRPr="00D30766">
              <w:t>224</w:t>
            </w:r>
          </w:p>
        </w:tc>
        <w:tc>
          <w:tcPr>
            <w:tcW w:w="1276" w:type="dxa"/>
          </w:tcPr>
          <w:p w14:paraId="0FFF8CF1" w14:textId="21D09593" w:rsidR="003127C3" w:rsidRDefault="003127C3" w:rsidP="003127C3">
            <w:pPr>
              <w:pStyle w:val="TableCentre"/>
            </w:pPr>
            <w:r w:rsidRPr="00D30766">
              <w:t>0.11</w:t>
            </w:r>
          </w:p>
        </w:tc>
        <w:tc>
          <w:tcPr>
            <w:tcW w:w="1134" w:type="dxa"/>
          </w:tcPr>
          <w:p w14:paraId="59CEA54F" w14:textId="584FE8D1" w:rsidR="003127C3" w:rsidRDefault="003127C3" w:rsidP="003127C3">
            <w:pPr>
              <w:pStyle w:val="TableCentre"/>
            </w:pPr>
            <w:r w:rsidRPr="00D30766">
              <w:t>29</w:t>
            </w:r>
          </w:p>
        </w:tc>
        <w:tc>
          <w:tcPr>
            <w:tcW w:w="1275" w:type="dxa"/>
          </w:tcPr>
          <w:p w14:paraId="67A8A489" w14:textId="783D999C" w:rsidR="003127C3" w:rsidRDefault="003127C3" w:rsidP="003127C3">
            <w:pPr>
              <w:pStyle w:val="TableCentre"/>
            </w:pPr>
            <w:r w:rsidRPr="00D30766">
              <w:t>0.91</w:t>
            </w:r>
          </w:p>
        </w:tc>
        <w:tc>
          <w:tcPr>
            <w:tcW w:w="1276" w:type="dxa"/>
          </w:tcPr>
          <w:p w14:paraId="4BBCF7A2" w14:textId="661CEDF3" w:rsidR="003127C3" w:rsidRDefault="003127C3" w:rsidP="003127C3">
            <w:pPr>
              <w:pStyle w:val="TableCentre"/>
            </w:pPr>
            <w:r w:rsidRPr="00D30766">
              <w:t>253</w:t>
            </w:r>
          </w:p>
        </w:tc>
      </w:tr>
    </w:tbl>
    <w:p w14:paraId="3B56BB68" w14:textId="77777777" w:rsidR="00010E2E" w:rsidRPr="00B90C7D" w:rsidRDefault="00010E2E">
      <w:pPr>
        <w:pStyle w:val="TableNote"/>
        <w:keepNext/>
      </w:pPr>
    </w:p>
    <w:p w14:paraId="09605D20" w14:textId="77777777" w:rsidR="00010E2E" w:rsidRPr="00B90C7D" w:rsidRDefault="00010E2E">
      <w:pPr>
        <w:pStyle w:val="TableNote"/>
        <w:keepNext/>
      </w:pPr>
      <w:r w:rsidRPr="00B90C7D">
        <w:t>Notes:</w:t>
      </w:r>
    </w:p>
    <w:p w14:paraId="50E14E05" w14:textId="77777777" w:rsidR="00527EEF" w:rsidRPr="00D179DC" w:rsidRDefault="00527EEF" w:rsidP="007C31A7">
      <w:pPr>
        <w:pStyle w:val="Tablebullets"/>
      </w:pPr>
      <w:r w:rsidRPr="00D179DC">
        <w:t>Data are for financial years ending in June.</w:t>
      </w:r>
    </w:p>
    <w:p w14:paraId="6E7AF4E6" w14:textId="77777777" w:rsidR="00010E2E" w:rsidRDefault="00010E2E" w:rsidP="007C31A7">
      <w:pPr>
        <w:pStyle w:val="Tablebullets"/>
      </w:pPr>
      <w:r>
        <w:t>Emission factors are representative of the state’s primary electricity grid. To minimise volatility emission factors are calculated as a three-year average.</w:t>
      </w:r>
    </w:p>
    <w:p w14:paraId="7E1208A6" w14:textId="40591FCE" w:rsidR="00010E2E" w:rsidRPr="00D4457E" w:rsidRDefault="00010E2E" w:rsidP="007C31A7">
      <w:pPr>
        <w:pStyle w:val="Tablebullets"/>
      </w:pPr>
      <w:r>
        <w:t xml:space="preserve">Scope 3 emission factors for transmission and distribution network operators are lower as they include only emissions attributable to the extraction, production and transport of fuels and not emissions attributable to the electricity lost in transmission and </w:t>
      </w:r>
      <w:r w:rsidRPr="002F3E6B">
        <w:t xml:space="preserve">distribution </w:t>
      </w:r>
      <w:r w:rsidRPr="00D85418">
        <w:t xml:space="preserve">networks. Transmission and distribution network operators should use the scope </w:t>
      </w:r>
      <w:r w:rsidRPr="008C17E0">
        <w:t xml:space="preserve">2 </w:t>
      </w:r>
      <w:r w:rsidR="00B80F09" w:rsidRPr="00B80F09">
        <w:t>factors in the table above and the following latest estimate scope 3 factors</w:t>
      </w:r>
      <w:r w:rsidR="00634B97">
        <w:t>: NSW and ACT: 0.0</w:t>
      </w:r>
      <w:r w:rsidR="00B75991" w:rsidRPr="00B75991">
        <w:t>2</w:t>
      </w:r>
      <w:r w:rsidR="00634B97">
        <w:t>kg CO</w:t>
      </w:r>
      <w:r w:rsidR="00634B97">
        <w:rPr>
          <w:vertAlign w:val="subscript"/>
        </w:rPr>
        <w:t>2</w:t>
      </w:r>
      <w:r w:rsidR="00634B97">
        <w:t>-e/kWh, VIC: 0.01kg CO</w:t>
      </w:r>
      <w:r w:rsidR="00634B97">
        <w:rPr>
          <w:vertAlign w:val="subscript"/>
        </w:rPr>
        <w:t>2</w:t>
      </w:r>
      <w:r w:rsidR="00634B97">
        <w:t>-e/kWh, QLD: 0.04kg CO</w:t>
      </w:r>
      <w:r w:rsidR="00634B97">
        <w:rPr>
          <w:vertAlign w:val="subscript"/>
        </w:rPr>
        <w:t>2</w:t>
      </w:r>
      <w:r w:rsidR="00634B97">
        <w:t>-e/kWh, SA: 0.0</w:t>
      </w:r>
      <w:r w:rsidR="00B75991" w:rsidRPr="00B75991">
        <w:t>4</w:t>
      </w:r>
      <w:r w:rsidR="00634B97">
        <w:t>kg CO</w:t>
      </w:r>
      <w:r w:rsidR="00634B97">
        <w:rPr>
          <w:vertAlign w:val="subscript"/>
        </w:rPr>
        <w:t>2</w:t>
      </w:r>
      <w:r w:rsidR="00634B97">
        <w:t>-e/kWh, WA: 0.02kg CO</w:t>
      </w:r>
      <w:r w:rsidR="00634B97">
        <w:rPr>
          <w:vertAlign w:val="subscript"/>
        </w:rPr>
        <w:t>2</w:t>
      </w:r>
      <w:r w:rsidR="00634B97">
        <w:t>-e/kWh, TAS: 0.0</w:t>
      </w:r>
      <w:r w:rsidR="00B75991" w:rsidRPr="00B75991">
        <w:t>1</w:t>
      </w:r>
      <w:r w:rsidR="00634B97">
        <w:t>kg CO</w:t>
      </w:r>
      <w:r w:rsidR="00634B97">
        <w:rPr>
          <w:vertAlign w:val="subscript"/>
        </w:rPr>
        <w:t>2</w:t>
      </w:r>
      <w:r w:rsidR="00634B97">
        <w:t>-e/kWh, NT</w:t>
      </w:r>
      <w:r w:rsidR="00870C44">
        <w:t xml:space="preserve">: </w:t>
      </w:r>
      <w:r w:rsidR="00634B97">
        <w:t>0.05 kg CO</w:t>
      </w:r>
      <w:r w:rsidR="00634B97">
        <w:rPr>
          <w:vertAlign w:val="subscript"/>
        </w:rPr>
        <w:t>2</w:t>
      </w:r>
      <w:r w:rsidR="00634B97">
        <w:t xml:space="preserve">-e/kWh. </w:t>
      </w:r>
    </w:p>
    <w:p w14:paraId="14E2B421" w14:textId="77777777" w:rsidR="00F1447B" w:rsidRPr="00EE73A7" w:rsidRDefault="00F1447B" w:rsidP="007C31A7">
      <w:pPr>
        <w:pStyle w:val="Tablebullets"/>
      </w:pPr>
      <w:r w:rsidRPr="00F1447B">
        <w:t xml:space="preserve">Depending on the intended use, the publication of these revised factors does not necessarily imply any need to </w:t>
      </w:r>
      <w:r w:rsidRPr="00EE73A7">
        <w:t>revise past estimates of emissions. Previously published emission factor estimates are available from the Department of the Environment.</w:t>
      </w:r>
    </w:p>
    <w:p w14:paraId="58251826" w14:textId="3625ED97" w:rsidR="000D20BC" w:rsidRPr="00EE73A7" w:rsidRDefault="000D20BC" w:rsidP="007C31A7">
      <w:pPr>
        <w:pStyle w:val="Tablebullets"/>
      </w:pPr>
      <w:r w:rsidRPr="00EE73A7">
        <w:rPr>
          <w:bCs/>
        </w:rPr>
        <w:t xml:space="preserve">The factors in this table are not the relevant grid emissions factors for methodology determinations under the </w:t>
      </w:r>
      <w:r w:rsidRPr="00EE73A7">
        <w:rPr>
          <w:bCs/>
          <w:i/>
        </w:rPr>
        <w:t>Carbon Credits (Carbon Farming Initiative) Act 2011</w:t>
      </w:r>
      <w:r w:rsidRPr="00EE73A7">
        <w:rPr>
          <w:bCs/>
        </w:rPr>
        <w:t xml:space="preserve"> which can be found at 2.3.</w:t>
      </w:r>
      <w:r w:rsidR="00FD1A7A">
        <w:rPr>
          <w:bCs/>
        </w:rPr>
        <w:t>3</w:t>
      </w:r>
      <w:r w:rsidRPr="00EE73A7">
        <w:rPr>
          <w:bCs/>
        </w:rPr>
        <w:t>.</w:t>
      </w:r>
    </w:p>
    <w:p w14:paraId="221C528E" w14:textId="311667DC" w:rsidR="00D157AC" w:rsidRDefault="00010E2E">
      <w:pPr>
        <w:pStyle w:val="Tablebullets"/>
      </w:pPr>
      <w:r w:rsidRPr="00D85418">
        <w:t xml:space="preserve">Sources: </w:t>
      </w:r>
      <w:r w:rsidR="00346C5A">
        <w:t xml:space="preserve">Department of </w:t>
      </w:r>
      <w:r w:rsidR="009167C9">
        <w:t>the Environment</w:t>
      </w:r>
      <w:r w:rsidR="007E29EE">
        <w:t xml:space="preserve"> and Energy</w:t>
      </w:r>
      <w:r w:rsidR="00966111">
        <w:t>.</w:t>
      </w:r>
      <w:r>
        <w:t xml:space="preserve"> Primary data sources comprise </w:t>
      </w:r>
      <w:r w:rsidR="007D4239">
        <w:t>NGER</w:t>
      </w:r>
      <w:r>
        <w:t>,</w:t>
      </w:r>
      <w:r w:rsidR="00656706">
        <w:t xml:space="preserve"> Australian Energy </w:t>
      </w:r>
      <w:r w:rsidR="00BE5F74">
        <w:t>Statistics</w:t>
      </w:r>
      <w:r w:rsidR="00656706">
        <w:t>,</w:t>
      </w:r>
      <w:r>
        <w:t xml:space="preserve"> </w:t>
      </w:r>
      <w:r w:rsidR="00AB30D9">
        <w:t>Clean Energy Regulator</w:t>
      </w:r>
      <w:r>
        <w:t xml:space="preserve"> and </w:t>
      </w:r>
      <w:r w:rsidR="00966111">
        <w:t>AEM</w:t>
      </w:r>
      <w:r>
        <w:t>O data.</w:t>
      </w:r>
      <w:bookmarkEnd w:id="148"/>
      <w:bookmarkEnd w:id="149"/>
      <w:bookmarkEnd w:id="150"/>
    </w:p>
    <w:p w14:paraId="3397E8E1" w14:textId="77777777" w:rsidR="00010E2E" w:rsidRDefault="00010E2E">
      <w:pPr>
        <w:pStyle w:val="Heading2"/>
        <w:numPr>
          <w:ilvl w:val="0"/>
          <w:numId w:val="0"/>
        </w:numPr>
        <w:tabs>
          <w:tab w:val="left" w:pos="0"/>
          <w:tab w:val="left" w:pos="2250"/>
        </w:tabs>
        <w:spacing w:before="240" w:after="120" w:line="312" w:lineRule="auto"/>
        <w:rPr>
          <w:rFonts w:ascii="Arial" w:hAnsi="Arial" w:cs="Arial"/>
        </w:rPr>
      </w:pPr>
      <w:r>
        <w:rPr>
          <w:rFonts w:ascii="Arial" w:hAnsi="Arial" w:cs="Arial"/>
        </w:rPr>
        <w:t>Emissions from waste disposal to landfill and wastewater treatment</w:t>
      </w:r>
    </w:p>
    <w:p w14:paraId="65CDCAAA" w14:textId="77777777" w:rsidR="00010E2E" w:rsidRDefault="00010E2E">
      <w:pPr>
        <w:pStyle w:val="BodyText"/>
        <w:tabs>
          <w:tab w:val="left" w:pos="0"/>
          <w:tab w:val="left" w:pos="2250"/>
        </w:tabs>
        <w:spacing w:before="120" w:after="0" w:line="312" w:lineRule="auto"/>
        <w:ind w:left="0"/>
        <w:rPr>
          <w:rFonts w:ascii="Arial" w:hAnsi="Arial" w:cs="Arial"/>
          <w:szCs w:val="18"/>
        </w:rPr>
      </w:pPr>
      <w:r>
        <w:rPr>
          <w:rFonts w:ascii="Arial" w:hAnsi="Arial" w:cs="Arial"/>
          <w:szCs w:val="18"/>
        </w:rPr>
        <w:t>Methane (CH</w:t>
      </w:r>
      <w:r>
        <w:rPr>
          <w:rFonts w:ascii="Arial" w:hAnsi="Arial" w:cs="Arial"/>
          <w:szCs w:val="18"/>
          <w:vertAlign w:val="subscript"/>
        </w:rPr>
        <w:t>4</w:t>
      </w:r>
      <w:r>
        <w:rPr>
          <w:rFonts w:ascii="Arial" w:hAnsi="Arial" w:cs="Arial"/>
          <w:szCs w:val="18"/>
        </w:rPr>
        <w:t>) vented to the atmosphere is considered an emission as this action would be adding to atmospheric CH</w:t>
      </w:r>
      <w:r>
        <w:rPr>
          <w:rFonts w:ascii="Arial" w:hAnsi="Arial" w:cs="Arial"/>
          <w:szCs w:val="18"/>
          <w:vertAlign w:val="subscript"/>
        </w:rPr>
        <w:t>4</w:t>
      </w:r>
      <w:r>
        <w:rPr>
          <w:rFonts w:ascii="Arial" w:hAnsi="Arial" w:cs="Arial"/>
          <w:szCs w:val="18"/>
        </w:rPr>
        <w:t xml:space="preserve">. The emissions are multiplied by </w:t>
      </w:r>
      <w:r w:rsidR="00895257">
        <w:rPr>
          <w:rFonts w:ascii="Arial" w:hAnsi="Arial" w:cs="Arial"/>
          <w:szCs w:val="18"/>
        </w:rPr>
        <w:t xml:space="preserve">25 </w:t>
      </w:r>
      <w:r>
        <w:rPr>
          <w:rFonts w:ascii="Arial" w:hAnsi="Arial" w:cs="Arial"/>
          <w:szCs w:val="18"/>
        </w:rPr>
        <w:t>to calculate the carbon dioxide equivalent (CO</w:t>
      </w:r>
      <w:r>
        <w:rPr>
          <w:rFonts w:ascii="Arial" w:hAnsi="Arial" w:cs="Arial"/>
          <w:szCs w:val="18"/>
          <w:vertAlign w:val="subscript"/>
        </w:rPr>
        <w:t>2</w:t>
      </w:r>
      <w:r>
        <w:rPr>
          <w:rFonts w:ascii="Arial" w:hAnsi="Arial" w:cs="Arial"/>
          <w:szCs w:val="18"/>
        </w:rPr>
        <w:t>-e) emissions.</w:t>
      </w:r>
    </w:p>
    <w:p w14:paraId="22E4CE2D" w14:textId="77777777" w:rsidR="00010E2E" w:rsidRDefault="00010E2E">
      <w:pPr>
        <w:pStyle w:val="BodyText"/>
        <w:tabs>
          <w:tab w:val="left" w:pos="0"/>
          <w:tab w:val="left" w:pos="2250"/>
        </w:tabs>
        <w:spacing w:before="120" w:after="0" w:line="312" w:lineRule="auto"/>
        <w:ind w:left="0"/>
        <w:rPr>
          <w:rFonts w:ascii="Arial" w:hAnsi="Arial" w:cs="Arial"/>
          <w:szCs w:val="18"/>
        </w:rPr>
      </w:pPr>
      <w:r>
        <w:rPr>
          <w:rFonts w:ascii="Arial" w:hAnsi="Arial" w:cs="Arial"/>
          <w:szCs w:val="18"/>
        </w:rPr>
        <w:t>Where methane from waste biomass is recovered and flared or combusted for energy, the</w:t>
      </w:r>
    </w:p>
    <w:p w14:paraId="3EC655D6" w14:textId="77777777" w:rsidR="00010E2E" w:rsidRDefault="00010E2E">
      <w:pPr>
        <w:pStyle w:val="BodyText"/>
        <w:tabs>
          <w:tab w:val="left" w:pos="0"/>
          <w:tab w:val="left" w:pos="2250"/>
        </w:tabs>
        <w:spacing w:after="0" w:line="312" w:lineRule="auto"/>
        <w:ind w:left="0"/>
        <w:rPr>
          <w:rFonts w:ascii="Arial" w:hAnsi="Arial" w:cs="Arial"/>
          <w:szCs w:val="18"/>
        </w:rPr>
      </w:pPr>
      <w:r>
        <w:rPr>
          <w:rFonts w:ascii="Arial" w:hAnsi="Arial" w:cs="Arial"/>
          <w:szCs w:val="18"/>
        </w:rPr>
        <w:t>CO</w:t>
      </w:r>
      <w:r>
        <w:rPr>
          <w:rFonts w:ascii="Arial" w:hAnsi="Arial" w:cs="Arial"/>
          <w:szCs w:val="18"/>
          <w:vertAlign w:val="subscript"/>
        </w:rPr>
        <w:t>2</w:t>
      </w:r>
      <w:r>
        <w:rPr>
          <w:rFonts w:ascii="Arial" w:hAnsi="Arial" w:cs="Arial"/>
          <w:szCs w:val="18"/>
        </w:rPr>
        <w:t xml:space="preserve"> emitted is not counted as an emission but regarded as part of the natural carbon cycle.</w:t>
      </w:r>
    </w:p>
    <w:p w14:paraId="59D7C324" w14:textId="77777777" w:rsidR="00010E2E" w:rsidRDefault="00010E2E">
      <w:pPr>
        <w:pStyle w:val="BodyText"/>
        <w:tabs>
          <w:tab w:val="left" w:pos="0"/>
          <w:tab w:val="left" w:pos="2250"/>
        </w:tabs>
        <w:spacing w:after="120" w:line="312" w:lineRule="auto"/>
        <w:ind w:left="0"/>
        <w:rPr>
          <w:rFonts w:ascii="Arial" w:hAnsi="Arial" w:cs="Arial"/>
          <w:szCs w:val="18"/>
        </w:rPr>
      </w:pPr>
      <w:r>
        <w:rPr>
          <w:rFonts w:ascii="Arial" w:hAnsi="Arial" w:cs="Arial"/>
          <w:szCs w:val="18"/>
        </w:rPr>
        <w:t>The total amount of CH</w:t>
      </w:r>
      <w:r>
        <w:rPr>
          <w:rFonts w:ascii="Arial" w:hAnsi="Arial" w:cs="Arial"/>
          <w:szCs w:val="18"/>
          <w:vertAlign w:val="subscript"/>
        </w:rPr>
        <w:t>4</w:t>
      </w:r>
      <w:r>
        <w:rPr>
          <w:rFonts w:ascii="Arial" w:hAnsi="Arial" w:cs="Arial"/>
          <w:szCs w:val="18"/>
        </w:rPr>
        <w:t xml:space="preserve"> recovered is therefore regarded as saved (not emitted) so long as it does not enter the atmosphere as CH</w:t>
      </w:r>
      <w:r>
        <w:rPr>
          <w:rFonts w:ascii="Arial" w:hAnsi="Arial" w:cs="Arial"/>
          <w:szCs w:val="18"/>
          <w:vertAlign w:val="subscript"/>
        </w:rPr>
        <w:t>4</w:t>
      </w:r>
      <w:r>
        <w:rPr>
          <w:rFonts w:ascii="Arial" w:hAnsi="Arial" w:cs="Arial"/>
          <w:szCs w:val="18"/>
        </w:rPr>
        <w:t>.</w:t>
      </w:r>
    </w:p>
    <w:p w14:paraId="45661219" w14:textId="77777777" w:rsidR="00010E2E" w:rsidRDefault="00010E2E">
      <w:pPr>
        <w:pStyle w:val="BodyText"/>
        <w:tabs>
          <w:tab w:val="left" w:pos="0"/>
          <w:tab w:val="left" w:pos="2250"/>
        </w:tabs>
        <w:spacing w:before="120" w:after="0" w:line="312" w:lineRule="auto"/>
        <w:ind w:left="0"/>
        <w:rPr>
          <w:rFonts w:ascii="Arial" w:hAnsi="Arial" w:cs="Arial"/>
          <w:szCs w:val="18"/>
        </w:rPr>
      </w:pPr>
      <w:r>
        <w:rPr>
          <w:rFonts w:ascii="Arial" w:hAnsi="Arial" w:cs="Arial"/>
          <w:szCs w:val="18"/>
        </w:rPr>
        <w:t>Where waste material is diverted from landfill to recycling or to energy use, the reporting organisation will have less emissions attributed to its activities because less waste is going to landfill.</w:t>
      </w:r>
    </w:p>
    <w:p w14:paraId="77D110A3" w14:textId="77777777" w:rsidR="00010E2E" w:rsidRDefault="00010E2E">
      <w:pPr>
        <w:autoSpaceDE w:val="0"/>
        <w:autoSpaceDN w:val="0"/>
        <w:adjustRightInd w:val="0"/>
        <w:ind w:left="0"/>
        <w:rPr>
          <w:rFonts w:ascii="Arial" w:hAnsi="Arial" w:cs="Arial"/>
          <w:b/>
          <w:bCs/>
          <w:sz w:val="22"/>
          <w:szCs w:val="22"/>
          <w:lang w:eastAsia="en-AU"/>
        </w:rPr>
      </w:pPr>
    </w:p>
    <w:p w14:paraId="2A7828F7" w14:textId="77777777" w:rsidR="00010E2E" w:rsidRPr="002C0599" w:rsidRDefault="00010E2E">
      <w:pPr>
        <w:autoSpaceDE w:val="0"/>
        <w:autoSpaceDN w:val="0"/>
        <w:adjustRightInd w:val="0"/>
        <w:ind w:left="0"/>
        <w:rPr>
          <w:rFonts w:ascii="Arial" w:hAnsi="Arial" w:cs="Arial"/>
          <w:bCs/>
          <w:i/>
          <w:u w:val="single"/>
          <w:lang w:eastAsia="en-AU"/>
        </w:rPr>
      </w:pPr>
      <w:r w:rsidRPr="002C0599">
        <w:rPr>
          <w:rFonts w:ascii="Arial" w:hAnsi="Arial" w:cs="Arial"/>
          <w:bCs/>
          <w:i/>
          <w:u w:val="single"/>
          <w:lang w:eastAsia="en-AU"/>
        </w:rPr>
        <w:t>Municipal solid waste</w:t>
      </w:r>
    </w:p>
    <w:p w14:paraId="5EC846FF" w14:textId="77777777" w:rsidR="00010E2E" w:rsidRDefault="00010E2E">
      <w:pPr>
        <w:pStyle w:val="BodyText"/>
        <w:tabs>
          <w:tab w:val="left" w:pos="0"/>
          <w:tab w:val="left" w:pos="2250"/>
        </w:tabs>
        <w:spacing w:before="120" w:after="0" w:line="312" w:lineRule="auto"/>
        <w:ind w:left="0"/>
        <w:rPr>
          <w:rFonts w:ascii="Arial" w:hAnsi="Arial" w:cs="Arial"/>
          <w:szCs w:val="18"/>
        </w:rPr>
      </w:pPr>
    </w:p>
    <w:p w14:paraId="4458987A" w14:textId="77777777" w:rsidR="00010E2E" w:rsidRDefault="00010E2E">
      <w:pPr>
        <w:pStyle w:val="BodyText"/>
        <w:tabs>
          <w:tab w:val="left" w:pos="0"/>
          <w:tab w:val="left" w:pos="2250"/>
        </w:tabs>
        <w:spacing w:after="0" w:line="312" w:lineRule="auto"/>
        <w:ind w:left="0"/>
        <w:rPr>
          <w:rFonts w:ascii="Arial" w:hAnsi="Arial" w:cs="Arial"/>
          <w:szCs w:val="18"/>
        </w:rPr>
      </w:pPr>
      <w:r>
        <w:rPr>
          <w:rFonts w:ascii="Arial" w:hAnsi="Arial" w:cs="Arial"/>
          <w:szCs w:val="18"/>
        </w:rPr>
        <w:t>Estimates of Scope 3 greenhouse gas emissions associated with the disposal of waste can be calculated according to the general equation:</w:t>
      </w:r>
    </w:p>
    <w:p w14:paraId="15DE531E" w14:textId="77777777" w:rsidR="00010E2E" w:rsidRDefault="00010E2E">
      <w:pPr>
        <w:pStyle w:val="BodyText"/>
        <w:tabs>
          <w:tab w:val="left" w:pos="0"/>
          <w:tab w:val="left" w:pos="2250"/>
        </w:tabs>
        <w:spacing w:after="0" w:line="312" w:lineRule="auto"/>
        <w:ind w:left="0"/>
        <w:rPr>
          <w:rFonts w:ascii="Arial" w:hAnsi="Arial" w:cs="Arial"/>
          <w:sz w:val="22"/>
          <w:szCs w:val="22"/>
        </w:rPr>
      </w:pPr>
    </w:p>
    <w:p w14:paraId="0D2774BA" w14:textId="77777777" w:rsidR="00010E2E" w:rsidRDefault="00010E2E">
      <w:pPr>
        <w:pStyle w:val="BodyText"/>
        <w:tabs>
          <w:tab w:val="left" w:pos="0"/>
          <w:tab w:val="left" w:pos="2250"/>
        </w:tabs>
        <w:spacing w:after="0" w:line="312" w:lineRule="auto"/>
        <w:ind w:left="0"/>
        <w:jc w:val="center"/>
        <w:rPr>
          <w:rFonts w:ascii="Arial" w:hAnsi="Arial" w:cs="Arial"/>
          <w:sz w:val="22"/>
          <w:szCs w:val="22"/>
        </w:rPr>
      </w:pPr>
      <w:r>
        <w:rPr>
          <w:rFonts w:ascii="Arial" w:hAnsi="Arial" w:cs="Arial"/>
          <w:sz w:val="22"/>
          <w:szCs w:val="22"/>
        </w:rPr>
        <w:t>GHG emissions (t CO</w:t>
      </w:r>
      <w:r>
        <w:rPr>
          <w:rFonts w:ascii="Arial" w:hAnsi="Arial" w:cs="Arial"/>
          <w:sz w:val="22"/>
          <w:szCs w:val="22"/>
          <w:vertAlign w:val="subscript"/>
        </w:rPr>
        <w:t>2</w:t>
      </w:r>
      <w:r>
        <w:rPr>
          <w:rFonts w:ascii="Arial" w:hAnsi="Arial" w:cs="Arial"/>
          <w:sz w:val="22"/>
          <w:szCs w:val="22"/>
        </w:rPr>
        <w:t>-e) = Q</w:t>
      </w:r>
      <w:r>
        <w:rPr>
          <w:rFonts w:ascii="Arial" w:hAnsi="Arial" w:cs="Arial"/>
          <w:sz w:val="22"/>
          <w:szCs w:val="22"/>
          <w:vertAlign w:val="subscript"/>
        </w:rPr>
        <w:t>j</w:t>
      </w:r>
      <w:r>
        <w:rPr>
          <w:rFonts w:ascii="Arial" w:hAnsi="Arial" w:cs="Arial"/>
          <w:sz w:val="22"/>
          <w:szCs w:val="22"/>
        </w:rPr>
        <w:t xml:space="preserve"> x EF</w:t>
      </w:r>
      <w:r>
        <w:rPr>
          <w:rFonts w:ascii="Arial" w:hAnsi="Arial" w:cs="Arial"/>
          <w:sz w:val="22"/>
          <w:szCs w:val="22"/>
          <w:vertAlign w:val="subscript"/>
        </w:rPr>
        <w:t>j</w:t>
      </w:r>
    </w:p>
    <w:p w14:paraId="3DB5BA58" w14:textId="77777777" w:rsidR="00010E2E" w:rsidRDefault="00010E2E">
      <w:pPr>
        <w:pStyle w:val="BodyText"/>
        <w:tabs>
          <w:tab w:val="left" w:pos="0"/>
          <w:tab w:val="left" w:pos="851"/>
        </w:tabs>
        <w:spacing w:before="120" w:after="0" w:line="312" w:lineRule="auto"/>
        <w:ind w:left="0"/>
        <w:rPr>
          <w:rFonts w:ascii="Arial" w:hAnsi="Arial" w:cs="Arial"/>
          <w:szCs w:val="18"/>
        </w:rPr>
      </w:pPr>
      <w:r>
        <w:rPr>
          <w:rFonts w:ascii="Arial" w:hAnsi="Arial" w:cs="Arial"/>
          <w:szCs w:val="18"/>
        </w:rPr>
        <w:tab/>
        <w:t>where:</w:t>
      </w:r>
    </w:p>
    <w:p w14:paraId="7FBA9356" w14:textId="77777777" w:rsidR="00010E2E" w:rsidRDefault="00010E2E">
      <w:pPr>
        <w:pStyle w:val="BodyText"/>
        <w:tabs>
          <w:tab w:val="left" w:pos="0"/>
          <w:tab w:val="left" w:pos="851"/>
        </w:tabs>
        <w:spacing w:before="120" w:after="0" w:line="312" w:lineRule="auto"/>
        <w:ind w:left="0"/>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rPr>
        <w:t>Q</w:t>
      </w:r>
      <w:r>
        <w:rPr>
          <w:rFonts w:ascii="Arial" w:hAnsi="Arial" w:cs="Arial"/>
          <w:vertAlign w:val="subscript"/>
        </w:rPr>
        <w:t>j</w:t>
      </w:r>
      <w:r>
        <w:rPr>
          <w:rFonts w:ascii="Arial" w:hAnsi="Arial" w:cs="Arial"/>
          <w:szCs w:val="18"/>
        </w:rPr>
        <w:t xml:space="preserve"> is the quantity of waste by type j</w:t>
      </w:r>
    </w:p>
    <w:p w14:paraId="33B3547C" w14:textId="77777777" w:rsidR="00010E2E" w:rsidRDefault="00010E2E">
      <w:pPr>
        <w:pStyle w:val="BodyText"/>
        <w:tabs>
          <w:tab w:val="left" w:pos="0"/>
          <w:tab w:val="left" w:pos="851"/>
        </w:tabs>
        <w:spacing w:before="120" w:after="0" w:line="312" w:lineRule="auto"/>
        <w:ind w:left="0"/>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r>
        <w:rPr>
          <w:rFonts w:ascii="Arial" w:hAnsi="Arial" w:cs="Arial"/>
        </w:rPr>
        <w:t>EF</w:t>
      </w:r>
      <w:r>
        <w:rPr>
          <w:rFonts w:ascii="Arial" w:hAnsi="Arial" w:cs="Arial"/>
          <w:vertAlign w:val="subscript"/>
        </w:rPr>
        <w:t>j</w:t>
      </w:r>
      <w:r>
        <w:rPr>
          <w:rFonts w:ascii="Arial" w:hAnsi="Arial" w:cs="Arial"/>
          <w:szCs w:val="18"/>
        </w:rPr>
        <w:t xml:space="preserve"> is the emission factor of waste type j (see Table </w:t>
      </w:r>
      <w:r w:rsidR="007551CB">
        <w:rPr>
          <w:rFonts w:ascii="Arial" w:hAnsi="Arial" w:cs="Arial"/>
          <w:szCs w:val="18"/>
        </w:rPr>
        <w:t>4</w:t>
      </w:r>
      <w:r w:rsidR="00BB7114">
        <w:rPr>
          <w:rFonts w:ascii="Arial" w:hAnsi="Arial" w:cs="Arial"/>
          <w:szCs w:val="18"/>
        </w:rPr>
        <w:t>1</w:t>
      </w:r>
      <w:r>
        <w:rPr>
          <w:rFonts w:ascii="Arial" w:hAnsi="Arial" w:cs="Arial"/>
          <w:szCs w:val="18"/>
        </w:rPr>
        <w:t>, column B)</w:t>
      </w:r>
      <w:r>
        <w:rPr>
          <w:rFonts w:ascii="Arial" w:hAnsi="Arial" w:cs="Arial"/>
          <w:szCs w:val="18"/>
        </w:rPr>
        <w:tab/>
      </w:r>
      <w:r>
        <w:rPr>
          <w:rFonts w:ascii="Arial" w:hAnsi="Arial" w:cs="Arial"/>
          <w:szCs w:val="18"/>
        </w:rPr>
        <w:tab/>
      </w:r>
      <w:r>
        <w:rPr>
          <w:rFonts w:ascii="Arial" w:hAnsi="Arial" w:cs="Arial"/>
          <w:szCs w:val="18"/>
        </w:rPr>
        <w:tab/>
      </w:r>
    </w:p>
    <w:p w14:paraId="01BCF7D6" w14:textId="77777777" w:rsidR="00C92D98" w:rsidRDefault="00010E2E">
      <w:pPr>
        <w:pStyle w:val="BodyText"/>
        <w:tabs>
          <w:tab w:val="left" w:pos="0"/>
          <w:tab w:val="left" w:pos="851"/>
        </w:tabs>
        <w:spacing w:before="120" w:after="0" w:line="312" w:lineRule="auto"/>
        <w:ind w:left="0"/>
        <w:rPr>
          <w:rFonts w:ascii="Arial" w:hAnsi="Arial" w:cs="Arial"/>
        </w:rPr>
      </w:pPr>
      <w:r>
        <w:rPr>
          <w:rFonts w:ascii="Arial" w:hAnsi="Arial" w:cs="Arial"/>
        </w:rPr>
        <w:t>Organisations that do not know the composition of their waste can use the emission factors in Table </w:t>
      </w:r>
      <w:r w:rsidR="0093697A">
        <w:rPr>
          <w:rFonts w:ascii="Arial" w:hAnsi="Arial" w:cs="Arial"/>
        </w:rPr>
        <w:t>44</w:t>
      </w:r>
      <w:r>
        <w:rPr>
          <w:rFonts w:ascii="Arial" w:hAnsi="Arial" w:cs="Arial"/>
        </w:rPr>
        <w:t xml:space="preserve">, which gives the weighted average emission factors for the municipal, commercial and industrial, and construction and demolition waste categories.  </w:t>
      </w:r>
    </w:p>
    <w:p w14:paraId="497C779A" w14:textId="77777777" w:rsidR="003F782F" w:rsidRDefault="00C92D98">
      <w:pPr>
        <w:pStyle w:val="BodyText"/>
        <w:tabs>
          <w:tab w:val="left" w:pos="0"/>
          <w:tab w:val="left" w:pos="851"/>
        </w:tabs>
        <w:spacing w:before="120" w:after="0" w:line="312" w:lineRule="auto"/>
        <w:ind w:left="0"/>
        <w:rPr>
          <w:rFonts w:ascii="Arial" w:hAnsi="Arial" w:cs="Arial"/>
        </w:rPr>
      </w:pPr>
      <w:r>
        <w:rPr>
          <w:rFonts w:ascii="Arial" w:hAnsi="Arial" w:cs="Arial"/>
        </w:rPr>
        <w:t>Note: This method is used to produce an estimate of lifetime emissions from waste degradation in a landfill.  In reality, waste disposed in a landfill will degrade and emit over a period of decades.</w:t>
      </w:r>
    </w:p>
    <w:p w14:paraId="470524E4" w14:textId="77777777" w:rsidR="00010E2E" w:rsidRDefault="00010E2E">
      <w:pPr>
        <w:autoSpaceDE w:val="0"/>
        <w:autoSpaceDN w:val="0"/>
        <w:adjustRightInd w:val="0"/>
        <w:ind w:left="0"/>
        <w:rPr>
          <w:rFonts w:ascii="ArialMT" w:hAnsi="ArialMT" w:cs="ArialMT"/>
          <w:lang w:eastAsia="en-AU"/>
        </w:rPr>
      </w:pPr>
    </w:p>
    <w:p w14:paraId="2B65166C" w14:textId="77777777" w:rsidR="00D76245" w:rsidRDefault="00491D41" w:rsidP="00C23E3B">
      <w:pPr>
        <w:pStyle w:val="Caption"/>
      </w:pPr>
      <w:bookmarkStart w:id="167" w:name="_Toc391646727"/>
      <w:bookmarkStart w:id="168" w:name="_Toc485728150"/>
      <w:r>
        <w:t xml:space="preserve">Table </w:t>
      </w:r>
      <w:r w:rsidR="00DC52E0">
        <w:fldChar w:fldCharType="begin"/>
      </w:r>
      <w:r>
        <w:instrText xml:space="preserve"> SEQ Table \* ARABIC </w:instrText>
      </w:r>
      <w:r w:rsidR="00DC52E0">
        <w:fldChar w:fldCharType="separate"/>
      </w:r>
      <w:r w:rsidR="004A1330">
        <w:rPr>
          <w:noProof/>
        </w:rPr>
        <w:t>42</w:t>
      </w:r>
      <w:r w:rsidR="00DC52E0">
        <w:fldChar w:fldCharType="end"/>
      </w:r>
      <w:r w:rsidR="00010E2E">
        <w:t>:  Waste mix methane conversion factors</w:t>
      </w:r>
      <w:bookmarkEnd w:id="167"/>
      <w:bookmarkEnd w:id="168"/>
    </w:p>
    <w:tbl>
      <w:tblPr>
        <w:tblW w:w="8364" w:type="dxa"/>
        <w:tblInd w:w="56" w:type="dxa"/>
        <w:tblBorders>
          <w:top w:val="single" w:sz="6" w:space="0" w:color="auto"/>
          <w:left w:val="single" w:sz="6" w:space="0" w:color="auto"/>
          <w:bottom w:val="single" w:sz="6" w:space="0" w:color="auto"/>
          <w:right w:val="single" w:sz="6" w:space="0" w:color="auto"/>
        </w:tblBorders>
        <w:tblLayout w:type="fixed"/>
        <w:tblCellMar>
          <w:left w:w="56" w:type="dxa"/>
          <w:right w:w="56" w:type="dxa"/>
        </w:tblCellMar>
        <w:tblLook w:val="0000" w:firstRow="0" w:lastRow="0" w:firstColumn="0" w:lastColumn="0" w:noHBand="0" w:noVBand="0"/>
      </w:tblPr>
      <w:tblGrid>
        <w:gridCol w:w="4536"/>
        <w:gridCol w:w="1560"/>
        <w:gridCol w:w="2268"/>
      </w:tblGrid>
      <w:tr w:rsidR="00010E2E" w:rsidRPr="005A5B60" w14:paraId="66D1023B" w14:textId="77777777">
        <w:trPr>
          <w:trHeight w:val="40"/>
          <w:tblHeader/>
        </w:trPr>
        <w:tc>
          <w:tcPr>
            <w:tcW w:w="4536" w:type="dxa"/>
            <w:tcBorders>
              <w:top w:val="single" w:sz="6" w:space="0" w:color="auto"/>
              <w:bottom w:val="single" w:sz="6" w:space="0" w:color="auto"/>
              <w:right w:val="single" w:sz="6" w:space="0" w:color="auto"/>
            </w:tcBorders>
            <w:shd w:val="clear" w:color="auto" w:fill="E6E6E6"/>
          </w:tcPr>
          <w:p w14:paraId="6019EDAC" w14:textId="77777777" w:rsidR="00010E2E" w:rsidRPr="005A5B60" w:rsidRDefault="00010E2E" w:rsidP="005A5B60">
            <w:pPr>
              <w:pStyle w:val="Table"/>
              <w:rPr>
                <w:b/>
                <w:bCs/>
                <w:sz w:val="18"/>
                <w:szCs w:val="18"/>
              </w:rPr>
            </w:pPr>
            <w:r w:rsidRPr="005A5B60">
              <w:rPr>
                <w:b/>
                <w:bCs/>
                <w:sz w:val="18"/>
                <w:szCs w:val="18"/>
              </w:rPr>
              <w:t>Waste types</w:t>
            </w:r>
          </w:p>
        </w:tc>
        <w:tc>
          <w:tcPr>
            <w:tcW w:w="1560" w:type="dxa"/>
            <w:tcBorders>
              <w:top w:val="single" w:sz="6" w:space="0" w:color="auto"/>
              <w:left w:val="single" w:sz="6" w:space="0" w:color="auto"/>
              <w:bottom w:val="single" w:sz="6" w:space="0" w:color="auto"/>
            </w:tcBorders>
            <w:shd w:val="clear" w:color="auto" w:fill="E6E6E6"/>
          </w:tcPr>
          <w:p w14:paraId="5DBFC16A" w14:textId="77777777" w:rsidR="00010E2E" w:rsidRPr="005A5B60" w:rsidRDefault="00010E2E">
            <w:pPr>
              <w:pStyle w:val="BodyText"/>
              <w:tabs>
                <w:tab w:val="left" w:pos="0"/>
                <w:tab w:val="left" w:pos="2250"/>
              </w:tabs>
              <w:spacing w:before="120" w:after="0" w:line="312" w:lineRule="auto"/>
              <w:ind w:left="0"/>
              <w:rPr>
                <w:rFonts w:ascii="Arial" w:hAnsi="Arial" w:cs="Arial"/>
                <w:b/>
                <w:bCs/>
                <w:sz w:val="18"/>
                <w:szCs w:val="18"/>
              </w:rPr>
            </w:pPr>
            <w:r w:rsidRPr="005A5B60">
              <w:rPr>
                <w:rFonts w:ascii="Arial" w:hAnsi="Arial" w:cs="Arial"/>
                <w:b/>
                <w:bCs/>
                <w:sz w:val="18"/>
                <w:szCs w:val="18"/>
              </w:rPr>
              <w:t>Default DOC proportion</w:t>
            </w:r>
          </w:p>
        </w:tc>
        <w:tc>
          <w:tcPr>
            <w:tcW w:w="2268" w:type="dxa"/>
            <w:tcBorders>
              <w:top w:val="single" w:sz="6" w:space="0" w:color="auto"/>
              <w:left w:val="single" w:sz="6" w:space="0" w:color="auto"/>
              <w:bottom w:val="single" w:sz="6" w:space="0" w:color="auto"/>
            </w:tcBorders>
            <w:shd w:val="clear" w:color="auto" w:fill="E6E6E6"/>
          </w:tcPr>
          <w:p w14:paraId="206BE8DC" w14:textId="77777777" w:rsidR="00010E2E" w:rsidRPr="005A5B60" w:rsidRDefault="00010E2E">
            <w:pPr>
              <w:pStyle w:val="BodyText"/>
              <w:tabs>
                <w:tab w:val="left" w:pos="0"/>
                <w:tab w:val="left" w:pos="2250"/>
              </w:tabs>
              <w:spacing w:before="120" w:after="0" w:line="312" w:lineRule="auto"/>
              <w:ind w:left="0"/>
              <w:rPr>
                <w:rFonts w:ascii="Arial" w:hAnsi="Arial" w:cs="Arial"/>
                <w:b/>
                <w:bCs/>
                <w:sz w:val="18"/>
                <w:szCs w:val="18"/>
              </w:rPr>
            </w:pPr>
            <w:r w:rsidRPr="005A5B60">
              <w:rPr>
                <w:rFonts w:ascii="Arial" w:hAnsi="Arial" w:cs="Arial"/>
                <w:b/>
                <w:bCs/>
                <w:sz w:val="18"/>
                <w:szCs w:val="18"/>
              </w:rPr>
              <w:t>Conversion factor CO</w:t>
            </w:r>
            <w:r w:rsidRPr="005A5B60">
              <w:rPr>
                <w:rFonts w:ascii="Arial" w:hAnsi="Arial" w:cs="Arial"/>
                <w:b/>
                <w:bCs/>
                <w:sz w:val="18"/>
                <w:szCs w:val="18"/>
                <w:vertAlign w:val="subscript"/>
              </w:rPr>
              <w:t>2</w:t>
            </w:r>
            <w:r w:rsidRPr="005A5B60">
              <w:rPr>
                <w:rFonts w:ascii="Arial" w:hAnsi="Arial" w:cs="Arial"/>
                <w:b/>
                <w:bCs/>
                <w:sz w:val="18"/>
                <w:szCs w:val="18"/>
              </w:rPr>
              <w:t>-e (t=tonnes)</w:t>
            </w:r>
          </w:p>
        </w:tc>
      </w:tr>
      <w:tr w:rsidR="00010E2E" w:rsidRPr="005A5B60" w14:paraId="730281E6" w14:textId="77777777">
        <w:trPr>
          <w:trHeight w:hRule="exact" w:val="425"/>
        </w:trPr>
        <w:tc>
          <w:tcPr>
            <w:tcW w:w="4536" w:type="dxa"/>
            <w:tcBorders>
              <w:top w:val="single" w:sz="6" w:space="0" w:color="auto"/>
              <w:bottom w:val="single" w:sz="6" w:space="0" w:color="auto"/>
              <w:right w:val="single" w:sz="6" w:space="0" w:color="auto"/>
            </w:tcBorders>
          </w:tcPr>
          <w:p w14:paraId="7B4F881E" w14:textId="77777777" w:rsidR="00010E2E" w:rsidRPr="005A5B60" w:rsidRDefault="00010E2E">
            <w:pPr>
              <w:pStyle w:val="BodyText"/>
              <w:tabs>
                <w:tab w:val="left" w:pos="0"/>
                <w:tab w:val="left" w:pos="2250"/>
              </w:tabs>
              <w:spacing w:before="120" w:after="0" w:line="312" w:lineRule="auto"/>
              <w:ind w:left="0"/>
              <w:jc w:val="center"/>
              <w:rPr>
                <w:rFonts w:ascii="Arial" w:hAnsi="Arial" w:cs="Arial"/>
                <w:bCs/>
                <w:sz w:val="18"/>
                <w:szCs w:val="18"/>
              </w:rPr>
            </w:pPr>
          </w:p>
        </w:tc>
        <w:tc>
          <w:tcPr>
            <w:tcW w:w="1560" w:type="dxa"/>
            <w:tcBorders>
              <w:top w:val="single" w:sz="6" w:space="0" w:color="auto"/>
              <w:left w:val="single" w:sz="6" w:space="0" w:color="auto"/>
              <w:bottom w:val="single" w:sz="6" w:space="0" w:color="auto"/>
            </w:tcBorders>
          </w:tcPr>
          <w:p w14:paraId="3525DC50" w14:textId="77777777" w:rsidR="00010E2E" w:rsidRPr="005A5B60" w:rsidRDefault="00010E2E">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bCs/>
                <w:sz w:val="18"/>
                <w:szCs w:val="18"/>
              </w:rPr>
              <w:t>A</w:t>
            </w:r>
          </w:p>
        </w:tc>
        <w:tc>
          <w:tcPr>
            <w:tcW w:w="2268" w:type="dxa"/>
            <w:tcBorders>
              <w:top w:val="single" w:sz="6" w:space="0" w:color="auto"/>
              <w:left w:val="single" w:sz="6" w:space="0" w:color="auto"/>
              <w:bottom w:val="single" w:sz="6" w:space="0" w:color="auto"/>
            </w:tcBorders>
          </w:tcPr>
          <w:p w14:paraId="0881B4D2" w14:textId="77777777" w:rsidR="00010E2E" w:rsidRPr="005A5B60" w:rsidRDefault="00010E2E">
            <w:pPr>
              <w:pStyle w:val="BodyText"/>
              <w:tabs>
                <w:tab w:val="left" w:pos="0"/>
                <w:tab w:val="left" w:pos="2250"/>
              </w:tabs>
              <w:spacing w:before="120" w:after="0" w:line="312" w:lineRule="auto"/>
              <w:ind w:left="794" w:hanging="794"/>
              <w:jc w:val="center"/>
              <w:rPr>
                <w:rFonts w:ascii="Arial" w:hAnsi="Arial" w:cs="Arial"/>
                <w:bCs/>
                <w:sz w:val="18"/>
                <w:szCs w:val="18"/>
              </w:rPr>
            </w:pPr>
            <w:r w:rsidRPr="005A5B60">
              <w:rPr>
                <w:rFonts w:ascii="Arial" w:hAnsi="Arial" w:cs="Arial"/>
                <w:bCs/>
                <w:sz w:val="18"/>
                <w:szCs w:val="18"/>
              </w:rPr>
              <w:t>B</w:t>
            </w:r>
          </w:p>
        </w:tc>
      </w:tr>
      <w:tr w:rsidR="00120FC1" w:rsidRPr="005A5B60" w14:paraId="6BCE5056" w14:textId="77777777">
        <w:trPr>
          <w:trHeight w:hRule="exact" w:val="549"/>
        </w:trPr>
        <w:tc>
          <w:tcPr>
            <w:tcW w:w="4536" w:type="dxa"/>
            <w:tcBorders>
              <w:top w:val="single" w:sz="6" w:space="0" w:color="auto"/>
              <w:bottom w:val="single" w:sz="6" w:space="0" w:color="auto"/>
              <w:right w:val="single" w:sz="6" w:space="0" w:color="auto"/>
            </w:tcBorders>
          </w:tcPr>
          <w:p w14:paraId="423E5BCD"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Food</w:t>
            </w:r>
          </w:p>
        </w:tc>
        <w:tc>
          <w:tcPr>
            <w:tcW w:w="1560" w:type="dxa"/>
            <w:tcBorders>
              <w:top w:val="single" w:sz="6" w:space="0" w:color="auto"/>
              <w:left w:val="single" w:sz="6" w:space="0" w:color="auto"/>
              <w:bottom w:val="single" w:sz="6" w:space="0" w:color="auto"/>
            </w:tcBorders>
          </w:tcPr>
          <w:p w14:paraId="6D549C10"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sz w:val="18"/>
                <w:szCs w:val="18"/>
              </w:rPr>
              <w:t>0.15</w:t>
            </w:r>
          </w:p>
        </w:tc>
        <w:tc>
          <w:tcPr>
            <w:tcW w:w="2268" w:type="dxa"/>
            <w:tcBorders>
              <w:top w:val="single" w:sz="6" w:space="0" w:color="auto"/>
              <w:left w:val="single" w:sz="6" w:space="0" w:color="auto"/>
              <w:bottom w:val="single" w:sz="6" w:space="0" w:color="auto"/>
            </w:tcBorders>
          </w:tcPr>
          <w:p w14:paraId="61F414C9"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1.</w:t>
            </w:r>
            <w:r w:rsidR="00100366">
              <w:rPr>
                <w:rFonts w:ascii="Arial" w:hAnsi="Arial" w:cs="Arial"/>
                <w:sz w:val="18"/>
                <w:szCs w:val="18"/>
              </w:rPr>
              <w:t>9</w:t>
            </w:r>
          </w:p>
        </w:tc>
      </w:tr>
      <w:tr w:rsidR="00120FC1" w:rsidRPr="005A5B60" w14:paraId="5F98122D" w14:textId="77777777">
        <w:trPr>
          <w:trHeight w:hRule="exact" w:val="425"/>
        </w:trPr>
        <w:tc>
          <w:tcPr>
            <w:tcW w:w="4536" w:type="dxa"/>
            <w:tcBorders>
              <w:top w:val="single" w:sz="6" w:space="0" w:color="auto"/>
              <w:bottom w:val="single" w:sz="6" w:space="0" w:color="auto"/>
              <w:right w:val="single" w:sz="6" w:space="0" w:color="auto"/>
            </w:tcBorders>
          </w:tcPr>
          <w:p w14:paraId="64ECF3F8"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Paper and cardboard</w:t>
            </w:r>
          </w:p>
        </w:tc>
        <w:tc>
          <w:tcPr>
            <w:tcW w:w="1560" w:type="dxa"/>
            <w:tcBorders>
              <w:top w:val="single" w:sz="6" w:space="0" w:color="auto"/>
              <w:left w:val="single" w:sz="6" w:space="0" w:color="auto"/>
              <w:bottom w:val="single" w:sz="6" w:space="0" w:color="auto"/>
            </w:tcBorders>
          </w:tcPr>
          <w:p w14:paraId="71584D54"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sz w:val="18"/>
                <w:szCs w:val="18"/>
              </w:rPr>
            </w:pPr>
            <w:r w:rsidRPr="005A5B60">
              <w:rPr>
                <w:rFonts w:ascii="Arial" w:hAnsi="Arial" w:cs="Arial"/>
                <w:sz w:val="18"/>
                <w:szCs w:val="18"/>
              </w:rPr>
              <w:t>0.4</w:t>
            </w:r>
          </w:p>
        </w:tc>
        <w:tc>
          <w:tcPr>
            <w:tcW w:w="2268" w:type="dxa"/>
            <w:tcBorders>
              <w:top w:val="single" w:sz="6" w:space="0" w:color="auto"/>
              <w:left w:val="single" w:sz="6" w:space="0" w:color="auto"/>
              <w:bottom w:val="single" w:sz="6" w:space="0" w:color="auto"/>
            </w:tcBorders>
          </w:tcPr>
          <w:p w14:paraId="639B805B"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2.</w:t>
            </w:r>
            <w:r w:rsidR="00100366">
              <w:rPr>
                <w:rFonts w:ascii="Arial" w:hAnsi="Arial" w:cs="Arial"/>
                <w:sz w:val="18"/>
                <w:szCs w:val="18"/>
              </w:rPr>
              <w:t>9</w:t>
            </w:r>
          </w:p>
        </w:tc>
      </w:tr>
      <w:tr w:rsidR="00120FC1" w:rsidRPr="005A5B60" w14:paraId="4C593D44" w14:textId="77777777">
        <w:trPr>
          <w:trHeight w:hRule="exact" w:val="425"/>
        </w:trPr>
        <w:tc>
          <w:tcPr>
            <w:tcW w:w="4536" w:type="dxa"/>
            <w:tcBorders>
              <w:top w:val="single" w:sz="6" w:space="0" w:color="auto"/>
              <w:bottom w:val="single" w:sz="6" w:space="0" w:color="auto"/>
              <w:right w:val="single" w:sz="6" w:space="0" w:color="auto"/>
            </w:tcBorders>
          </w:tcPr>
          <w:p w14:paraId="67FE307F"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 xml:space="preserve">Garden and green </w:t>
            </w:r>
          </w:p>
        </w:tc>
        <w:tc>
          <w:tcPr>
            <w:tcW w:w="1560" w:type="dxa"/>
            <w:tcBorders>
              <w:top w:val="single" w:sz="6" w:space="0" w:color="auto"/>
              <w:left w:val="single" w:sz="6" w:space="0" w:color="auto"/>
              <w:bottom w:val="single" w:sz="6" w:space="0" w:color="auto"/>
            </w:tcBorders>
          </w:tcPr>
          <w:p w14:paraId="1D976469"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sz w:val="18"/>
                <w:szCs w:val="18"/>
              </w:rPr>
            </w:pPr>
            <w:r w:rsidRPr="005A5B60">
              <w:rPr>
                <w:rFonts w:ascii="Arial" w:hAnsi="Arial" w:cs="Arial"/>
                <w:sz w:val="18"/>
                <w:szCs w:val="18"/>
              </w:rPr>
              <w:t>0.2</w:t>
            </w:r>
          </w:p>
        </w:tc>
        <w:tc>
          <w:tcPr>
            <w:tcW w:w="2268" w:type="dxa"/>
            <w:tcBorders>
              <w:top w:val="single" w:sz="6" w:space="0" w:color="auto"/>
              <w:left w:val="single" w:sz="6" w:space="0" w:color="auto"/>
              <w:bottom w:val="single" w:sz="6" w:space="0" w:color="auto"/>
            </w:tcBorders>
          </w:tcPr>
          <w:p w14:paraId="53F3D5AD"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1.</w:t>
            </w:r>
            <w:r w:rsidR="00100366">
              <w:rPr>
                <w:rFonts w:ascii="Arial" w:hAnsi="Arial" w:cs="Arial"/>
                <w:sz w:val="18"/>
                <w:szCs w:val="18"/>
              </w:rPr>
              <w:t>4</w:t>
            </w:r>
          </w:p>
        </w:tc>
      </w:tr>
      <w:tr w:rsidR="00120FC1" w:rsidRPr="005A5B60" w14:paraId="1707CFA9" w14:textId="77777777">
        <w:trPr>
          <w:trHeight w:hRule="exact" w:val="425"/>
        </w:trPr>
        <w:tc>
          <w:tcPr>
            <w:tcW w:w="4536" w:type="dxa"/>
            <w:tcBorders>
              <w:top w:val="single" w:sz="6" w:space="0" w:color="auto"/>
              <w:bottom w:val="single" w:sz="6" w:space="0" w:color="auto"/>
              <w:right w:val="single" w:sz="6" w:space="0" w:color="auto"/>
            </w:tcBorders>
          </w:tcPr>
          <w:p w14:paraId="1690375E"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 xml:space="preserve">Wood </w:t>
            </w:r>
          </w:p>
        </w:tc>
        <w:tc>
          <w:tcPr>
            <w:tcW w:w="1560" w:type="dxa"/>
            <w:tcBorders>
              <w:top w:val="single" w:sz="6" w:space="0" w:color="auto"/>
              <w:left w:val="single" w:sz="6" w:space="0" w:color="auto"/>
              <w:bottom w:val="single" w:sz="6" w:space="0" w:color="auto"/>
            </w:tcBorders>
          </w:tcPr>
          <w:p w14:paraId="35A8C693" w14:textId="77777777" w:rsidR="00120FC1" w:rsidRPr="005A5B60" w:rsidRDefault="00120FC1">
            <w:pPr>
              <w:pStyle w:val="BodyText"/>
              <w:tabs>
                <w:tab w:val="left" w:pos="0"/>
                <w:tab w:val="left" w:pos="2250"/>
              </w:tabs>
              <w:spacing w:before="120" w:after="0" w:line="312" w:lineRule="auto"/>
              <w:ind w:left="1786" w:hanging="1761"/>
              <w:jc w:val="center"/>
              <w:rPr>
                <w:rFonts w:ascii="Arial" w:hAnsi="Arial" w:cs="Arial"/>
                <w:bCs/>
                <w:sz w:val="18"/>
                <w:szCs w:val="18"/>
              </w:rPr>
            </w:pPr>
            <w:r w:rsidRPr="005A5B60">
              <w:rPr>
                <w:rFonts w:ascii="Arial" w:hAnsi="Arial" w:cs="Arial"/>
                <w:sz w:val="18"/>
                <w:szCs w:val="18"/>
              </w:rPr>
              <w:t>0.43</w:t>
            </w:r>
          </w:p>
        </w:tc>
        <w:tc>
          <w:tcPr>
            <w:tcW w:w="2268" w:type="dxa"/>
            <w:tcBorders>
              <w:top w:val="single" w:sz="6" w:space="0" w:color="auto"/>
              <w:left w:val="single" w:sz="6" w:space="0" w:color="auto"/>
              <w:bottom w:val="single" w:sz="6" w:space="0" w:color="auto"/>
            </w:tcBorders>
          </w:tcPr>
          <w:p w14:paraId="26D6BC70" w14:textId="77777777" w:rsidR="00120FC1" w:rsidRPr="005A5B60" w:rsidRDefault="00120FC1" w:rsidP="00037563">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w:t>
            </w:r>
            <w:r w:rsidR="00037563">
              <w:rPr>
                <w:rFonts w:ascii="Arial" w:hAnsi="Arial" w:cs="Arial"/>
                <w:sz w:val="18"/>
                <w:szCs w:val="18"/>
              </w:rPr>
              <w:t xml:space="preserve"> 0.6</w:t>
            </w:r>
          </w:p>
        </w:tc>
      </w:tr>
      <w:tr w:rsidR="00120FC1" w:rsidRPr="005A5B60" w14:paraId="304BBFE3" w14:textId="77777777">
        <w:trPr>
          <w:trHeight w:hRule="exact" w:val="425"/>
        </w:trPr>
        <w:tc>
          <w:tcPr>
            <w:tcW w:w="4536" w:type="dxa"/>
            <w:tcBorders>
              <w:top w:val="single" w:sz="6" w:space="0" w:color="auto"/>
              <w:bottom w:val="single" w:sz="6" w:space="0" w:color="auto"/>
              <w:right w:val="single" w:sz="6" w:space="0" w:color="auto"/>
            </w:tcBorders>
          </w:tcPr>
          <w:p w14:paraId="21B63800"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Textiles</w:t>
            </w:r>
          </w:p>
        </w:tc>
        <w:tc>
          <w:tcPr>
            <w:tcW w:w="1560" w:type="dxa"/>
            <w:tcBorders>
              <w:top w:val="single" w:sz="6" w:space="0" w:color="auto"/>
              <w:left w:val="single" w:sz="6" w:space="0" w:color="auto"/>
              <w:bottom w:val="single" w:sz="6" w:space="0" w:color="auto"/>
            </w:tcBorders>
          </w:tcPr>
          <w:p w14:paraId="668F14EA"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sz w:val="18"/>
                <w:szCs w:val="18"/>
              </w:rPr>
              <w:t>0.24</w:t>
            </w:r>
          </w:p>
        </w:tc>
        <w:tc>
          <w:tcPr>
            <w:tcW w:w="2268" w:type="dxa"/>
            <w:tcBorders>
              <w:top w:val="single" w:sz="6" w:space="0" w:color="auto"/>
              <w:left w:val="single" w:sz="6" w:space="0" w:color="auto"/>
              <w:bottom w:val="single" w:sz="6" w:space="0" w:color="auto"/>
            </w:tcBorders>
          </w:tcPr>
          <w:p w14:paraId="1A2248B3"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1.</w:t>
            </w:r>
            <w:r w:rsidR="00100366">
              <w:rPr>
                <w:rFonts w:ascii="Arial" w:hAnsi="Arial" w:cs="Arial"/>
                <w:sz w:val="18"/>
                <w:szCs w:val="18"/>
              </w:rPr>
              <w:t>8</w:t>
            </w:r>
          </w:p>
        </w:tc>
      </w:tr>
      <w:tr w:rsidR="00120FC1" w:rsidRPr="005A5B60" w14:paraId="2BB6DA9F" w14:textId="77777777">
        <w:trPr>
          <w:trHeight w:hRule="exact" w:val="472"/>
        </w:trPr>
        <w:tc>
          <w:tcPr>
            <w:tcW w:w="4536" w:type="dxa"/>
            <w:tcBorders>
              <w:top w:val="single" w:sz="6" w:space="0" w:color="auto"/>
              <w:bottom w:val="single" w:sz="6" w:space="0" w:color="auto"/>
              <w:right w:val="single" w:sz="6" w:space="0" w:color="auto"/>
            </w:tcBorders>
          </w:tcPr>
          <w:p w14:paraId="650D3E88" w14:textId="77777777" w:rsidR="00120FC1" w:rsidRPr="005A5B60" w:rsidRDefault="00120FC1" w:rsidP="00246F3B">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Sludge</w:t>
            </w:r>
          </w:p>
        </w:tc>
        <w:tc>
          <w:tcPr>
            <w:tcW w:w="1560" w:type="dxa"/>
            <w:tcBorders>
              <w:top w:val="single" w:sz="6" w:space="0" w:color="auto"/>
              <w:left w:val="single" w:sz="6" w:space="0" w:color="auto"/>
              <w:bottom w:val="single" w:sz="6" w:space="0" w:color="auto"/>
            </w:tcBorders>
          </w:tcPr>
          <w:p w14:paraId="4824C3CB"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sz w:val="18"/>
                <w:szCs w:val="18"/>
              </w:rPr>
              <w:t>0.05</w:t>
            </w:r>
          </w:p>
        </w:tc>
        <w:tc>
          <w:tcPr>
            <w:tcW w:w="2268" w:type="dxa"/>
            <w:tcBorders>
              <w:top w:val="single" w:sz="6" w:space="0" w:color="auto"/>
              <w:left w:val="single" w:sz="6" w:space="0" w:color="auto"/>
              <w:bottom w:val="single" w:sz="6" w:space="0" w:color="auto"/>
            </w:tcBorders>
          </w:tcPr>
          <w:p w14:paraId="45781B29"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0.</w:t>
            </w:r>
            <w:r w:rsidR="00100366">
              <w:rPr>
                <w:rFonts w:ascii="Arial" w:hAnsi="Arial" w:cs="Arial"/>
                <w:sz w:val="18"/>
                <w:szCs w:val="18"/>
              </w:rPr>
              <w:t>4</w:t>
            </w:r>
          </w:p>
        </w:tc>
      </w:tr>
      <w:tr w:rsidR="00120FC1" w:rsidRPr="005A5B60" w14:paraId="06E99CA7" w14:textId="77777777">
        <w:trPr>
          <w:trHeight w:hRule="exact" w:val="472"/>
        </w:trPr>
        <w:tc>
          <w:tcPr>
            <w:tcW w:w="4536" w:type="dxa"/>
            <w:tcBorders>
              <w:top w:val="single" w:sz="6" w:space="0" w:color="auto"/>
              <w:bottom w:val="single" w:sz="6" w:space="0" w:color="auto"/>
              <w:right w:val="single" w:sz="6" w:space="0" w:color="auto"/>
            </w:tcBorders>
          </w:tcPr>
          <w:p w14:paraId="20EDE0BA"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Nappies</w:t>
            </w:r>
          </w:p>
        </w:tc>
        <w:tc>
          <w:tcPr>
            <w:tcW w:w="1560" w:type="dxa"/>
            <w:tcBorders>
              <w:top w:val="single" w:sz="6" w:space="0" w:color="auto"/>
              <w:left w:val="single" w:sz="6" w:space="0" w:color="auto"/>
              <w:bottom w:val="single" w:sz="6" w:space="0" w:color="auto"/>
            </w:tcBorders>
          </w:tcPr>
          <w:p w14:paraId="60D306AD"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sz w:val="18"/>
                <w:szCs w:val="18"/>
              </w:rPr>
              <w:t>0.24</w:t>
            </w:r>
          </w:p>
        </w:tc>
        <w:tc>
          <w:tcPr>
            <w:tcW w:w="2268" w:type="dxa"/>
            <w:tcBorders>
              <w:top w:val="single" w:sz="6" w:space="0" w:color="auto"/>
              <w:left w:val="single" w:sz="6" w:space="0" w:color="auto"/>
              <w:bottom w:val="single" w:sz="6" w:space="0" w:color="auto"/>
            </w:tcBorders>
          </w:tcPr>
          <w:p w14:paraId="1AB40327"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1.</w:t>
            </w:r>
            <w:r w:rsidR="00100366">
              <w:rPr>
                <w:rFonts w:ascii="Arial" w:hAnsi="Arial" w:cs="Arial"/>
                <w:sz w:val="18"/>
                <w:szCs w:val="18"/>
              </w:rPr>
              <w:t>8</w:t>
            </w:r>
          </w:p>
        </w:tc>
      </w:tr>
      <w:tr w:rsidR="00120FC1" w:rsidRPr="005A5B60" w14:paraId="525F2CE2" w14:textId="77777777">
        <w:trPr>
          <w:trHeight w:hRule="exact" w:val="472"/>
        </w:trPr>
        <w:tc>
          <w:tcPr>
            <w:tcW w:w="4536" w:type="dxa"/>
            <w:tcBorders>
              <w:top w:val="single" w:sz="6" w:space="0" w:color="auto"/>
              <w:bottom w:val="single" w:sz="6" w:space="0" w:color="auto"/>
              <w:right w:val="single" w:sz="6" w:space="0" w:color="auto"/>
            </w:tcBorders>
          </w:tcPr>
          <w:p w14:paraId="4B2B6FF5"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Rubber and leather</w:t>
            </w:r>
          </w:p>
        </w:tc>
        <w:tc>
          <w:tcPr>
            <w:tcW w:w="1560" w:type="dxa"/>
            <w:tcBorders>
              <w:top w:val="single" w:sz="6" w:space="0" w:color="auto"/>
              <w:left w:val="single" w:sz="6" w:space="0" w:color="auto"/>
              <w:bottom w:val="single" w:sz="6" w:space="0" w:color="auto"/>
            </w:tcBorders>
          </w:tcPr>
          <w:p w14:paraId="5C72FA2C"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sz w:val="18"/>
                <w:szCs w:val="18"/>
              </w:rPr>
              <w:t>0.39</w:t>
            </w:r>
          </w:p>
        </w:tc>
        <w:tc>
          <w:tcPr>
            <w:tcW w:w="2268" w:type="dxa"/>
            <w:tcBorders>
              <w:top w:val="single" w:sz="6" w:space="0" w:color="auto"/>
              <w:left w:val="single" w:sz="6" w:space="0" w:color="auto"/>
              <w:bottom w:val="single" w:sz="6" w:space="0" w:color="auto"/>
            </w:tcBorders>
          </w:tcPr>
          <w:p w14:paraId="41F4409A" w14:textId="77777777" w:rsidR="00120FC1" w:rsidRPr="005A5B60" w:rsidRDefault="00120FC1" w:rsidP="00100366">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2.</w:t>
            </w:r>
            <w:r w:rsidR="00100366">
              <w:rPr>
                <w:rFonts w:ascii="Arial" w:hAnsi="Arial" w:cs="Arial"/>
                <w:sz w:val="18"/>
                <w:szCs w:val="18"/>
              </w:rPr>
              <w:t>9</w:t>
            </w:r>
          </w:p>
        </w:tc>
      </w:tr>
      <w:tr w:rsidR="00120FC1" w:rsidRPr="005A5B60" w14:paraId="518A765E" w14:textId="77777777">
        <w:trPr>
          <w:trHeight w:hRule="exact" w:val="472"/>
        </w:trPr>
        <w:tc>
          <w:tcPr>
            <w:tcW w:w="4536" w:type="dxa"/>
            <w:tcBorders>
              <w:top w:val="single" w:sz="6" w:space="0" w:color="auto"/>
              <w:bottom w:val="single" w:sz="6" w:space="0" w:color="auto"/>
              <w:right w:val="single" w:sz="6" w:space="0" w:color="auto"/>
            </w:tcBorders>
          </w:tcPr>
          <w:p w14:paraId="2849CB3F" w14:textId="77777777" w:rsidR="00120FC1" w:rsidRPr="005A5B60" w:rsidRDefault="00120FC1">
            <w:pPr>
              <w:pStyle w:val="BodyText"/>
              <w:tabs>
                <w:tab w:val="left" w:pos="0"/>
                <w:tab w:val="left" w:pos="2250"/>
              </w:tabs>
              <w:spacing w:before="120" w:after="0" w:line="312" w:lineRule="auto"/>
              <w:ind w:left="0"/>
              <w:rPr>
                <w:rFonts w:ascii="Arial" w:hAnsi="Arial" w:cs="Arial"/>
                <w:sz w:val="18"/>
                <w:szCs w:val="18"/>
              </w:rPr>
            </w:pPr>
            <w:r w:rsidRPr="005A5B60">
              <w:rPr>
                <w:rFonts w:ascii="Arial" w:hAnsi="Arial" w:cs="Arial"/>
                <w:sz w:val="18"/>
                <w:szCs w:val="18"/>
              </w:rPr>
              <w:t>Inert waste (including concrete/metal/plastics/glass)</w:t>
            </w:r>
          </w:p>
        </w:tc>
        <w:tc>
          <w:tcPr>
            <w:tcW w:w="1560" w:type="dxa"/>
            <w:tcBorders>
              <w:top w:val="single" w:sz="6" w:space="0" w:color="auto"/>
              <w:left w:val="single" w:sz="6" w:space="0" w:color="auto"/>
              <w:bottom w:val="single" w:sz="6" w:space="0" w:color="auto"/>
            </w:tcBorders>
          </w:tcPr>
          <w:p w14:paraId="3206EE01" w14:textId="77777777" w:rsidR="00120FC1" w:rsidRPr="005A5B60" w:rsidRDefault="00120FC1">
            <w:pPr>
              <w:pStyle w:val="BodyText"/>
              <w:tabs>
                <w:tab w:val="left" w:pos="0"/>
                <w:tab w:val="left" w:pos="2250"/>
              </w:tabs>
              <w:spacing w:before="120" w:after="0" w:line="312" w:lineRule="auto"/>
              <w:ind w:left="1761" w:hanging="1761"/>
              <w:jc w:val="center"/>
              <w:rPr>
                <w:rFonts w:ascii="Arial" w:hAnsi="Arial" w:cs="Arial"/>
                <w:bCs/>
                <w:sz w:val="18"/>
                <w:szCs w:val="18"/>
              </w:rPr>
            </w:pPr>
            <w:r w:rsidRPr="005A5B60">
              <w:rPr>
                <w:rFonts w:ascii="Arial" w:hAnsi="Arial" w:cs="Arial"/>
                <w:sz w:val="18"/>
                <w:szCs w:val="18"/>
              </w:rPr>
              <w:t>0</w:t>
            </w:r>
          </w:p>
        </w:tc>
        <w:tc>
          <w:tcPr>
            <w:tcW w:w="2268" w:type="dxa"/>
            <w:tcBorders>
              <w:top w:val="single" w:sz="6" w:space="0" w:color="auto"/>
              <w:left w:val="single" w:sz="6" w:space="0" w:color="auto"/>
              <w:bottom w:val="single" w:sz="6" w:space="0" w:color="auto"/>
            </w:tcBorders>
          </w:tcPr>
          <w:p w14:paraId="4EE56618" w14:textId="77777777" w:rsidR="00120FC1" w:rsidRPr="005A5B60" w:rsidRDefault="00120FC1">
            <w:pPr>
              <w:pStyle w:val="BodyText"/>
              <w:tabs>
                <w:tab w:val="left" w:pos="0"/>
                <w:tab w:val="left" w:pos="2250"/>
              </w:tabs>
              <w:spacing w:before="120" w:after="0" w:line="312" w:lineRule="auto"/>
              <w:ind w:left="794" w:hanging="794"/>
              <w:jc w:val="center"/>
              <w:rPr>
                <w:rFonts w:ascii="Arial" w:hAnsi="Arial" w:cs="Arial"/>
                <w:sz w:val="18"/>
                <w:szCs w:val="18"/>
              </w:rPr>
            </w:pPr>
            <w:r w:rsidRPr="005A5B60">
              <w:rPr>
                <w:rFonts w:ascii="Arial" w:hAnsi="Arial" w:cs="Arial"/>
                <w:sz w:val="18"/>
                <w:szCs w:val="18"/>
              </w:rPr>
              <w:t>t x 0</w:t>
            </w:r>
          </w:p>
        </w:tc>
      </w:tr>
      <w:tr w:rsidR="007C40D2" w:rsidRPr="005A5B60" w14:paraId="280E6243" w14:textId="77777777">
        <w:trPr>
          <w:trHeight w:hRule="exact" w:val="472"/>
        </w:trPr>
        <w:tc>
          <w:tcPr>
            <w:tcW w:w="4536" w:type="dxa"/>
            <w:tcBorders>
              <w:top w:val="single" w:sz="6" w:space="0" w:color="auto"/>
              <w:bottom w:val="single" w:sz="6" w:space="0" w:color="auto"/>
              <w:right w:val="single" w:sz="6" w:space="0" w:color="auto"/>
            </w:tcBorders>
          </w:tcPr>
          <w:p w14:paraId="47EBD136" w14:textId="77777777" w:rsidR="007C40D2" w:rsidRPr="005A5B60" w:rsidRDefault="007C40D2">
            <w:pPr>
              <w:pStyle w:val="BodyText"/>
              <w:tabs>
                <w:tab w:val="left" w:pos="0"/>
                <w:tab w:val="left" w:pos="2250"/>
              </w:tabs>
              <w:spacing w:before="120" w:after="0" w:line="312" w:lineRule="auto"/>
              <w:ind w:left="0"/>
              <w:rPr>
                <w:rFonts w:ascii="Arial" w:hAnsi="Arial" w:cs="Arial"/>
                <w:sz w:val="18"/>
                <w:szCs w:val="18"/>
              </w:rPr>
            </w:pPr>
            <w:r>
              <w:rPr>
                <w:rFonts w:ascii="Arial" w:hAnsi="Arial" w:cs="Arial"/>
                <w:sz w:val="18"/>
                <w:szCs w:val="18"/>
              </w:rPr>
              <w:t>Alternative waste treatment residues</w:t>
            </w:r>
          </w:p>
        </w:tc>
        <w:tc>
          <w:tcPr>
            <w:tcW w:w="1560" w:type="dxa"/>
            <w:tcBorders>
              <w:top w:val="single" w:sz="6" w:space="0" w:color="auto"/>
              <w:left w:val="single" w:sz="6" w:space="0" w:color="auto"/>
              <w:bottom w:val="single" w:sz="6" w:space="0" w:color="auto"/>
            </w:tcBorders>
          </w:tcPr>
          <w:p w14:paraId="3CC5CF06" w14:textId="77777777" w:rsidR="007C40D2" w:rsidRPr="005A5B60" w:rsidRDefault="007C40D2">
            <w:pPr>
              <w:pStyle w:val="BodyText"/>
              <w:tabs>
                <w:tab w:val="left" w:pos="0"/>
                <w:tab w:val="left" w:pos="2250"/>
              </w:tabs>
              <w:spacing w:before="120" w:after="0" w:line="312" w:lineRule="auto"/>
              <w:ind w:left="1761" w:hanging="1761"/>
              <w:jc w:val="center"/>
              <w:rPr>
                <w:rFonts w:ascii="Arial" w:hAnsi="Arial" w:cs="Arial"/>
                <w:sz w:val="18"/>
                <w:szCs w:val="18"/>
              </w:rPr>
            </w:pPr>
            <w:r>
              <w:rPr>
                <w:rFonts w:ascii="Arial" w:hAnsi="Arial" w:cs="Arial"/>
                <w:sz w:val="18"/>
                <w:szCs w:val="18"/>
              </w:rPr>
              <w:t>0.08</w:t>
            </w:r>
          </w:p>
        </w:tc>
        <w:tc>
          <w:tcPr>
            <w:tcW w:w="2268" w:type="dxa"/>
            <w:tcBorders>
              <w:top w:val="single" w:sz="6" w:space="0" w:color="auto"/>
              <w:left w:val="single" w:sz="6" w:space="0" w:color="auto"/>
              <w:bottom w:val="single" w:sz="6" w:space="0" w:color="auto"/>
            </w:tcBorders>
          </w:tcPr>
          <w:p w14:paraId="0BA3DAD2" w14:textId="77777777" w:rsidR="007C40D2" w:rsidRPr="005A5B60" w:rsidRDefault="007C40D2" w:rsidP="00100366">
            <w:pPr>
              <w:pStyle w:val="BodyText"/>
              <w:tabs>
                <w:tab w:val="left" w:pos="0"/>
                <w:tab w:val="left" w:pos="2250"/>
              </w:tabs>
              <w:spacing w:before="120" w:after="0" w:line="312" w:lineRule="auto"/>
              <w:ind w:left="794" w:hanging="794"/>
              <w:jc w:val="center"/>
              <w:rPr>
                <w:rFonts w:ascii="Arial" w:hAnsi="Arial" w:cs="Arial"/>
                <w:sz w:val="18"/>
                <w:szCs w:val="18"/>
              </w:rPr>
            </w:pPr>
            <w:r>
              <w:rPr>
                <w:rFonts w:ascii="Arial" w:hAnsi="Arial" w:cs="Arial"/>
                <w:sz w:val="18"/>
                <w:szCs w:val="18"/>
              </w:rPr>
              <w:t>t x 0.</w:t>
            </w:r>
            <w:r w:rsidR="00100366">
              <w:rPr>
                <w:rFonts w:ascii="Arial" w:hAnsi="Arial" w:cs="Arial"/>
                <w:sz w:val="18"/>
                <w:szCs w:val="18"/>
              </w:rPr>
              <w:t>6</w:t>
            </w:r>
          </w:p>
        </w:tc>
      </w:tr>
    </w:tbl>
    <w:p w14:paraId="4ADC721D" w14:textId="77777777" w:rsidR="00010E2E" w:rsidRDefault="00010E2E" w:rsidP="00714AB5">
      <w:pPr>
        <w:pStyle w:val="BodyText"/>
        <w:tabs>
          <w:tab w:val="left" w:pos="0"/>
          <w:tab w:val="left" w:pos="2250"/>
        </w:tabs>
        <w:spacing w:before="120" w:after="0" w:line="312" w:lineRule="auto"/>
        <w:ind w:left="0"/>
        <w:rPr>
          <w:rFonts w:ascii="Arial" w:hAnsi="Arial" w:cs="Arial"/>
          <w:sz w:val="18"/>
          <w:szCs w:val="18"/>
        </w:rPr>
      </w:pPr>
      <w:r>
        <w:rPr>
          <w:rFonts w:ascii="Arial" w:hAnsi="Arial" w:cs="Arial"/>
          <w:b/>
          <w:bCs/>
          <w:sz w:val="18"/>
          <w:szCs w:val="18"/>
        </w:rPr>
        <w:t>Note:</w:t>
      </w:r>
      <w:r w:rsidR="00714AB5" w:rsidRPr="00714AB5">
        <w:t xml:space="preserve"> </w:t>
      </w:r>
      <w:r w:rsidR="00714AB5" w:rsidRPr="00714AB5">
        <w:rPr>
          <w:rFonts w:ascii="Arial" w:hAnsi="Arial" w:cs="Arial"/>
          <w:sz w:val="18"/>
          <w:szCs w:val="18"/>
        </w:rPr>
        <w:t>Source: National Greenhouse and Energy Reporting (Measurement) Determination</w:t>
      </w:r>
      <w:r w:rsidR="00714AB5">
        <w:rPr>
          <w:rFonts w:ascii="Arial" w:hAnsi="Arial" w:cs="Arial"/>
          <w:sz w:val="18"/>
          <w:szCs w:val="18"/>
        </w:rPr>
        <w:t xml:space="preserve"> 20</w:t>
      </w:r>
      <w:r w:rsidR="00844289">
        <w:rPr>
          <w:rFonts w:ascii="Arial" w:hAnsi="Arial" w:cs="Arial"/>
          <w:sz w:val="18"/>
          <w:szCs w:val="18"/>
        </w:rPr>
        <w:t>08</w:t>
      </w:r>
      <w:r w:rsidR="000B79B3" w:rsidRPr="00714AB5">
        <w:rPr>
          <w:rFonts w:ascii="Arial" w:hAnsi="Arial" w:cs="Arial"/>
          <w:sz w:val="18"/>
          <w:szCs w:val="18"/>
        </w:rPr>
        <w:t>.</w:t>
      </w:r>
      <w:r>
        <w:rPr>
          <w:rFonts w:ascii="Arial" w:hAnsi="Arial" w:cs="Arial"/>
          <w:sz w:val="18"/>
          <w:szCs w:val="18"/>
        </w:rPr>
        <w:t xml:space="preserve"> The proportions represent the quantity of DOC of the various waste types in the mix that may be available for conversion to methane</w:t>
      </w:r>
      <w:r w:rsidR="0017144B">
        <w:rPr>
          <w:rFonts w:ascii="Arial" w:hAnsi="Arial" w:cs="Arial"/>
          <w:sz w:val="18"/>
          <w:szCs w:val="18"/>
        </w:rPr>
        <w:t xml:space="preserve">. </w:t>
      </w:r>
      <w:r>
        <w:rPr>
          <w:rFonts w:ascii="Arial" w:hAnsi="Arial" w:cs="Arial"/>
          <w:sz w:val="18"/>
          <w:szCs w:val="18"/>
        </w:rPr>
        <w:t>If waste is measured by volume and not by weight, conversion factors are available in Appendix 2.</w:t>
      </w:r>
    </w:p>
    <w:p w14:paraId="0612B135" w14:textId="77777777" w:rsidR="00010E2E" w:rsidRDefault="00010E2E">
      <w:pPr>
        <w:pStyle w:val="BodyText"/>
        <w:tabs>
          <w:tab w:val="left" w:pos="0"/>
          <w:tab w:val="left" w:pos="2250"/>
        </w:tabs>
        <w:spacing w:before="120" w:after="0" w:line="312" w:lineRule="auto"/>
        <w:ind w:left="0"/>
        <w:rPr>
          <w:rFonts w:ascii="Arial" w:hAnsi="Arial" w:cs="Arial"/>
          <w:szCs w:val="18"/>
        </w:rPr>
      </w:pPr>
      <w:r>
        <w:rPr>
          <w:rFonts w:ascii="Arial" w:hAnsi="Arial" w:cs="Arial"/>
          <w:szCs w:val="18"/>
        </w:rPr>
        <w:t xml:space="preserve">The emission factors in column B of Table </w:t>
      </w:r>
      <w:r w:rsidR="0093697A">
        <w:rPr>
          <w:rFonts w:ascii="Arial" w:hAnsi="Arial" w:cs="Arial"/>
          <w:szCs w:val="18"/>
        </w:rPr>
        <w:t>4</w:t>
      </w:r>
      <w:r w:rsidR="00BB7114">
        <w:rPr>
          <w:rFonts w:ascii="Arial" w:hAnsi="Arial" w:cs="Arial"/>
          <w:szCs w:val="18"/>
        </w:rPr>
        <w:t>1</w:t>
      </w:r>
      <w:r w:rsidR="0093697A">
        <w:rPr>
          <w:rFonts w:ascii="Arial" w:hAnsi="Arial" w:cs="Arial"/>
          <w:szCs w:val="18"/>
        </w:rPr>
        <w:t xml:space="preserve"> </w:t>
      </w:r>
      <w:r>
        <w:rPr>
          <w:rFonts w:ascii="Arial" w:hAnsi="Arial" w:cs="Arial"/>
          <w:szCs w:val="18"/>
        </w:rPr>
        <w:t xml:space="preserve">have been calculated according to the default variables detailed in Table </w:t>
      </w:r>
      <w:r w:rsidR="0093697A">
        <w:rPr>
          <w:rFonts w:ascii="Arial" w:hAnsi="Arial" w:cs="Arial"/>
          <w:szCs w:val="18"/>
        </w:rPr>
        <w:t>4</w:t>
      </w:r>
      <w:r w:rsidR="00BB7114">
        <w:rPr>
          <w:rFonts w:ascii="Arial" w:hAnsi="Arial" w:cs="Arial"/>
          <w:szCs w:val="18"/>
        </w:rPr>
        <w:t>2</w:t>
      </w:r>
      <w:r w:rsidR="0093697A">
        <w:rPr>
          <w:rFonts w:ascii="Arial" w:hAnsi="Arial" w:cs="Arial"/>
          <w:szCs w:val="18"/>
        </w:rPr>
        <w:t xml:space="preserve"> </w:t>
      </w:r>
      <w:r>
        <w:rPr>
          <w:rFonts w:ascii="Arial" w:hAnsi="Arial" w:cs="Arial"/>
          <w:szCs w:val="18"/>
        </w:rPr>
        <w:t>and the following formula:</w:t>
      </w:r>
    </w:p>
    <w:p w14:paraId="1624FC99" w14:textId="77777777" w:rsidR="00010E2E" w:rsidRDefault="00010E2E">
      <w:pPr>
        <w:autoSpaceDE w:val="0"/>
        <w:autoSpaceDN w:val="0"/>
        <w:adjustRightInd w:val="0"/>
        <w:ind w:left="0"/>
        <w:rPr>
          <w:rFonts w:ascii="ArialMT" w:hAnsi="ArialMT" w:cs="ArialMT"/>
          <w:lang w:eastAsia="en-AU"/>
        </w:rPr>
      </w:pPr>
    </w:p>
    <w:p w14:paraId="23FB31DB" w14:textId="77777777" w:rsidR="008B7F00" w:rsidRDefault="00010E2E">
      <w:pPr>
        <w:autoSpaceDE w:val="0"/>
        <w:autoSpaceDN w:val="0"/>
        <w:adjustRightInd w:val="0"/>
        <w:ind w:left="0"/>
      </w:pPr>
      <w:r>
        <w:rPr>
          <w:rFonts w:ascii="ArialMT" w:hAnsi="ArialMT" w:cs="ArialMT"/>
          <w:lang w:eastAsia="en-AU"/>
        </w:rPr>
        <w:t>GHG Emissions (t CO</w:t>
      </w:r>
      <w:r>
        <w:rPr>
          <w:rFonts w:ascii="ArialMT" w:hAnsi="ArialMT" w:cs="ArialMT"/>
          <w:sz w:val="13"/>
          <w:szCs w:val="13"/>
          <w:lang w:eastAsia="en-AU"/>
        </w:rPr>
        <w:t>2</w:t>
      </w:r>
      <w:r>
        <w:rPr>
          <w:rFonts w:ascii="ArialMT" w:hAnsi="ArialMT" w:cs="ArialMT"/>
          <w:lang w:eastAsia="en-AU"/>
        </w:rPr>
        <w:t>-e) = [ ( ( Q x DOC x DOC</w:t>
      </w:r>
      <w:r>
        <w:rPr>
          <w:rFonts w:ascii="ArialMT" w:hAnsi="ArialMT" w:cs="ArialMT"/>
          <w:sz w:val="13"/>
          <w:szCs w:val="13"/>
          <w:lang w:eastAsia="en-AU"/>
        </w:rPr>
        <w:t xml:space="preserve">F </w:t>
      </w:r>
      <w:r>
        <w:rPr>
          <w:rFonts w:ascii="ArialMT" w:hAnsi="ArialMT" w:cs="ArialMT"/>
          <w:lang w:eastAsia="en-AU"/>
        </w:rPr>
        <w:t>x F</w:t>
      </w:r>
      <w:r>
        <w:rPr>
          <w:rFonts w:ascii="ArialMT" w:hAnsi="ArialMT" w:cs="ArialMT"/>
          <w:sz w:val="13"/>
          <w:szCs w:val="13"/>
          <w:lang w:eastAsia="en-AU"/>
        </w:rPr>
        <w:t xml:space="preserve">1 </w:t>
      </w:r>
      <w:r>
        <w:rPr>
          <w:rFonts w:ascii="ArialMT" w:hAnsi="ArialMT" w:cs="ArialMT"/>
          <w:lang w:eastAsia="en-AU"/>
        </w:rPr>
        <w:t xml:space="preserve">x </w:t>
      </w:r>
      <w:r w:rsidR="00C92D98">
        <w:rPr>
          <w:rFonts w:ascii="ArialMT" w:hAnsi="ArialMT" w:cs="ArialMT"/>
          <w:lang w:eastAsia="en-AU"/>
        </w:rPr>
        <w:t>1.336</w:t>
      </w:r>
      <w:r>
        <w:rPr>
          <w:rFonts w:ascii="ArialMT" w:hAnsi="ArialMT" w:cs="ArialMT"/>
          <w:lang w:eastAsia="en-AU"/>
        </w:rPr>
        <w:t xml:space="preserve"> ) – R ) x ( 1 – OX ) ] x </w:t>
      </w:r>
      <w:r w:rsidR="00100366">
        <w:rPr>
          <w:rFonts w:ascii="ArialMT" w:hAnsi="ArialMT" w:cs="ArialMT"/>
          <w:lang w:eastAsia="en-AU"/>
        </w:rPr>
        <w:t>25</w:t>
      </w:r>
    </w:p>
    <w:p w14:paraId="597F3B1D" w14:textId="77777777" w:rsidR="00D83DC7" w:rsidRDefault="00D83DC7">
      <w:pPr>
        <w:ind w:left="0"/>
        <w:rPr>
          <w:rFonts w:ascii="Arial" w:hAnsi="Arial"/>
        </w:rPr>
      </w:pPr>
      <w:bookmarkStart w:id="169" w:name="_Toc391646728"/>
      <w:bookmarkStart w:id="170" w:name="_Toc485728151"/>
      <w:r>
        <w:br w:type="page"/>
      </w:r>
    </w:p>
    <w:p w14:paraId="76B461D7" w14:textId="5C162B12" w:rsidR="00D76245" w:rsidRDefault="00491D41" w:rsidP="00C23E3B">
      <w:pPr>
        <w:pStyle w:val="Caption"/>
      </w:pPr>
      <w:r>
        <w:t xml:space="preserve">Table </w:t>
      </w:r>
      <w:r w:rsidR="00DC52E0">
        <w:fldChar w:fldCharType="begin"/>
      </w:r>
      <w:r>
        <w:instrText xml:space="preserve"> SEQ Table \* ARABIC </w:instrText>
      </w:r>
      <w:r w:rsidR="00DC52E0">
        <w:fldChar w:fldCharType="separate"/>
      </w:r>
      <w:r w:rsidR="004A1330">
        <w:rPr>
          <w:noProof/>
        </w:rPr>
        <w:t>43</w:t>
      </w:r>
      <w:r w:rsidR="00DC52E0">
        <w:fldChar w:fldCharType="end"/>
      </w:r>
      <w:r w:rsidR="00010E2E">
        <w:t>:  Waste variables and default values</w:t>
      </w:r>
      <w:bookmarkEnd w:id="169"/>
      <w:bookmarkEnd w:id="170"/>
    </w:p>
    <w:tbl>
      <w:tblPr>
        <w:tblW w:w="8364" w:type="dxa"/>
        <w:tblInd w:w="56" w:type="dxa"/>
        <w:tblBorders>
          <w:top w:val="single" w:sz="6" w:space="0" w:color="auto"/>
          <w:left w:val="single" w:sz="6" w:space="0" w:color="auto"/>
          <w:bottom w:val="single" w:sz="6" w:space="0" w:color="auto"/>
          <w:right w:val="single" w:sz="6" w:space="0" w:color="auto"/>
        </w:tblBorders>
        <w:tblLayout w:type="fixed"/>
        <w:tblCellMar>
          <w:left w:w="56" w:type="dxa"/>
          <w:right w:w="56" w:type="dxa"/>
        </w:tblCellMar>
        <w:tblLook w:val="0000" w:firstRow="0" w:lastRow="0" w:firstColumn="0" w:lastColumn="0" w:noHBand="0" w:noVBand="0"/>
      </w:tblPr>
      <w:tblGrid>
        <w:gridCol w:w="3119"/>
        <w:gridCol w:w="5245"/>
      </w:tblGrid>
      <w:tr w:rsidR="00010E2E" w14:paraId="491DD86E" w14:textId="77777777">
        <w:trPr>
          <w:trHeight w:hRule="exact" w:val="369"/>
        </w:trPr>
        <w:tc>
          <w:tcPr>
            <w:tcW w:w="3119" w:type="dxa"/>
            <w:tcBorders>
              <w:top w:val="single" w:sz="6" w:space="0" w:color="auto"/>
              <w:bottom w:val="single" w:sz="6" w:space="0" w:color="auto"/>
              <w:right w:val="single" w:sz="6" w:space="0" w:color="auto"/>
            </w:tcBorders>
            <w:shd w:val="pct12" w:color="auto" w:fill="auto"/>
          </w:tcPr>
          <w:p w14:paraId="011A79A8" w14:textId="77777777" w:rsidR="00010E2E" w:rsidRDefault="00010E2E">
            <w:pPr>
              <w:pStyle w:val="BodyText"/>
              <w:tabs>
                <w:tab w:val="left" w:pos="0"/>
                <w:tab w:val="left" w:pos="2250"/>
              </w:tabs>
              <w:spacing w:before="120" w:after="0" w:line="312" w:lineRule="auto"/>
              <w:ind w:left="511"/>
              <w:rPr>
                <w:rFonts w:ascii="Arial" w:hAnsi="Arial" w:cs="Arial"/>
                <w:b/>
                <w:bCs/>
                <w:sz w:val="18"/>
                <w:szCs w:val="18"/>
              </w:rPr>
            </w:pPr>
            <w:r>
              <w:rPr>
                <w:rFonts w:ascii="Arial" w:hAnsi="Arial" w:cs="Arial"/>
                <w:b/>
                <w:bCs/>
                <w:sz w:val="18"/>
                <w:szCs w:val="18"/>
              </w:rPr>
              <w:t>Variable</w:t>
            </w:r>
          </w:p>
        </w:tc>
        <w:tc>
          <w:tcPr>
            <w:tcW w:w="5245" w:type="dxa"/>
            <w:tcBorders>
              <w:top w:val="single" w:sz="6" w:space="0" w:color="auto"/>
              <w:left w:val="single" w:sz="6" w:space="0" w:color="auto"/>
              <w:bottom w:val="single" w:sz="6" w:space="0" w:color="auto"/>
            </w:tcBorders>
            <w:shd w:val="pct12" w:color="auto" w:fill="auto"/>
          </w:tcPr>
          <w:p w14:paraId="6FB9E1F1" w14:textId="77777777" w:rsidR="00010E2E" w:rsidRDefault="00010E2E">
            <w:pPr>
              <w:pStyle w:val="BodyText"/>
              <w:tabs>
                <w:tab w:val="left" w:pos="0"/>
                <w:tab w:val="left" w:pos="2250"/>
              </w:tabs>
              <w:spacing w:before="120" w:after="0" w:line="312" w:lineRule="auto"/>
              <w:ind w:left="511"/>
              <w:rPr>
                <w:rFonts w:ascii="Arial" w:hAnsi="Arial" w:cs="Arial"/>
                <w:b/>
                <w:bCs/>
                <w:sz w:val="18"/>
                <w:szCs w:val="18"/>
              </w:rPr>
            </w:pPr>
            <w:r>
              <w:rPr>
                <w:rFonts w:ascii="Arial" w:hAnsi="Arial" w:cs="Arial"/>
                <w:b/>
                <w:bCs/>
                <w:sz w:val="18"/>
                <w:szCs w:val="18"/>
              </w:rPr>
              <w:t>Default values</w:t>
            </w:r>
          </w:p>
        </w:tc>
      </w:tr>
      <w:tr w:rsidR="00010E2E" w14:paraId="5FDA463F" w14:textId="77777777">
        <w:trPr>
          <w:trHeight w:val="284"/>
        </w:trPr>
        <w:tc>
          <w:tcPr>
            <w:tcW w:w="3119" w:type="dxa"/>
            <w:tcBorders>
              <w:top w:val="single" w:sz="6" w:space="0" w:color="auto"/>
              <w:bottom w:val="single" w:sz="6" w:space="0" w:color="auto"/>
              <w:right w:val="single" w:sz="6" w:space="0" w:color="auto"/>
            </w:tcBorders>
          </w:tcPr>
          <w:p w14:paraId="1904DF56"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Q (Activity)</w:t>
            </w:r>
          </w:p>
        </w:tc>
        <w:tc>
          <w:tcPr>
            <w:tcW w:w="5245" w:type="dxa"/>
            <w:tcBorders>
              <w:top w:val="single" w:sz="6" w:space="0" w:color="auto"/>
              <w:left w:val="single" w:sz="6" w:space="0" w:color="auto"/>
              <w:bottom w:val="single" w:sz="6" w:space="0" w:color="auto"/>
            </w:tcBorders>
          </w:tcPr>
          <w:p w14:paraId="6AF8A4E1"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Quantity of municipal solid waste expressed in tonnes and sourced from waste records or contractor invoices</w:t>
            </w:r>
          </w:p>
        </w:tc>
      </w:tr>
      <w:tr w:rsidR="00010E2E" w14:paraId="180699CA" w14:textId="77777777">
        <w:trPr>
          <w:trHeight w:val="284"/>
        </w:trPr>
        <w:tc>
          <w:tcPr>
            <w:tcW w:w="3119" w:type="dxa"/>
            <w:tcBorders>
              <w:top w:val="single" w:sz="6" w:space="0" w:color="auto"/>
              <w:bottom w:val="single" w:sz="6" w:space="0" w:color="auto"/>
              <w:right w:val="single" w:sz="6" w:space="0" w:color="auto"/>
            </w:tcBorders>
          </w:tcPr>
          <w:p w14:paraId="53C5B820"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DOC</w:t>
            </w:r>
          </w:p>
        </w:tc>
        <w:tc>
          <w:tcPr>
            <w:tcW w:w="5245" w:type="dxa"/>
            <w:tcBorders>
              <w:top w:val="single" w:sz="6" w:space="0" w:color="auto"/>
              <w:left w:val="single" w:sz="6" w:space="0" w:color="auto"/>
              <w:bottom w:val="single" w:sz="6" w:space="0" w:color="auto"/>
            </w:tcBorders>
          </w:tcPr>
          <w:p w14:paraId="63358A46" w14:textId="77777777" w:rsidR="00010E2E" w:rsidRDefault="00010E2E" w:rsidP="00152C5F">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 xml:space="preserve">Degradable Organic Carbon expressed as a proportion of the particular waste type and contained in Table </w:t>
            </w:r>
            <w:r w:rsidR="00152C5F">
              <w:rPr>
                <w:rFonts w:ascii="Arial" w:hAnsi="Arial" w:cs="Arial"/>
                <w:sz w:val="18"/>
                <w:szCs w:val="18"/>
              </w:rPr>
              <w:t>4</w:t>
            </w:r>
            <w:r w:rsidR="00BB7114">
              <w:rPr>
                <w:rFonts w:ascii="Arial" w:hAnsi="Arial" w:cs="Arial"/>
                <w:sz w:val="18"/>
                <w:szCs w:val="18"/>
              </w:rPr>
              <w:t>1</w:t>
            </w:r>
            <w:r>
              <w:rPr>
                <w:rFonts w:ascii="Arial" w:hAnsi="Arial" w:cs="Arial"/>
                <w:sz w:val="18"/>
                <w:szCs w:val="18"/>
              </w:rPr>
              <w:t xml:space="preserve">.  </w:t>
            </w:r>
          </w:p>
        </w:tc>
      </w:tr>
      <w:tr w:rsidR="00010E2E" w14:paraId="0A98FAC0" w14:textId="77777777">
        <w:trPr>
          <w:trHeight w:val="284"/>
        </w:trPr>
        <w:tc>
          <w:tcPr>
            <w:tcW w:w="3119" w:type="dxa"/>
            <w:tcBorders>
              <w:top w:val="single" w:sz="6" w:space="0" w:color="auto"/>
              <w:bottom w:val="single" w:sz="6" w:space="0" w:color="auto"/>
              <w:right w:val="single" w:sz="6" w:space="0" w:color="auto"/>
            </w:tcBorders>
          </w:tcPr>
          <w:p w14:paraId="5046A59C"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Style w:val="norm1"/>
                <w:rFonts w:ascii="Arial" w:hAnsi="Arial" w:cs="Arial"/>
                <w:sz w:val="18"/>
                <w:szCs w:val="18"/>
              </w:rPr>
              <w:t>DOC</w:t>
            </w:r>
            <w:r>
              <w:rPr>
                <w:rStyle w:val="norm1"/>
                <w:rFonts w:ascii="Arial" w:hAnsi="Arial" w:cs="Arial"/>
                <w:sz w:val="18"/>
                <w:szCs w:val="18"/>
                <w:vertAlign w:val="subscript"/>
              </w:rPr>
              <w:t>F</w:t>
            </w:r>
          </w:p>
        </w:tc>
        <w:tc>
          <w:tcPr>
            <w:tcW w:w="5245" w:type="dxa"/>
            <w:tcBorders>
              <w:top w:val="single" w:sz="6" w:space="0" w:color="auto"/>
              <w:left w:val="single" w:sz="6" w:space="0" w:color="auto"/>
              <w:bottom w:val="single" w:sz="6" w:space="0" w:color="auto"/>
            </w:tcBorders>
          </w:tcPr>
          <w:p w14:paraId="414C3999"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Fraction of degradable organic carbon dissimilated for the waste type produced with default values as follows:</w:t>
            </w:r>
          </w:p>
          <w:p w14:paraId="244A79F3"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Food – 0.84</w:t>
            </w:r>
          </w:p>
          <w:p w14:paraId="5835312C"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Paper and cardboard – 0.49</w:t>
            </w:r>
          </w:p>
          <w:p w14:paraId="0BAC5348"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Garden and green – 0.47</w:t>
            </w:r>
          </w:p>
          <w:p w14:paraId="6D03B304"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Wood – 0.</w:t>
            </w:r>
            <w:r w:rsidR="006F29B9">
              <w:rPr>
                <w:rStyle w:val="norm1"/>
                <w:rFonts w:ascii="Arial" w:hAnsi="Arial" w:cs="Arial"/>
                <w:sz w:val="18"/>
                <w:szCs w:val="18"/>
              </w:rPr>
              <w:t>10</w:t>
            </w:r>
          </w:p>
          <w:p w14:paraId="41F793B1"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Textiles – 0.5</w:t>
            </w:r>
          </w:p>
          <w:p w14:paraId="51E9D53A"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Sludge – 0.5</w:t>
            </w:r>
          </w:p>
          <w:p w14:paraId="12A5E971"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Nappies – 0.5</w:t>
            </w:r>
          </w:p>
          <w:p w14:paraId="01F93F97" w14:textId="77777777" w:rsidR="00120FC1" w:rsidRDefault="00120FC1" w:rsidP="00120FC1">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Rubber and leather – 0.5</w:t>
            </w:r>
          </w:p>
          <w:p w14:paraId="5209256C" w14:textId="77777777" w:rsidR="00010E2E" w:rsidRDefault="00120FC1" w:rsidP="005A5B60">
            <w:pPr>
              <w:pStyle w:val="BodyText"/>
              <w:tabs>
                <w:tab w:val="left" w:pos="0"/>
                <w:tab w:val="left" w:pos="2250"/>
              </w:tabs>
              <w:spacing w:before="120" w:after="0" w:line="312" w:lineRule="auto"/>
              <w:ind w:left="511"/>
              <w:rPr>
                <w:rStyle w:val="norm1"/>
                <w:rFonts w:ascii="Arial" w:hAnsi="Arial" w:cs="Arial"/>
                <w:sz w:val="18"/>
                <w:szCs w:val="18"/>
              </w:rPr>
            </w:pPr>
            <w:r>
              <w:rPr>
                <w:rStyle w:val="norm1"/>
                <w:rFonts w:ascii="Arial" w:hAnsi="Arial" w:cs="Arial"/>
                <w:sz w:val="18"/>
                <w:szCs w:val="18"/>
              </w:rPr>
              <w:t>Inert waste, including concrete, metal, plastic and glass – 0.0</w:t>
            </w:r>
          </w:p>
          <w:p w14:paraId="43ED8876" w14:textId="77777777" w:rsidR="00995A5C" w:rsidRDefault="00995A5C" w:rsidP="005A5B60">
            <w:pPr>
              <w:pStyle w:val="BodyText"/>
              <w:tabs>
                <w:tab w:val="left" w:pos="0"/>
                <w:tab w:val="left" w:pos="2250"/>
              </w:tabs>
              <w:spacing w:before="120" w:after="0" w:line="312" w:lineRule="auto"/>
              <w:ind w:left="511"/>
              <w:rPr>
                <w:rFonts w:ascii="Arial" w:hAnsi="Arial" w:cs="Arial"/>
                <w:sz w:val="18"/>
                <w:szCs w:val="18"/>
              </w:rPr>
            </w:pPr>
            <w:r>
              <w:rPr>
                <w:rStyle w:val="norm1"/>
                <w:rFonts w:ascii="Arial" w:hAnsi="Arial" w:cs="Arial"/>
                <w:sz w:val="18"/>
                <w:szCs w:val="18"/>
              </w:rPr>
              <w:t>Alternative waste treatment residues – 0.5</w:t>
            </w:r>
          </w:p>
        </w:tc>
      </w:tr>
      <w:tr w:rsidR="00010E2E" w14:paraId="2258524F" w14:textId="77777777">
        <w:trPr>
          <w:trHeight w:val="284"/>
        </w:trPr>
        <w:tc>
          <w:tcPr>
            <w:tcW w:w="3119" w:type="dxa"/>
            <w:tcBorders>
              <w:top w:val="single" w:sz="6" w:space="0" w:color="auto"/>
              <w:bottom w:val="single" w:sz="6" w:space="0" w:color="auto"/>
              <w:right w:val="single" w:sz="6" w:space="0" w:color="auto"/>
            </w:tcBorders>
          </w:tcPr>
          <w:p w14:paraId="29D85019"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F</w:t>
            </w:r>
            <w:r>
              <w:rPr>
                <w:rFonts w:ascii="Arial" w:hAnsi="Arial" w:cs="Arial"/>
                <w:sz w:val="18"/>
                <w:szCs w:val="18"/>
                <w:vertAlign w:val="subscript"/>
              </w:rPr>
              <w:t>l</w:t>
            </w:r>
          </w:p>
        </w:tc>
        <w:tc>
          <w:tcPr>
            <w:tcW w:w="5245" w:type="dxa"/>
            <w:tcBorders>
              <w:top w:val="single" w:sz="6" w:space="0" w:color="auto"/>
              <w:left w:val="single" w:sz="6" w:space="0" w:color="auto"/>
              <w:bottom w:val="single" w:sz="6" w:space="0" w:color="auto"/>
            </w:tcBorders>
          </w:tcPr>
          <w:p w14:paraId="6A859955"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 xml:space="preserve">Methane fraction of landfill gas which has a default value of 0.50 </w:t>
            </w:r>
          </w:p>
        </w:tc>
      </w:tr>
      <w:tr w:rsidR="00010E2E" w14:paraId="2F3B2E9F" w14:textId="77777777">
        <w:trPr>
          <w:trHeight w:val="284"/>
        </w:trPr>
        <w:tc>
          <w:tcPr>
            <w:tcW w:w="3119" w:type="dxa"/>
            <w:tcBorders>
              <w:top w:val="single" w:sz="6" w:space="0" w:color="auto"/>
              <w:bottom w:val="single" w:sz="6" w:space="0" w:color="auto"/>
              <w:right w:val="single" w:sz="6" w:space="0" w:color="auto"/>
            </w:tcBorders>
          </w:tcPr>
          <w:p w14:paraId="315A60EA" w14:textId="77777777" w:rsidR="00010E2E" w:rsidRDefault="00C92D98">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1.336</w:t>
            </w:r>
          </w:p>
        </w:tc>
        <w:tc>
          <w:tcPr>
            <w:tcW w:w="5245" w:type="dxa"/>
            <w:tcBorders>
              <w:top w:val="single" w:sz="6" w:space="0" w:color="auto"/>
              <w:left w:val="single" w:sz="6" w:space="0" w:color="auto"/>
              <w:bottom w:val="single" w:sz="6" w:space="0" w:color="auto"/>
            </w:tcBorders>
          </w:tcPr>
          <w:p w14:paraId="7344BE08"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Conversion rate of carbon to methane</w:t>
            </w:r>
          </w:p>
        </w:tc>
      </w:tr>
      <w:tr w:rsidR="00010E2E" w14:paraId="0991C6A7" w14:textId="77777777">
        <w:trPr>
          <w:trHeight w:val="284"/>
        </w:trPr>
        <w:tc>
          <w:tcPr>
            <w:tcW w:w="3119" w:type="dxa"/>
            <w:tcBorders>
              <w:top w:val="single" w:sz="6" w:space="0" w:color="auto"/>
              <w:bottom w:val="single" w:sz="6" w:space="0" w:color="auto"/>
              <w:right w:val="single" w:sz="6" w:space="0" w:color="auto"/>
            </w:tcBorders>
          </w:tcPr>
          <w:p w14:paraId="0C784B07"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R</w:t>
            </w:r>
          </w:p>
        </w:tc>
        <w:tc>
          <w:tcPr>
            <w:tcW w:w="5245" w:type="dxa"/>
            <w:tcBorders>
              <w:top w:val="single" w:sz="6" w:space="0" w:color="auto"/>
              <w:left w:val="single" w:sz="6" w:space="0" w:color="auto"/>
              <w:bottom w:val="single" w:sz="6" w:space="0" w:color="auto"/>
            </w:tcBorders>
          </w:tcPr>
          <w:p w14:paraId="7DE30708" w14:textId="77777777" w:rsidR="00010E2E" w:rsidRDefault="00010E2E" w:rsidP="00246F3B">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 xml:space="preserve">Recovered methane </w:t>
            </w:r>
            <w:r w:rsidR="00246F3B">
              <w:rPr>
                <w:rFonts w:ascii="Arial" w:hAnsi="Arial" w:cs="Arial"/>
                <w:sz w:val="18"/>
                <w:szCs w:val="18"/>
              </w:rPr>
              <w:t>during the</w:t>
            </w:r>
            <w:r>
              <w:rPr>
                <w:rFonts w:ascii="Arial" w:hAnsi="Arial" w:cs="Arial"/>
                <w:sz w:val="18"/>
                <w:szCs w:val="18"/>
              </w:rPr>
              <w:t xml:space="preserve"> year, measured/expressed in tonnes</w:t>
            </w:r>
          </w:p>
        </w:tc>
      </w:tr>
      <w:tr w:rsidR="00010E2E" w14:paraId="49E1F327" w14:textId="77777777">
        <w:trPr>
          <w:trHeight w:val="284"/>
        </w:trPr>
        <w:tc>
          <w:tcPr>
            <w:tcW w:w="3119" w:type="dxa"/>
            <w:tcBorders>
              <w:top w:val="single" w:sz="6" w:space="0" w:color="auto"/>
              <w:bottom w:val="single" w:sz="6" w:space="0" w:color="auto"/>
              <w:right w:val="single" w:sz="6" w:space="0" w:color="auto"/>
            </w:tcBorders>
          </w:tcPr>
          <w:p w14:paraId="387EBB2D"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OX</w:t>
            </w:r>
          </w:p>
        </w:tc>
        <w:tc>
          <w:tcPr>
            <w:tcW w:w="5245" w:type="dxa"/>
            <w:tcBorders>
              <w:top w:val="single" w:sz="6" w:space="0" w:color="auto"/>
              <w:left w:val="single" w:sz="6" w:space="0" w:color="auto"/>
              <w:bottom w:val="single" w:sz="6" w:space="0" w:color="auto"/>
            </w:tcBorders>
          </w:tcPr>
          <w:p w14:paraId="70DF8443"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 xml:space="preserve">Oxidation factor which has a default value of 0.1 for covered, well-managed landfills (and a value of 0 for uncovered landfills) </w:t>
            </w:r>
          </w:p>
        </w:tc>
      </w:tr>
      <w:tr w:rsidR="00010E2E" w14:paraId="1FFB978A" w14:textId="77777777">
        <w:trPr>
          <w:trHeight w:val="284"/>
        </w:trPr>
        <w:tc>
          <w:tcPr>
            <w:tcW w:w="3119" w:type="dxa"/>
            <w:tcBorders>
              <w:top w:val="single" w:sz="6" w:space="0" w:color="auto"/>
              <w:bottom w:val="single" w:sz="6" w:space="0" w:color="auto"/>
              <w:right w:val="single" w:sz="6" w:space="0" w:color="auto"/>
            </w:tcBorders>
          </w:tcPr>
          <w:p w14:paraId="7C39FFE6" w14:textId="77777777" w:rsidR="00010E2E" w:rsidRDefault="00100366" w:rsidP="00100366">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25</w:t>
            </w:r>
          </w:p>
        </w:tc>
        <w:tc>
          <w:tcPr>
            <w:tcW w:w="5245" w:type="dxa"/>
            <w:tcBorders>
              <w:top w:val="single" w:sz="6" w:space="0" w:color="auto"/>
              <w:left w:val="single" w:sz="6" w:space="0" w:color="auto"/>
              <w:bottom w:val="single" w:sz="6" w:space="0" w:color="auto"/>
            </w:tcBorders>
          </w:tcPr>
          <w:p w14:paraId="581B0780" w14:textId="77777777" w:rsidR="00010E2E" w:rsidRDefault="00010E2E">
            <w:pPr>
              <w:pStyle w:val="BodyText"/>
              <w:tabs>
                <w:tab w:val="left" w:pos="0"/>
                <w:tab w:val="left" w:pos="2250"/>
              </w:tabs>
              <w:spacing w:before="120" w:after="0" w:line="312" w:lineRule="auto"/>
              <w:ind w:left="511"/>
              <w:rPr>
                <w:rFonts w:ascii="Arial" w:hAnsi="Arial" w:cs="Arial"/>
                <w:sz w:val="18"/>
                <w:szCs w:val="18"/>
              </w:rPr>
            </w:pPr>
            <w:r>
              <w:rPr>
                <w:rFonts w:ascii="Arial" w:hAnsi="Arial" w:cs="Arial"/>
                <w:sz w:val="18"/>
                <w:szCs w:val="18"/>
              </w:rPr>
              <w:t>CH</w:t>
            </w:r>
            <w:r>
              <w:rPr>
                <w:rFonts w:ascii="Arial" w:hAnsi="Arial" w:cs="Arial"/>
                <w:sz w:val="18"/>
                <w:szCs w:val="18"/>
                <w:vertAlign w:val="subscript"/>
              </w:rPr>
              <w:t>4</w:t>
            </w:r>
            <w:r>
              <w:rPr>
                <w:rFonts w:ascii="Arial" w:hAnsi="Arial" w:cs="Arial"/>
                <w:sz w:val="18"/>
                <w:szCs w:val="18"/>
              </w:rPr>
              <w:t xml:space="preserve"> global warming potential used to convert the quantity of methane emitted to CO</w:t>
            </w:r>
            <w:r>
              <w:rPr>
                <w:rFonts w:ascii="Arial" w:hAnsi="Arial" w:cs="Arial"/>
                <w:sz w:val="18"/>
                <w:szCs w:val="18"/>
                <w:vertAlign w:val="subscript"/>
              </w:rPr>
              <w:t>2</w:t>
            </w:r>
            <w:r>
              <w:rPr>
                <w:rFonts w:ascii="Arial" w:hAnsi="Arial" w:cs="Arial"/>
                <w:sz w:val="18"/>
                <w:szCs w:val="18"/>
              </w:rPr>
              <w:t>-e from the quantity of waste produced</w:t>
            </w:r>
          </w:p>
        </w:tc>
      </w:tr>
    </w:tbl>
    <w:p w14:paraId="11F13B0A" w14:textId="77777777" w:rsidR="00010E2E" w:rsidRDefault="00010E2E">
      <w:pPr>
        <w:pStyle w:val="BodyText"/>
        <w:tabs>
          <w:tab w:val="left" w:pos="0"/>
          <w:tab w:val="left" w:pos="2250"/>
        </w:tabs>
        <w:spacing w:before="120" w:after="0" w:line="312" w:lineRule="auto"/>
        <w:ind w:left="0"/>
        <w:rPr>
          <w:rFonts w:ascii="Arial" w:hAnsi="Arial" w:cs="Arial"/>
        </w:rPr>
      </w:pPr>
      <w:r>
        <w:rPr>
          <w:rFonts w:ascii="Arial" w:hAnsi="Arial" w:cs="Arial"/>
          <w:b/>
          <w:bCs/>
        </w:rPr>
        <w:t>Note</w:t>
      </w:r>
      <w:r>
        <w:rPr>
          <w:rFonts w:ascii="Arial" w:hAnsi="Arial" w:cs="Arial"/>
        </w:rPr>
        <w:t>: The CH</w:t>
      </w:r>
      <w:r>
        <w:rPr>
          <w:rFonts w:ascii="Arial" w:hAnsi="Arial" w:cs="Arial"/>
          <w:vertAlign w:val="subscript"/>
        </w:rPr>
        <w:t>4</w:t>
      </w:r>
      <w:r>
        <w:rPr>
          <w:rFonts w:ascii="Arial" w:hAnsi="Arial" w:cs="Arial"/>
        </w:rPr>
        <w:t xml:space="preserve"> recovered must be subtracted from the amount generated before applying the oxidation factor because only the landfill gas that is not captured is subject to oxidation.</w:t>
      </w:r>
    </w:p>
    <w:p w14:paraId="6E72A10F" w14:textId="77777777" w:rsidR="00010E2E" w:rsidRDefault="00010E2E">
      <w:pPr>
        <w:pStyle w:val="BodyText"/>
        <w:tabs>
          <w:tab w:val="left" w:pos="0"/>
          <w:tab w:val="left" w:pos="2250"/>
        </w:tabs>
        <w:spacing w:before="120" w:after="0" w:line="312" w:lineRule="auto"/>
        <w:ind w:left="0"/>
        <w:rPr>
          <w:rFonts w:ascii="Arial" w:hAnsi="Arial"/>
        </w:rPr>
      </w:pPr>
    </w:p>
    <w:p w14:paraId="3E999FA8" w14:textId="77777777" w:rsidR="00E025B4" w:rsidRDefault="00E025B4">
      <w:pPr>
        <w:ind w:left="0"/>
        <w:rPr>
          <w:rFonts w:ascii="Arial" w:hAnsi="Arial"/>
        </w:rPr>
      </w:pPr>
      <w:bookmarkStart w:id="171" w:name="_Toc391646729"/>
      <w:r>
        <w:br w:type="page"/>
      </w:r>
    </w:p>
    <w:p w14:paraId="268EB664" w14:textId="14D1048D" w:rsidR="00D76245" w:rsidRDefault="00C23E3B" w:rsidP="00C23E3B">
      <w:pPr>
        <w:pStyle w:val="Caption"/>
      </w:pPr>
      <w:bookmarkStart w:id="172" w:name="_Toc485728152"/>
      <w:bookmarkEnd w:id="171"/>
      <w:r>
        <w:t xml:space="preserve">Table </w:t>
      </w:r>
      <w:fldSimple w:instr=" SEQ Table \* ARABIC ">
        <w:r w:rsidR="004A1330">
          <w:rPr>
            <w:noProof/>
          </w:rPr>
          <w:t>44</w:t>
        </w:r>
      </w:fldSimple>
      <w:r>
        <w:t xml:space="preserve">: </w:t>
      </w:r>
      <w:r w:rsidRPr="00C23E3B">
        <w:t>Waste emission factors for total waste disposed to landfill by broad waste stream category</w:t>
      </w:r>
      <w:bookmarkEnd w:id="17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6"/>
        <w:gridCol w:w="1881"/>
        <w:gridCol w:w="1881"/>
        <w:gridCol w:w="1881"/>
      </w:tblGrid>
      <w:tr w:rsidR="00010E2E" w14:paraId="3882A8C8" w14:textId="77777777" w:rsidTr="00E719D0">
        <w:trPr>
          <w:cantSplit/>
        </w:trPr>
        <w:tc>
          <w:tcPr>
            <w:tcW w:w="2691" w:type="dxa"/>
            <w:vMerge w:val="restart"/>
            <w:shd w:val="pct15" w:color="auto" w:fill="auto"/>
            <w:vAlign w:val="center"/>
          </w:tcPr>
          <w:p w14:paraId="4BF7E34F" w14:textId="77777777" w:rsidR="00010E2E" w:rsidRDefault="00010E2E" w:rsidP="00E719D0">
            <w:pPr>
              <w:pStyle w:val="Table"/>
              <w:tabs>
                <w:tab w:val="left" w:pos="0"/>
                <w:tab w:val="left" w:pos="2250"/>
              </w:tabs>
              <w:spacing w:before="120"/>
              <w:jc w:val="center"/>
              <w:rPr>
                <w:b/>
                <w:bCs/>
              </w:rPr>
            </w:pPr>
            <w:r>
              <w:rPr>
                <w:b/>
                <w:bCs/>
              </w:rPr>
              <w:t>Waste types</w:t>
            </w:r>
          </w:p>
        </w:tc>
        <w:tc>
          <w:tcPr>
            <w:tcW w:w="1908" w:type="dxa"/>
            <w:shd w:val="pct15" w:color="auto" w:fill="auto"/>
            <w:vAlign w:val="center"/>
          </w:tcPr>
          <w:p w14:paraId="7FD82463" w14:textId="77777777" w:rsidR="00010E2E" w:rsidRDefault="00010E2E" w:rsidP="00E719D0">
            <w:pPr>
              <w:pStyle w:val="TableCentre"/>
              <w:tabs>
                <w:tab w:val="left" w:pos="0"/>
                <w:tab w:val="left" w:pos="2250"/>
              </w:tabs>
              <w:spacing w:before="120"/>
              <w:rPr>
                <w:b/>
                <w:bCs/>
              </w:rPr>
            </w:pPr>
            <w:r>
              <w:rPr>
                <w:b/>
                <w:bCs/>
              </w:rPr>
              <w:t>Municipal solid waste</w:t>
            </w:r>
          </w:p>
        </w:tc>
        <w:tc>
          <w:tcPr>
            <w:tcW w:w="1908" w:type="dxa"/>
            <w:shd w:val="pct15" w:color="auto" w:fill="auto"/>
            <w:vAlign w:val="center"/>
          </w:tcPr>
          <w:p w14:paraId="21F8F03D" w14:textId="77777777" w:rsidR="00010E2E" w:rsidRDefault="00010E2E" w:rsidP="00E719D0">
            <w:pPr>
              <w:pStyle w:val="TableCentre"/>
              <w:tabs>
                <w:tab w:val="left" w:pos="0"/>
                <w:tab w:val="left" w:pos="2250"/>
              </w:tabs>
              <w:spacing w:before="120"/>
              <w:rPr>
                <w:b/>
                <w:bCs/>
              </w:rPr>
            </w:pPr>
            <w:r>
              <w:rPr>
                <w:b/>
                <w:bCs/>
              </w:rPr>
              <w:t>Commercial and industrial waste</w:t>
            </w:r>
          </w:p>
        </w:tc>
        <w:tc>
          <w:tcPr>
            <w:tcW w:w="1908" w:type="dxa"/>
            <w:shd w:val="pct15" w:color="auto" w:fill="auto"/>
            <w:vAlign w:val="center"/>
          </w:tcPr>
          <w:p w14:paraId="66251AD1" w14:textId="77777777" w:rsidR="00010E2E" w:rsidRDefault="00010E2E" w:rsidP="00E719D0">
            <w:pPr>
              <w:pStyle w:val="TableCentre"/>
              <w:tabs>
                <w:tab w:val="left" w:pos="0"/>
                <w:tab w:val="left" w:pos="2250"/>
              </w:tabs>
              <w:spacing w:before="120"/>
              <w:rPr>
                <w:b/>
                <w:bCs/>
              </w:rPr>
            </w:pPr>
            <w:r>
              <w:rPr>
                <w:b/>
                <w:bCs/>
              </w:rPr>
              <w:t>Construction and demolition waste</w:t>
            </w:r>
          </w:p>
        </w:tc>
      </w:tr>
      <w:tr w:rsidR="00010E2E" w14:paraId="2C173E94" w14:textId="77777777" w:rsidTr="00E719D0">
        <w:trPr>
          <w:cantSplit/>
        </w:trPr>
        <w:tc>
          <w:tcPr>
            <w:tcW w:w="2691" w:type="dxa"/>
            <w:vMerge/>
            <w:shd w:val="pct15" w:color="auto" w:fill="auto"/>
            <w:vAlign w:val="center"/>
          </w:tcPr>
          <w:p w14:paraId="0791C6DE" w14:textId="77777777" w:rsidR="00010E2E" w:rsidRDefault="00010E2E" w:rsidP="00E719D0">
            <w:pPr>
              <w:pStyle w:val="Table"/>
              <w:tabs>
                <w:tab w:val="left" w:pos="0"/>
                <w:tab w:val="left" w:pos="2250"/>
              </w:tabs>
              <w:spacing w:before="120"/>
              <w:jc w:val="center"/>
              <w:rPr>
                <w:b/>
                <w:bCs/>
              </w:rPr>
            </w:pPr>
          </w:p>
        </w:tc>
        <w:tc>
          <w:tcPr>
            <w:tcW w:w="1908" w:type="dxa"/>
            <w:shd w:val="pct15" w:color="auto" w:fill="auto"/>
            <w:vAlign w:val="center"/>
          </w:tcPr>
          <w:p w14:paraId="7E86EDB0" w14:textId="77777777" w:rsidR="00010E2E" w:rsidRDefault="00010E2E" w:rsidP="00E719D0">
            <w:pPr>
              <w:pStyle w:val="TableCentre"/>
              <w:tabs>
                <w:tab w:val="left" w:pos="0"/>
                <w:tab w:val="left" w:pos="2250"/>
              </w:tabs>
              <w:spacing w:before="120"/>
              <w:rPr>
                <w:b/>
                <w:bCs/>
              </w:rPr>
            </w:pPr>
            <w:r>
              <w:rPr>
                <w:b/>
                <w:bCs/>
              </w:rPr>
              <w:t>A</w:t>
            </w:r>
          </w:p>
        </w:tc>
        <w:tc>
          <w:tcPr>
            <w:tcW w:w="1908" w:type="dxa"/>
            <w:shd w:val="pct15" w:color="auto" w:fill="auto"/>
            <w:vAlign w:val="center"/>
          </w:tcPr>
          <w:p w14:paraId="19597E3D" w14:textId="77777777" w:rsidR="00010E2E" w:rsidRDefault="00010E2E" w:rsidP="00E719D0">
            <w:pPr>
              <w:pStyle w:val="TableCentre"/>
              <w:tabs>
                <w:tab w:val="left" w:pos="0"/>
                <w:tab w:val="left" w:pos="2250"/>
              </w:tabs>
              <w:spacing w:before="120"/>
              <w:rPr>
                <w:b/>
                <w:bCs/>
              </w:rPr>
            </w:pPr>
            <w:r>
              <w:rPr>
                <w:b/>
                <w:bCs/>
              </w:rPr>
              <w:t>B</w:t>
            </w:r>
          </w:p>
        </w:tc>
        <w:tc>
          <w:tcPr>
            <w:tcW w:w="1908" w:type="dxa"/>
            <w:shd w:val="pct15" w:color="auto" w:fill="auto"/>
            <w:vAlign w:val="center"/>
          </w:tcPr>
          <w:p w14:paraId="194CA309" w14:textId="77777777" w:rsidR="00010E2E" w:rsidRDefault="00010E2E" w:rsidP="00E719D0">
            <w:pPr>
              <w:pStyle w:val="TableCentre"/>
              <w:tabs>
                <w:tab w:val="left" w:pos="0"/>
                <w:tab w:val="left" w:pos="2250"/>
              </w:tabs>
              <w:spacing w:before="120"/>
              <w:rPr>
                <w:b/>
                <w:bCs/>
              </w:rPr>
            </w:pPr>
            <w:r>
              <w:rPr>
                <w:b/>
                <w:bCs/>
              </w:rPr>
              <w:t>C</w:t>
            </w:r>
          </w:p>
        </w:tc>
      </w:tr>
      <w:tr w:rsidR="00120FC1" w14:paraId="4BE7E849" w14:textId="77777777">
        <w:tc>
          <w:tcPr>
            <w:tcW w:w="2691" w:type="dxa"/>
          </w:tcPr>
          <w:p w14:paraId="12C870FC" w14:textId="77777777" w:rsidR="00120FC1" w:rsidRDefault="00120FC1">
            <w:pPr>
              <w:pStyle w:val="Table"/>
              <w:tabs>
                <w:tab w:val="left" w:pos="0"/>
                <w:tab w:val="left" w:pos="2250"/>
              </w:tabs>
              <w:spacing w:before="120"/>
            </w:pPr>
            <w:r>
              <w:t>Emission factor (t CO</w:t>
            </w:r>
            <w:r>
              <w:rPr>
                <w:rStyle w:val="Subscript"/>
              </w:rPr>
              <w:t>2</w:t>
            </w:r>
            <w:r>
              <w:t>-e/t waste)</w:t>
            </w:r>
          </w:p>
        </w:tc>
        <w:tc>
          <w:tcPr>
            <w:tcW w:w="1908" w:type="dxa"/>
          </w:tcPr>
          <w:p w14:paraId="2EA33662" w14:textId="77777777" w:rsidR="00120FC1" w:rsidRDefault="00120FC1" w:rsidP="00100366">
            <w:pPr>
              <w:tabs>
                <w:tab w:val="left" w:pos="0"/>
                <w:tab w:val="left" w:pos="2250"/>
              </w:tabs>
              <w:spacing w:before="120" w:line="312" w:lineRule="auto"/>
              <w:jc w:val="center"/>
              <w:rPr>
                <w:rFonts w:ascii="Arial" w:hAnsi="Arial" w:cs="Arial"/>
              </w:rPr>
            </w:pPr>
            <w:r>
              <w:rPr>
                <w:rFonts w:ascii="Arial" w:hAnsi="Arial" w:cs="Arial"/>
              </w:rPr>
              <w:t>1.</w:t>
            </w:r>
            <w:r w:rsidR="00100366">
              <w:rPr>
                <w:rFonts w:ascii="Arial" w:hAnsi="Arial" w:cs="Arial"/>
              </w:rPr>
              <w:t>4</w:t>
            </w:r>
          </w:p>
        </w:tc>
        <w:tc>
          <w:tcPr>
            <w:tcW w:w="1908" w:type="dxa"/>
          </w:tcPr>
          <w:p w14:paraId="466A2857" w14:textId="77777777" w:rsidR="00120FC1" w:rsidRDefault="00120FC1" w:rsidP="00E97027">
            <w:pPr>
              <w:tabs>
                <w:tab w:val="left" w:pos="0"/>
                <w:tab w:val="left" w:pos="2250"/>
              </w:tabs>
              <w:spacing w:before="120" w:line="312" w:lineRule="auto"/>
              <w:jc w:val="center"/>
              <w:rPr>
                <w:rFonts w:ascii="Arial" w:hAnsi="Arial" w:cs="Arial"/>
              </w:rPr>
            </w:pPr>
            <w:r>
              <w:rPr>
                <w:rFonts w:ascii="Arial" w:hAnsi="Arial" w:cs="Arial"/>
              </w:rPr>
              <w:t>1.</w:t>
            </w:r>
            <w:r w:rsidR="00E97027">
              <w:rPr>
                <w:rFonts w:ascii="Arial" w:hAnsi="Arial" w:cs="Arial"/>
              </w:rPr>
              <w:t>2</w:t>
            </w:r>
          </w:p>
        </w:tc>
        <w:tc>
          <w:tcPr>
            <w:tcW w:w="1908" w:type="dxa"/>
          </w:tcPr>
          <w:p w14:paraId="719A6A2B" w14:textId="77777777" w:rsidR="00120FC1" w:rsidRDefault="00120FC1">
            <w:pPr>
              <w:tabs>
                <w:tab w:val="left" w:pos="0"/>
                <w:tab w:val="left" w:pos="2250"/>
              </w:tabs>
              <w:spacing w:before="120" w:line="312" w:lineRule="auto"/>
              <w:jc w:val="center"/>
              <w:rPr>
                <w:rFonts w:ascii="Arial" w:hAnsi="Arial" w:cs="Arial"/>
              </w:rPr>
            </w:pPr>
            <w:r>
              <w:rPr>
                <w:rFonts w:ascii="Arial" w:hAnsi="Arial" w:cs="Arial"/>
              </w:rPr>
              <w:t>0.2</w:t>
            </w:r>
          </w:p>
        </w:tc>
      </w:tr>
    </w:tbl>
    <w:p w14:paraId="1AC70B51" w14:textId="77777777" w:rsidR="00010E2E" w:rsidRPr="001A006E" w:rsidRDefault="00010E2E">
      <w:pPr>
        <w:pStyle w:val="BodyText"/>
        <w:tabs>
          <w:tab w:val="left" w:pos="0"/>
          <w:tab w:val="left" w:pos="90"/>
        </w:tabs>
        <w:spacing w:before="120" w:after="0" w:line="312" w:lineRule="auto"/>
        <w:ind w:left="0"/>
        <w:rPr>
          <w:rFonts w:ascii="Arial" w:hAnsi="Arial" w:cs="Arial"/>
          <w:b/>
          <w:bCs/>
          <w:sz w:val="16"/>
          <w:szCs w:val="16"/>
        </w:rPr>
      </w:pPr>
      <w:r>
        <w:rPr>
          <w:rFonts w:ascii="Arial" w:hAnsi="Arial" w:cs="Arial"/>
          <w:b/>
          <w:bCs/>
          <w:sz w:val="16"/>
          <w:szCs w:val="16"/>
        </w:rPr>
        <w:t>Note:</w:t>
      </w:r>
      <w:r>
        <w:rPr>
          <w:rFonts w:ascii="Arial" w:hAnsi="Arial" w:cs="Arial"/>
          <w:sz w:val="16"/>
          <w:szCs w:val="16"/>
        </w:rPr>
        <w:t xml:space="preserve"> </w:t>
      </w:r>
      <w:r>
        <w:rPr>
          <w:rFonts w:ascii="Arial" w:hAnsi="Arial" w:cs="Arial"/>
          <w:sz w:val="16"/>
          <w:szCs w:val="16"/>
        </w:rPr>
        <w:tab/>
      </w:r>
      <w:r w:rsidRPr="001A006E">
        <w:rPr>
          <w:rFonts w:ascii="Arial" w:hAnsi="Arial" w:cs="Arial"/>
          <w:sz w:val="16"/>
          <w:szCs w:val="16"/>
        </w:rPr>
        <w:t>Organisations that have data on their own waste streams and waste mix should use that data.</w:t>
      </w:r>
    </w:p>
    <w:p w14:paraId="6109F140" w14:textId="77777777" w:rsidR="008B7F00" w:rsidRDefault="00010E2E">
      <w:pPr>
        <w:pStyle w:val="BodyText"/>
        <w:tabs>
          <w:tab w:val="left" w:pos="0"/>
          <w:tab w:val="left" w:pos="90"/>
        </w:tabs>
        <w:spacing w:after="0" w:line="312" w:lineRule="auto"/>
        <w:ind w:left="0"/>
      </w:pPr>
      <w:r w:rsidRPr="001A006E">
        <w:rPr>
          <w:rFonts w:ascii="Arial" w:hAnsi="Arial" w:cs="Arial"/>
          <w:b/>
          <w:bCs/>
          <w:sz w:val="16"/>
          <w:szCs w:val="16"/>
        </w:rPr>
        <w:t>Source:</w:t>
      </w:r>
      <w:r w:rsidRPr="001A006E">
        <w:rPr>
          <w:rFonts w:ascii="Arial" w:hAnsi="Arial" w:cs="Arial"/>
          <w:sz w:val="16"/>
          <w:szCs w:val="16"/>
        </w:rPr>
        <w:t xml:space="preserve"> </w:t>
      </w:r>
      <w:r w:rsidRPr="001A006E">
        <w:rPr>
          <w:rFonts w:ascii="Arial" w:hAnsi="Arial" w:cs="Arial"/>
          <w:sz w:val="16"/>
          <w:szCs w:val="16"/>
        </w:rPr>
        <w:tab/>
      </w:r>
      <w:r w:rsidR="000B79B3" w:rsidRPr="001A006E">
        <w:rPr>
          <w:rFonts w:ascii="Arial" w:hAnsi="Arial" w:cs="Arial"/>
          <w:sz w:val="16"/>
          <w:szCs w:val="16"/>
        </w:rPr>
        <w:t xml:space="preserve">Derived from National Greenhouse and Energy Reporting (Measurement) Determination </w:t>
      </w:r>
      <w:r w:rsidR="00FA3080">
        <w:rPr>
          <w:rFonts w:ascii="Arial" w:hAnsi="Arial" w:cs="Arial"/>
          <w:sz w:val="16"/>
          <w:szCs w:val="16"/>
        </w:rPr>
        <w:t>2008</w:t>
      </w:r>
      <w:r w:rsidR="000B79B3" w:rsidRPr="001A006E">
        <w:rPr>
          <w:rFonts w:ascii="Arial" w:hAnsi="Arial" w:cs="Arial"/>
          <w:sz w:val="16"/>
          <w:szCs w:val="16"/>
        </w:rPr>
        <w:t>.</w:t>
      </w:r>
      <w:r>
        <w:rPr>
          <w:rFonts w:ascii="Arial" w:hAnsi="Arial" w:cs="Arial"/>
          <w:sz w:val="16"/>
          <w:szCs w:val="16"/>
        </w:rPr>
        <w:t xml:space="preserve">  </w:t>
      </w:r>
    </w:p>
    <w:p w14:paraId="55790163"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b/>
          <w:bCs/>
        </w:rPr>
      </w:pPr>
      <w:r>
        <w:rPr>
          <w:rFonts w:ascii="Arial" w:hAnsi="Arial" w:cs="Arial"/>
          <w:b/>
          <w:bCs/>
        </w:rPr>
        <w:t xml:space="preserve">Example: Calculation of </w:t>
      </w:r>
      <w:r w:rsidR="00C92D98">
        <w:rPr>
          <w:rFonts w:ascii="Arial" w:hAnsi="Arial" w:cs="Arial"/>
          <w:b/>
          <w:bCs/>
        </w:rPr>
        <w:t xml:space="preserve">lifetime </w:t>
      </w:r>
      <w:r>
        <w:rPr>
          <w:rFonts w:ascii="Arial" w:hAnsi="Arial" w:cs="Arial"/>
          <w:b/>
          <w:bCs/>
        </w:rPr>
        <w:t xml:space="preserve">emissions generated from solid waste </w:t>
      </w:r>
    </w:p>
    <w:p w14:paraId="1E370457"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A higher education facility produced a total solid waste stream of 240 tonnes which was disposed of in the local landfill.  This waste comprises 140 tonnes of food waste, 50 tonnes of paper/paper board, 10 tonnes of garden and park waste and 40 tonnes of </w:t>
      </w:r>
      <w:r w:rsidR="00246F3B">
        <w:rPr>
          <w:rFonts w:ascii="Arial" w:hAnsi="Arial" w:cs="Arial"/>
        </w:rPr>
        <w:t>inert</w:t>
      </w:r>
      <w:r>
        <w:rPr>
          <w:rFonts w:ascii="Arial" w:hAnsi="Arial" w:cs="Arial"/>
        </w:rPr>
        <w:t xml:space="preserve"> waste.  No methane (R) was recovered.  As each waste stream needs to be treated separately, their </w:t>
      </w:r>
      <w:r w:rsidR="00C92D98">
        <w:rPr>
          <w:rFonts w:ascii="Arial" w:hAnsi="Arial" w:cs="Arial"/>
        </w:rPr>
        <w:t xml:space="preserve">lifetime </w:t>
      </w:r>
      <w:r>
        <w:rPr>
          <w:rFonts w:ascii="Arial" w:hAnsi="Arial" w:cs="Arial"/>
        </w:rPr>
        <w:t>greenhouse gas emissions (GHG) are calculated as follows:</w:t>
      </w:r>
    </w:p>
    <w:p w14:paraId="3FAE3B1F"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GHG emissions (t CO</w:t>
      </w:r>
      <w:r>
        <w:rPr>
          <w:rFonts w:ascii="Arial" w:hAnsi="Arial" w:cs="Arial"/>
          <w:vertAlign w:val="subscript"/>
        </w:rPr>
        <w:t>2</w:t>
      </w:r>
      <w:r>
        <w:rPr>
          <w:rFonts w:ascii="Arial" w:hAnsi="Arial" w:cs="Arial"/>
        </w:rPr>
        <w:t>-e)</w:t>
      </w:r>
      <w:r>
        <w:rPr>
          <w:rFonts w:ascii="Arial" w:hAnsi="Arial" w:cs="Arial"/>
        </w:rPr>
        <w:tab/>
        <w:t xml:space="preserve">= Qt x EF (Table </w:t>
      </w:r>
      <w:r w:rsidR="0093697A">
        <w:rPr>
          <w:rFonts w:ascii="Arial" w:hAnsi="Arial" w:cs="Arial"/>
        </w:rPr>
        <w:t>4</w:t>
      </w:r>
      <w:r w:rsidR="00BB7114">
        <w:rPr>
          <w:rFonts w:ascii="Arial" w:hAnsi="Arial" w:cs="Arial"/>
        </w:rPr>
        <w:t>1</w:t>
      </w:r>
      <w:r>
        <w:rPr>
          <w:rFonts w:ascii="Arial" w:hAnsi="Arial" w:cs="Arial"/>
        </w:rPr>
        <w:t>, Column B)</w:t>
      </w:r>
    </w:p>
    <w:p w14:paraId="1A1EF2F9" w14:textId="77777777" w:rsidR="00120FC1" w:rsidRDefault="00120FC1" w:rsidP="00120FC1">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Food </w:t>
      </w:r>
      <w:r>
        <w:rPr>
          <w:rFonts w:ascii="Arial" w:hAnsi="Arial" w:cs="Arial"/>
        </w:rPr>
        <w:tab/>
      </w:r>
      <w:r>
        <w:rPr>
          <w:rFonts w:ascii="Arial" w:hAnsi="Arial" w:cs="Arial"/>
        </w:rPr>
        <w:tab/>
        <w:t>= 140 x 1.</w:t>
      </w:r>
      <w:r w:rsidR="00100366">
        <w:rPr>
          <w:rFonts w:ascii="Arial" w:hAnsi="Arial" w:cs="Arial"/>
        </w:rPr>
        <w:t>9</w:t>
      </w:r>
      <w:r>
        <w:rPr>
          <w:rFonts w:ascii="Arial" w:hAnsi="Arial" w:cs="Arial"/>
        </w:rPr>
        <w:tab/>
        <w:t xml:space="preserve">= </w:t>
      </w:r>
      <w:r w:rsidR="00CD0938">
        <w:rPr>
          <w:rFonts w:ascii="Arial" w:hAnsi="Arial" w:cs="Arial"/>
        </w:rPr>
        <w:t xml:space="preserve">265 </w:t>
      </w:r>
      <w:r>
        <w:rPr>
          <w:rFonts w:ascii="Arial" w:hAnsi="Arial" w:cs="Arial"/>
        </w:rPr>
        <w:t>tonnes CO</w:t>
      </w:r>
      <w:r>
        <w:rPr>
          <w:rFonts w:ascii="Arial" w:hAnsi="Arial" w:cs="Arial"/>
          <w:vertAlign w:val="subscript"/>
        </w:rPr>
        <w:t>2</w:t>
      </w:r>
      <w:r>
        <w:rPr>
          <w:rFonts w:ascii="Arial" w:hAnsi="Arial" w:cs="Arial"/>
        </w:rPr>
        <w:t>-e</w:t>
      </w:r>
    </w:p>
    <w:p w14:paraId="305C04B6" w14:textId="77777777" w:rsidR="00120FC1" w:rsidRDefault="00120FC1" w:rsidP="00120FC1">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Paper </w:t>
      </w:r>
      <w:r>
        <w:rPr>
          <w:rFonts w:ascii="Arial" w:hAnsi="Arial" w:cs="Arial"/>
        </w:rPr>
        <w:tab/>
      </w:r>
      <w:r>
        <w:rPr>
          <w:rFonts w:ascii="Arial" w:hAnsi="Arial" w:cs="Arial"/>
        </w:rPr>
        <w:tab/>
        <w:t>= 50 x 2.</w:t>
      </w:r>
      <w:r w:rsidR="00100366">
        <w:rPr>
          <w:rFonts w:ascii="Arial" w:hAnsi="Arial" w:cs="Arial"/>
        </w:rPr>
        <w:t>9</w:t>
      </w:r>
      <w:r>
        <w:rPr>
          <w:rFonts w:ascii="Arial" w:hAnsi="Arial" w:cs="Arial"/>
        </w:rPr>
        <w:tab/>
        <w:t xml:space="preserve">= </w:t>
      </w:r>
      <w:r w:rsidR="00CD0938">
        <w:rPr>
          <w:rFonts w:ascii="Arial" w:hAnsi="Arial" w:cs="Arial"/>
        </w:rPr>
        <w:t xml:space="preserve">147 </w:t>
      </w:r>
      <w:r>
        <w:rPr>
          <w:rFonts w:ascii="Arial" w:hAnsi="Arial" w:cs="Arial"/>
        </w:rPr>
        <w:t>tonnes CO</w:t>
      </w:r>
      <w:r>
        <w:rPr>
          <w:rFonts w:ascii="Arial" w:hAnsi="Arial" w:cs="Arial"/>
          <w:vertAlign w:val="subscript"/>
        </w:rPr>
        <w:t>2</w:t>
      </w:r>
      <w:r>
        <w:rPr>
          <w:rFonts w:ascii="Arial" w:hAnsi="Arial" w:cs="Arial"/>
        </w:rPr>
        <w:t>-e</w:t>
      </w:r>
    </w:p>
    <w:p w14:paraId="552D942E" w14:textId="77777777" w:rsidR="00120FC1" w:rsidRDefault="00120FC1" w:rsidP="00120FC1">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Garden</w:t>
      </w:r>
      <w:r>
        <w:rPr>
          <w:rFonts w:ascii="Arial" w:hAnsi="Arial" w:cs="Arial"/>
        </w:rPr>
        <w:tab/>
      </w:r>
      <w:r>
        <w:rPr>
          <w:rFonts w:ascii="Arial" w:hAnsi="Arial" w:cs="Arial"/>
        </w:rPr>
        <w:tab/>
        <w:t>= 10 x1.</w:t>
      </w:r>
      <w:r w:rsidR="00CD0938">
        <w:rPr>
          <w:rFonts w:ascii="Arial" w:hAnsi="Arial" w:cs="Arial"/>
        </w:rPr>
        <w:t>4</w:t>
      </w:r>
      <w:r>
        <w:rPr>
          <w:rFonts w:ascii="Arial" w:hAnsi="Arial" w:cs="Arial"/>
        </w:rPr>
        <w:tab/>
        <w:t xml:space="preserve">= </w:t>
      </w:r>
      <w:r w:rsidR="00CD0938">
        <w:rPr>
          <w:rFonts w:ascii="Arial" w:hAnsi="Arial" w:cs="Arial"/>
        </w:rPr>
        <w:t xml:space="preserve">14 </w:t>
      </w:r>
      <w:r>
        <w:rPr>
          <w:rFonts w:ascii="Arial" w:hAnsi="Arial" w:cs="Arial"/>
        </w:rPr>
        <w:t>tonnes CO</w:t>
      </w:r>
      <w:r>
        <w:rPr>
          <w:rFonts w:ascii="Arial" w:hAnsi="Arial" w:cs="Arial"/>
          <w:vertAlign w:val="subscript"/>
        </w:rPr>
        <w:t>2</w:t>
      </w:r>
      <w:r>
        <w:rPr>
          <w:rFonts w:ascii="Arial" w:hAnsi="Arial" w:cs="Arial"/>
        </w:rPr>
        <w:t>-e</w:t>
      </w:r>
    </w:p>
    <w:p w14:paraId="509A8F49" w14:textId="77777777" w:rsidR="00120FC1" w:rsidRDefault="00BD666C" w:rsidP="00120FC1">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Inert</w:t>
      </w:r>
      <w:r w:rsidR="00120FC1">
        <w:rPr>
          <w:rFonts w:ascii="Arial" w:hAnsi="Arial" w:cs="Arial"/>
        </w:rPr>
        <w:tab/>
      </w:r>
      <w:r w:rsidR="00120FC1">
        <w:rPr>
          <w:rFonts w:ascii="Arial" w:hAnsi="Arial" w:cs="Arial"/>
        </w:rPr>
        <w:tab/>
        <w:t>= 40 x 0.0</w:t>
      </w:r>
      <w:r w:rsidR="00120FC1">
        <w:rPr>
          <w:rFonts w:ascii="Arial" w:hAnsi="Arial" w:cs="Arial"/>
        </w:rPr>
        <w:tab/>
        <w:t>= 0 tonnes CO</w:t>
      </w:r>
      <w:r w:rsidR="00120FC1">
        <w:rPr>
          <w:rFonts w:ascii="Arial" w:hAnsi="Arial" w:cs="Arial"/>
          <w:vertAlign w:val="subscript"/>
        </w:rPr>
        <w:t>2</w:t>
      </w:r>
      <w:r w:rsidR="00120FC1">
        <w:rPr>
          <w:rFonts w:ascii="Arial" w:hAnsi="Arial" w:cs="Arial"/>
        </w:rPr>
        <w:t xml:space="preserve">-e </w:t>
      </w:r>
    </w:p>
    <w:p w14:paraId="5477D6E8" w14:textId="77777777" w:rsidR="00120FC1" w:rsidRDefault="00120FC1" w:rsidP="00120FC1">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Total Waste GHG emissions = </w:t>
      </w:r>
      <w:r w:rsidR="00CD0938">
        <w:rPr>
          <w:rFonts w:ascii="Arial" w:hAnsi="Arial" w:cs="Arial"/>
        </w:rPr>
        <w:t xml:space="preserve">426 </w:t>
      </w:r>
      <w:r>
        <w:rPr>
          <w:rFonts w:ascii="Arial" w:hAnsi="Arial" w:cs="Arial"/>
        </w:rPr>
        <w:t>tonnes CO</w:t>
      </w:r>
      <w:r>
        <w:rPr>
          <w:rFonts w:ascii="Arial" w:hAnsi="Arial" w:cs="Arial"/>
          <w:vertAlign w:val="subscript"/>
        </w:rPr>
        <w:t>2</w:t>
      </w:r>
      <w:r>
        <w:rPr>
          <w:rFonts w:ascii="Arial" w:hAnsi="Arial" w:cs="Arial"/>
        </w:rPr>
        <w:t>-e</w:t>
      </w:r>
    </w:p>
    <w:p w14:paraId="147C77FF"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b/>
          <w:bCs/>
        </w:rPr>
      </w:pPr>
      <w:r>
        <w:rPr>
          <w:rFonts w:ascii="Arial" w:hAnsi="Arial" w:cs="Arial"/>
          <w:b/>
          <w:bCs/>
        </w:rPr>
        <w:t xml:space="preserve">Example: Calculation of </w:t>
      </w:r>
      <w:r w:rsidR="00C92D98">
        <w:rPr>
          <w:rFonts w:ascii="Arial" w:hAnsi="Arial" w:cs="Arial"/>
          <w:b/>
          <w:bCs/>
        </w:rPr>
        <w:t xml:space="preserve">lifetime </w:t>
      </w:r>
      <w:r>
        <w:rPr>
          <w:rFonts w:ascii="Arial" w:hAnsi="Arial" w:cs="Arial"/>
          <w:b/>
          <w:bCs/>
        </w:rPr>
        <w:t>emissions generated from waste of unknown composition</w:t>
      </w:r>
    </w:p>
    <w:p w14:paraId="061432D4"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A commercial company in the finance industry disposes 1 kilotonne of commercial and industrial waste. </w:t>
      </w:r>
    </w:p>
    <w:p w14:paraId="4FEEA38A" w14:textId="77777777" w:rsidR="00010E2E" w:rsidRDefault="00010E2E">
      <w:pPr>
        <w:pStyle w:val="BodyText"/>
        <w:pBdr>
          <w:top w:val="single" w:sz="4" w:space="1" w:color="000000"/>
          <w:left w:val="single" w:sz="4" w:space="4"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GHG emissions (t CO</w:t>
      </w:r>
      <w:r>
        <w:rPr>
          <w:rFonts w:ascii="Arial" w:hAnsi="Arial" w:cs="Arial"/>
          <w:vertAlign w:val="subscript"/>
        </w:rPr>
        <w:t>2</w:t>
      </w:r>
      <w:r>
        <w:rPr>
          <w:rFonts w:ascii="Arial" w:hAnsi="Arial" w:cs="Arial"/>
        </w:rPr>
        <w:t>-e)</w:t>
      </w:r>
      <w:r>
        <w:rPr>
          <w:rFonts w:ascii="Arial" w:hAnsi="Arial" w:cs="Arial"/>
        </w:rPr>
        <w:tab/>
        <w:t xml:space="preserve">= Q x EF (Table </w:t>
      </w:r>
      <w:r w:rsidR="00152C5F">
        <w:rPr>
          <w:rFonts w:ascii="Arial" w:hAnsi="Arial" w:cs="Arial"/>
        </w:rPr>
        <w:t>44</w:t>
      </w:r>
      <w:r>
        <w:rPr>
          <w:rFonts w:ascii="Arial" w:hAnsi="Arial" w:cs="Arial"/>
        </w:rPr>
        <w:t xml:space="preserve">, Column B) = 1000 t x </w:t>
      </w:r>
      <w:r w:rsidR="00AE785A">
        <w:rPr>
          <w:rFonts w:ascii="Arial" w:hAnsi="Arial" w:cs="Arial"/>
        </w:rPr>
        <w:t>1.</w:t>
      </w:r>
      <w:r w:rsidR="00E97027">
        <w:rPr>
          <w:rFonts w:ascii="Arial" w:hAnsi="Arial" w:cs="Arial"/>
        </w:rPr>
        <w:t>2</w:t>
      </w:r>
      <w:r w:rsidR="00CD0938">
        <w:rPr>
          <w:rFonts w:ascii="Arial" w:hAnsi="Arial" w:cs="Arial"/>
        </w:rPr>
        <w:t xml:space="preserve"> </w:t>
      </w:r>
      <w:r>
        <w:rPr>
          <w:rFonts w:ascii="Arial" w:hAnsi="Arial" w:cs="Arial"/>
        </w:rPr>
        <w:t xml:space="preserve">= </w:t>
      </w:r>
      <w:r w:rsidR="00E97027">
        <w:rPr>
          <w:rFonts w:ascii="Arial" w:hAnsi="Arial" w:cs="Arial"/>
        </w:rPr>
        <w:t>1200</w:t>
      </w:r>
      <w:r w:rsidR="00CD0938">
        <w:rPr>
          <w:rFonts w:ascii="Arial" w:hAnsi="Arial" w:cs="Arial"/>
        </w:rPr>
        <w:t xml:space="preserve"> </w:t>
      </w:r>
      <w:r>
        <w:rPr>
          <w:rFonts w:ascii="Arial" w:hAnsi="Arial" w:cs="Arial"/>
        </w:rPr>
        <w:t>t CO</w:t>
      </w:r>
      <w:r>
        <w:rPr>
          <w:rFonts w:ascii="Arial" w:hAnsi="Arial" w:cs="Arial"/>
          <w:vertAlign w:val="subscript"/>
        </w:rPr>
        <w:t>2</w:t>
      </w:r>
      <w:r>
        <w:rPr>
          <w:rFonts w:ascii="Arial" w:hAnsi="Arial" w:cs="Arial"/>
        </w:rPr>
        <w:t>-e</w:t>
      </w:r>
    </w:p>
    <w:p w14:paraId="1104CBA3" w14:textId="77777777" w:rsidR="00010E2E" w:rsidRDefault="00010E2E">
      <w:pPr>
        <w:pStyle w:val="BodyText"/>
        <w:tabs>
          <w:tab w:val="left" w:pos="-90"/>
          <w:tab w:val="left" w:pos="0"/>
        </w:tabs>
        <w:spacing w:before="120" w:after="0" w:line="312" w:lineRule="auto"/>
        <w:ind w:left="0"/>
        <w:rPr>
          <w:rFonts w:ascii="Arial" w:hAnsi="Arial" w:cs="Arial"/>
        </w:rPr>
      </w:pPr>
    </w:p>
    <w:p w14:paraId="0004F247" w14:textId="77777777" w:rsidR="00010E2E" w:rsidRDefault="00010E2E">
      <w:pPr>
        <w:autoSpaceDE w:val="0"/>
        <w:autoSpaceDN w:val="0"/>
        <w:adjustRightInd w:val="0"/>
        <w:ind w:left="0"/>
        <w:rPr>
          <w:rFonts w:ascii="Arial" w:hAnsi="Arial" w:cs="Arial"/>
          <w:bCs/>
          <w:i/>
          <w:sz w:val="22"/>
          <w:szCs w:val="22"/>
          <w:u w:val="single"/>
          <w:lang w:eastAsia="en-AU"/>
        </w:rPr>
      </w:pPr>
      <w:r>
        <w:rPr>
          <w:rFonts w:ascii="Arial" w:hAnsi="Arial" w:cs="Arial"/>
          <w:bCs/>
          <w:i/>
          <w:sz w:val="22"/>
          <w:szCs w:val="22"/>
          <w:u w:val="single"/>
          <w:lang w:eastAsia="en-AU"/>
        </w:rPr>
        <w:t xml:space="preserve">Wastewater </w:t>
      </w:r>
      <w:r w:rsidR="007E139F">
        <w:rPr>
          <w:rFonts w:ascii="Arial" w:hAnsi="Arial" w:cs="Arial"/>
          <w:bCs/>
          <w:i/>
          <w:sz w:val="22"/>
          <w:szCs w:val="22"/>
          <w:u w:val="single"/>
          <w:lang w:eastAsia="en-AU"/>
        </w:rPr>
        <w:t>handling (</w:t>
      </w:r>
      <w:r>
        <w:rPr>
          <w:rFonts w:ascii="Arial" w:hAnsi="Arial" w:cs="Arial"/>
          <w:bCs/>
          <w:i/>
          <w:sz w:val="22"/>
          <w:szCs w:val="22"/>
          <w:u w:val="single"/>
          <w:lang w:eastAsia="en-AU"/>
        </w:rPr>
        <w:t>domestic and commercial)</w:t>
      </w:r>
    </w:p>
    <w:p w14:paraId="58CF3AE6" w14:textId="77777777" w:rsidR="00010E2E" w:rsidRDefault="00010E2E">
      <w:pPr>
        <w:pStyle w:val="BodyText"/>
        <w:tabs>
          <w:tab w:val="left" w:pos="-90"/>
          <w:tab w:val="left" w:pos="0"/>
        </w:tabs>
        <w:spacing w:before="120" w:after="0" w:line="312" w:lineRule="auto"/>
        <w:ind w:left="0"/>
        <w:rPr>
          <w:rFonts w:ascii="Arial" w:hAnsi="Arial" w:cs="Arial"/>
        </w:rPr>
      </w:pPr>
    </w:p>
    <w:p w14:paraId="211370BC" w14:textId="77777777" w:rsidR="00010E2E" w:rsidRDefault="00010E2E">
      <w:pPr>
        <w:pStyle w:val="BodyText"/>
        <w:tabs>
          <w:tab w:val="left" w:pos="-90"/>
          <w:tab w:val="left" w:pos="0"/>
        </w:tabs>
        <w:spacing w:before="120" w:after="0" w:line="312" w:lineRule="auto"/>
        <w:ind w:left="0"/>
        <w:rPr>
          <w:rFonts w:ascii="Arial" w:hAnsi="Arial" w:cs="Arial"/>
        </w:rPr>
      </w:pPr>
      <w:r>
        <w:rPr>
          <w:rFonts w:ascii="Arial" w:hAnsi="Arial" w:cs="Arial"/>
        </w:rPr>
        <w:t>Total greenhouse gas emissions from municipal wastewater are the sum of emissions from wastewater treatment and sludge treatment. The total quantity of wastewater treated depends on the population that is generating wastewater.</w:t>
      </w:r>
    </w:p>
    <w:p w14:paraId="01D8A236" w14:textId="77777777" w:rsidR="00120FC1" w:rsidRDefault="00120FC1" w:rsidP="00120FC1">
      <w:pPr>
        <w:pStyle w:val="BodyText"/>
        <w:tabs>
          <w:tab w:val="left" w:pos="-90"/>
          <w:tab w:val="left" w:pos="0"/>
        </w:tabs>
        <w:spacing w:before="120" w:after="0" w:line="312" w:lineRule="auto"/>
        <w:ind w:left="0"/>
        <w:rPr>
          <w:rFonts w:ascii="Arial" w:hAnsi="Arial" w:cs="Arial"/>
        </w:rPr>
      </w:pPr>
      <w:r>
        <w:rPr>
          <w:rFonts w:ascii="Arial" w:hAnsi="Arial" w:cs="Arial"/>
        </w:rPr>
        <w:t>The following formula should be used to estimate the CO</w:t>
      </w:r>
      <w:r>
        <w:rPr>
          <w:rFonts w:ascii="Arial" w:hAnsi="Arial" w:cs="Arial"/>
          <w:vertAlign w:val="subscript"/>
        </w:rPr>
        <w:t>2</w:t>
      </w:r>
      <w:r>
        <w:rPr>
          <w:rFonts w:ascii="Arial" w:hAnsi="Arial" w:cs="Arial"/>
        </w:rPr>
        <w:t>-e emissions from treating municipal wastewater. This formula is most relevant to local government authorities.</w:t>
      </w:r>
    </w:p>
    <w:p w14:paraId="6ED390C9" w14:textId="77777777" w:rsidR="00120FC1" w:rsidRDefault="00120FC1" w:rsidP="00120FC1">
      <w:pPr>
        <w:pStyle w:val="BodyText"/>
        <w:tabs>
          <w:tab w:val="left" w:pos="-90"/>
          <w:tab w:val="left" w:pos="0"/>
        </w:tabs>
        <w:spacing w:before="120" w:after="0" w:line="312" w:lineRule="auto"/>
        <w:ind w:left="0"/>
        <w:rPr>
          <w:rFonts w:ascii="Arial" w:hAnsi="Arial" w:cs="Arial"/>
        </w:rPr>
      </w:pPr>
      <w:r>
        <w:rPr>
          <w:rFonts w:ascii="Arial" w:hAnsi="Arial" w:cs="Arial"/>
        </w:rPr>
        <w:t>GHG Emissions (t CO</w:t>
      </w:r>
      <w:r>
        <w:rPr>
          <w:rFonts w:ascii="Arial (W1)" w:hAnsi="Arial (W1)" w:cs="Arial"/>
          <w:vertAlign w:val="subscript"/>
        </w:rPr>
        <w:t>2</w:t>
      </w:r>
      <w:r>
        <w:rPr>
          <w:rFonts w:ascii="Arial" w:hAnsi="Arial" w:cs="Arial"/>
        </w:rPr>
        <w:t>-e) = ((((P x DC</w:t>
      </w:r>
      <w:r>
        <w:rPr>
          <w:rFonts w:ascii="Arial" w:hAnsi="Arial" w:cs="Arial"/>
          <w:vertAlign w:val="subscript"/>
        </w:rPr>
        <w:t>w</w:t>
      </w:r>
      <w:r>
        <w:rPr>
          <w:rFonts w:ascii="Arial" w:hAnsi="Arial" w:cs="Arial"/>
        </w:rPr>
        <w:t xml:space="preserve"> ) x (1 – F</w:t>
      </w:r>
      <w:r>
        <w:rPr>
          <w:rFonts w:ascii="Arial" w:hAnsi="Arial" w:cs="Arial"/>
          <w:vertAlign w:val="subscript"/>
        </w:rPr>
        <w:t>sl</w:t>
      </w:r>
      <w:r>
        <w:rPr>
          <w:rFonts w:ascii="Arial" w:hAnsi="Arial" w:cs="Arial"/>
        </w:rPr>
        <w:t>) – COD</w:t>
      </w:r>
      <w:r w:rsidRPr="000C4426">
        <w:rPr>
          <w:rFonts w:ascii="Arial" w:hAnsi="Arial" w:cs="Arial"/>
          <w:vertAlign w:val="subscript"/>
        </w:rPr>
        <w:t>eff</w:t>
      </w:r>
      <w:r>
        <w:rPr>
          <w:rFonts w:ascii="Arial" w:hAnsi="Arial" w:cs="Arial"/>
        </w:rPr>
        <w:t>) x MCF</w:t>
      </w:r>
      <w:r w:rsidRPr="000C4426">
        <w:rPr>
          <w:rFonts w:ascii="Arial" w:hAnsi="Arial" w:cs="Arial"/>
          <w:vertAlign w:val="subscript"/>
        </w:rPr>
        <w:t>ww</w:t>
      </w:r>
      <w:r>
        <w:rPr>
          <w:rFonts w:ascii="Arial" w:hAnsi="Arial" w:cs="Arial"/>
        </w:rPr>
        <w:t xml:space="preserve"> x EF</w:t>
      </w:r>
      <w:r>
        <w:rPr>
          <w:rFonts w:ascii="Arial" w:hAnsi="Arial" w:cs="Arial"/>
          <w:vertAlign w:val="subscript"/>
        </w:rPr>
        <w:t>w</w:t>
      </w:r>
      <w:r>
        <w:rPr>
          <w:rFonts w:ascii="Arial" w:hAnsi="Arial" w:cs="Arial"/>
        </w:rPr>
        <w:t xml:space="preserve"> ))+ (P x DC</w:t>
      </w:r>
      <w:r>
        <w:rPr>
          <w:rFonts w:ascii="Arial" w:hAnsi="Arial" w:cs="Arial"/>
          <w:vertAlign w:val="subscript"/>
        </w:rPr>
        <w:t>w</w:t>
      </w:r>
      <w:r>
        <w:rPr>
          <w:rFonts w:ascii="Arial" w:hAnsi="Arial" w:cs="Arial"/>
        </w:rPr>
        <w:t xml:space="preserve"> x F</w:t>
      </w:r>
      <w:r>
        <w:rPr>
          <w:rFonts w:ascii="Arial" w:hAnsi="Arial" w:cs="Arial"/>
          <w:vertAlign w:val="subscript"/>
        </w:rPr>
        <w:t>sl</w:t>
      </w:r>
      <w:r>
        <w:rPr>
          <w:rFonts w:ascii="Arial" w:hAnsi="Arial" w:cs="Arial"/>
        </w:rPr>
        <w:t xml:space="preserve"> x MCF</w:t>
      </w:r>
      <w:r w:rsidRPr="000C4426">
        <w:rPr>
          <w:rFonts w:ascii="Arial" w:hAnsi="Arial" w:cs="Arial"/>
          <w:vertAlign w:val="subscript"/>
        </w:rPr>
        <w:t>sl</w:t>
      </w:r>
      <w:r>
        <w:rPr>
          <w:rFonts w:ascii="Arial" w:hAnsi="Arial" w:cs="Arial"/>
          <w:vertAlign w:val="subscript"/>
        </w:rPr>
        <w:t xml:space="preserve"> </w:t>
      </w:r>
      <w:r>
        <w:rPr>
          <w:rFonts w:ascii="Arial" w:hAnsi="Arial" w:cs="Arial"/>
        </w:rPr>
        <w:t xml:space="preserve"> x EF</w:t>
      </w:r>
      <w:r>
        <w:rPr>
          <w:rFonts w:ascii="Arial" w:hAnsi="Arial" w:cs="Arial"/>
          <w:vertAlign w:val="subscript"/>
        </w:rPr>
        <w:t>SL</w:t>
      </w:r>
      <w:r>
        <w:rPr>
          <w:rFonts w:ascii="Arial" w:hAnsi="Arial" w:cs="Arial"/>
        </w:rPr>
        <w:t xml:space="preserve">)) – R </w:t>
      </w:r>
    </w:p>
    <w:p w14:paraId="45665E71" w14:textId="77777777" w:rsidR="00FA3080" w:rsidRDefault="00010E2E">
      <w:pPr>
        <w:pStyle w:val="BodyText"/>
        <w:tabs>
          <w:tab w:val="left" w:pos="-90"/>
          <w:tab w:val="left" w:pos="0"/>
        </w:tabs>
        <w:spacing w:before="120" w:after="0" w:line="312" w:lineRule="auto"/>
        <w:ind w:left="0"/>
        <w:rPr>
          <w:rFonts w:ascii="Arial" w:hAnsi="Arial" w:cs="Arial"/>
        </w:rPr>
      </w:pPr>
      <w:r>
        <w:rPr>
          <w:rFonts w:ascii="Arial" w:hAnsi="Arial" w:cs="Arial"/>
        </w:rPr>
        <w:t xml:space="preserve">The parameters used in the above equation are explained in Table </w:t>
      </w:r>
      <w:r w:rsidR="0093697A">
        <w:rPr>
          <w:rFonts w:ascii="Arial" w:hAnsi="Arial" w:cs="Arial"/>
        </w:rPr>
        <w:t xml:space="preserve">45 </w:t>
      </w:r>
      <w:r>
        <w:rPr>
          <w:rFonts w:ascii="Arial" w:hAnsi="Arial" w:cs="Arial"/>
        </w:rPr>
        <w:t>together with a listing of the various default values.</w:t>
      </w:r>
    </w:p>
    <w:p w14:paraId="0341E35B" w14:textId="77777777" w:rsidR="00FA3080" w:rsidRDefault="00FA3080">
      <w:pPr>
        <w:ind w:left="0"/>
        <w:rPr>
          <w:rFonts w:ascii="Arial" w:hAnsi="Arial" w:cs="Arial"/>
        </w:rPr>
      </w:pPr>
      <w:r>
        <w:rPr>
          <w:rFonts w:ascii="Arial" w:hAnsi="Arial" w:cs="Arial"/>
        </w:rPr>
        <w:br w:type="page"/>
      </w:r>
    </w:p>
    <w:p w14:paraId="11BBC66B" w14:textId="77777777" w:rsidR="00010E2E" w:rsidRDefault="00010E2E" w:rsidP="00A96C18">
      <w:pPr>
        <w:pBdr>
          <w:top w:val="single" w:sz="4" w:space="1" w:color="000000"/>
          <w:left w:val="single" w:sz="4" w:space="1" w:color="000000"/>
          <w:bottom w:val="single" w:sz="4" w:space="1" w:color="000000"/>
          <w:right w:val="single" w:sz="4" w:space="4" w:color="000000"/>
        </w:pBdr>
        <w:shd w:val="clear" w:color="auto" w:fill="F3F3F3"/>
        <w:tabs>
          <w:tab w:val="left" w:pos="-90"/>
          <w:tab w:val="left" w:pos="0"/>
        </w:tabs>
        <w:spacing w:before="120" w:line="312" w:lineRule="auto"/>
        <w:ind w:left="0"/>
        <w:rPr>
          <w:rFonts w:ascii="Arial" w:hAnsi="Arial" w:cs="Arial"/>
          <w:b/>
          <w:bCs/>
        </w:rPr>
      </w:pPr>
      <w:r>
        <w:rPr>
          <w:rFonts w:ascii="Arial" w:hAnsi="Arial" w:cs="Arial"/>
          <w:b/>
          <w:bCs/>
        </w:rPr>
        <w:t>Example: Calculation of emissions generated from municipal wastewater</w:t>
      </w:r>
    </w:p>
    <w:p w14:paraId="6BB7BEBA" w14:textId="77777777" w:rsidR="00120FC1" w:rsidRDefault="00120FC1" w:rsidP="00A96C18">
      <w:pPr>
        <w:pBdr>
          <w:top w:val="single" w:sz="4" w:space="1" w:color="000000"/>
          <w:left w:val="single" w:sz="4" w:space="1" w:color="000000"/>
          <w:bottom w:val="single" w:sz="4" w:space="1" w:color="000000"/>
          <w:right w:val="single" w:sz="4" w:space="4" w:color="000000"/>
        </w:pBdr>
        <w:shd w:val="clear" w:color="auto" w:fill="F3F3F3"/>
        <w:tabs>
          <w:tab w:val="left" w:pos="-90"/>
          <w:tab w:val="left" w:pos="0"/>
        </w:tabs>
        <w:spacing w:before="120" w:line="312" w:lineRule="auto"/>
        <w:ind w:left="0"/>
        <w:rPr>
          <w:rFonts w:ascii="Arial" w:hAnsi="Arial" w:cs="Arial"/>
        </w:rPr>
      </w:pPr>
      <w:r>
        <w:rPr>
          <w:rFonts w:ascii="Arial" w:hAnsi="Arial" w:cs="Arial"/>
        </w:rPr>
        <w:t>A local government wastewater treatment plant services a population of 20,000 people.  The treatment process is characterised as a deep anaerobic lagoon. Based on internal records, the fraction of COD that is removed and treated as sludge in an anaerobic digester is 0.54.  The treatment plant recovers all the methane generated in the anaerobic digester.  The plant has measured the COD in their effluent as 100 tonnes. Their CO</w:t>
      </w:r>
      <w:r>
        <w:rPr>
          <w:rFonts w:ascii="Arial" w:hAnsi="Arial" w:cs="Arial"/>
          <w:vertAlign w:val="subscript"/>
        </w:rPr>
        <w:t>2</w:t>
      </w:r>
      <w:r>
        <w:rPr>
          <w:rFonts w:ascii="Arial" w:hAnsi="Arial" w:cs="Arial"/>
        </w:rPr>
        <w:t>-e greenhouse gas emissions are calculated as follows:</w:t>
      </w:r>
    </w:p>
    <w:p w14:paraId="031CDDD6" w14:textId="77777777" w:rsidR="00120FC1" w:rsidRDefault="00120FC1" w:rsidP="00A96C18">
      <w:pPr>
        <w:pStyle w:val="BodyText"/>
        <w:pBdr>
          <w:top w:val="single" w:sz="4" w:space="1" w:color="000000"/>
          <w:left w:val="single" w:sz="4" w:space="1"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b/>
        </w:rPr>
      </w:pPr>
      <w:r>
        <w:rPr>
          <w:rFonts w:ascii="Arial" w:hAnsi="Arial" w:cs="Arial"/>
          <w:b/>
        </w:rPr>
        <w:t>COD calculation:</w:t>
      </w:r>
    </w:p>
    <w:p w14:paraId="0576FC64" w14:textId="77777777" w:rsidR="00120FC1" w:rsidRDefault="00120FC1" w:rsidP="00A96C18">
      <w:pPr>
        <w:pStyle w:val="BodyText"/>
        <w:pBdr>
          <w:top w:val="single" w:sz="4" w:space="1" w:color="000000"/>
          <w:left w:val="single" w:sz="4" w:space="1"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COD</w:t>
      </w:r>
      <w:r>
        <w:rPr>
          <w:rFonts w:ascii="Arial" w:hAnsi="Arial" w:cs="Arial"/>
          <w:vertAlign w:val="subscript"/>
        </w:rPr>
        <w:t>w</w:t>
      </w:r>
      <w:r>
        <w:rPr>
          <w:rFonts w:ascii="Arial" w:hAnsi="Arial" w:cs="Arial"/>
        </w:rPr>
        <w:t xml:space="preserve"> (tonnes) = Population x DC</w:t>
      </w:r>
      <w:r>
        <w:rPr>
          <w:rFonts w:ascii="Arial" w:hAnsi="Arial" w:cs="Arial"/>
          <w:vertAlign w:val="subscript"/>
        </w:rPr>
        <w:t>w</w:t>
      </w:r>
      <w:r>
        <w:rPr>
          <w:rFonts w:ascii="Arial" w:hAnsi="Arial" w:cs="Arial"/>
        </w:rPr>
        <w:t xml:space="preserve"> </w:t>
      </w:r>
    </w:p>
    <w:p w14:paraId="40BD2ACC" w14:textId="77777777" w:rsidR="00120FC1" w:rsidRDefault="00120FC1" w:rsidP="00A96C18">
      <w:pPr>
        <w:pStyle w:val="BodyText"/>
        <w:pBdr>
          <w:top w:val="single" w:sz="4" w:space="1" w:color="000000"/>
          <w:left w:val="single" w:sz="4" w:space="1"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 20,000 x 0.0585</w:t>
      </w:r>
    </w:p>
    <w:p w14:paraId="341FB3DC" w14:textId="77777777" w:rsidR="00C42A7E" w:rsidRDefault="0092314F" w:rsidP="00A96C18">
      <w:pPr>
        <w:pStyle w:val="BodyText"/>
        <w:pBdr>
          <w:top w:val="single" w:sz="4" w:space="1" w:color="000000"/>
          <w:left w:val="single" w:sz="4" w:space="1"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 1,170 tonnes COD</w:t>
      </w:r>
    </w:p>
    <w:p w14:paraId="3F43CEB9"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b/>
        </w:rPr>
      </w:pPr>
      <w:r>
        <w:rPr>
          <w:rFonts w:ascii="Arial" w:hAnsi="Arial" w:cs="Arial"/>
          <w:b/>
        </w:rPr>
        <w:t>Emissions from wastewater treatment calculation:</w:t>
      </w:r>
    </w:p>
    <w:p w14:paraId="275E53D8"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GHG emissions (tonnes CO</w:t>
      </w:r>
      <w:r>
        <w:rPr>
          <w:rFonts w:ascii="Arial" w:hAnsi="Arial" w:cs="Arial"/>
          <w:vertAlign w:val="subscript"/>
        </w:rPr>
        <w:t>2</w:t>
      </w:r>
      <w:r>
        <w:rPr>
          <w:rFonts w:ascii="Arial" w:hAnsi="Arial" w:cs="Arial"/>
        </w:rPr>
        <w:t>-e) = (COD x (1-F</w:t>
      </w:r>
      <w:r>
        <w:rPr>
          <w:rFonts w:ascii="Arial" w:hAnsi="Arial" w:cs="Arial"/>
          <w:vertAlign w:val="subscript"/>
        </w:rPr>
        <w:t>sl</w:t>
      </w:r>
      <w:r>
        <w:rPr>
          <w:rFonts w:ascii="Arial" w:hAnsi="Arial" w:cs="Arial"/>
        </w:rPr>
        <w:t>) – COD</w:t>
      </w:r>
      <w:r w:rsidRPr="000C4426">
        <w:rPr>
          <w:rFonts w:ascii="Arial" w:hAnsi="Arial" w:cs="Arial"/>
          <w:vertAlign w:val="subscript"/>
        </w:rPr>
        <w:t>eff</w:t>
      </w:r>
      <w:r>
        <w:rPr>
          <w:rFonts w:ascii="Arial" w:hAnsi="Arial" w:cs="Arial"/>
        </w:rPr>
        <w:t>) x MCF</w:t>
      </w:r>
      <w:r w:rsidRPr="000C4426">
        <w:rPr>
          <w:rFonts w:ascii="Arial" w:hAnsi="Arial" w:cs="Arial"/>
          <w:vertAlign w:val="subscript"/>
        </w:rPr>
        <w:t>ww</w:t>
      </w:r>
      <w:r>
        <w:rPr>
          <w:rFonts w:ascii="Arial" w:hAnsi="Arial" w:cs="Arial"/>
        </w:rPr>
        <w:t xml:space="preserve"> x EF</w:t>
      </w:r>
      <w:r>
        <w:rPr>
          <w:rFonts w:ascii="Arial" w:hAnsi="Arial" w:cs="Arial"/>
          <w:vertAlign w:val="subscript"/>
        </w:rPr>
        <w:t>w</w:t>
      </w:r>
      <w:r>
        <w:rPr>
          <w:rFonts w:ascii="Arial" w:hAnsi="Arial" w:cs="Arial"/>
        </w:rPr>
        <w:t xml:space="preserve"> </w:t>
      </w:r>
    </w:p>
    <w:p w14:paraId="68C347A1"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 xml:space="preserve">= (1,170 x (1-0.54) –100) x 0.8 x </w:t>
      </w:r>
      <w:r w:rsidR="00895257">
        <w:rPr>
          <w:rFonts w:ascii="Arial" w:hAnsi="Arial" w:cs="Arial"/>
        </w:rPr>
        <w:t>6</w:t>
      </w:r>
      <w:r>
        <w:rPr>
          <w:rFonts w:ascii="Arial" w:hAnsi="Arial" w:cs="Arial"/>
        </w:rPr>
        <w:t>.3</w:t>
      </w:r>
    </w:p>
    <w:p w14:paraId="269FD43D"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 xml:space="preserve">= </w:t>
      </w:r>
      <w:r w:rsidR="00895257">
        <w:rPr>
          <w:rFonts w:ascii="Arial" w:hAnsi="Arial" w:cs="Arial"/>
        </w:rPr>
        <w:t>2</w:t>
      </w:r>
      <w:r>
        <w:rPr>
          <w:rFonts w:ascii="Arial" w:hAnsi="Arial" w:cs="Arial"/>
        </w:rPr>
        <w:t>,</w:t>
      </w:r>
      <w:r w:rsidR="00895257">
        <w:rPr>
          <w:rFonts w:ascii="Arial" w:hAnsi="Arial" w:cs="Arial"/>
        </w:rPr>
        <w:t xml:space="preserve">191 </w:t>
      </w:r>
      <w:r>
        <w:rPr>
          <w:rFonts w:ascii="Arial" w:hAnsi="Arial" w:cs="Arial"/>
        </w:rPr>
        <w:t>tonnes CO</w:t>
      </w:r>
      <w:r>
        <w:rPr>
          <w:rFonts w:ascii="Arial" w:hAnsi="Arial" w:cs="Arial"/>
          <w:vertAlign w:val="subscript"/>
        </w:rPr>
        <w:t>2</w:t>
      </w:r>
      <w:r>
        <w:rPr>
          <w:rFonts w:ascii="Arial" w:hAnsi="Arial" w:cs="Arial"/>
        </w:rPr>
        <w:t>-e</w:t>
      </w:r>
    </w:p>
    <w:p w14:paraId="5C9DFF73"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b/>
        </w:rPr>
      </w:pPr>
      <w:r>
        <w:rPr>
          <w:rFonts w:ascii="Arial" w:hAnsi="Arial" w:cs="Arial"/>
          <w:b/>
        </w:rPr>
        <w:t>Emissions from sludge calculation:</w:t>
      </w:r>
    </w:p>
    <w:p w14:paraId="345DD012"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90"/>
          <w:tab w:val="left" w:pos="0"/>
        </w:tabs>
        <w:spacing w:before="120" w:after="0" w:line="312" w:lineRule="auto"/>
        <w:ind w:left="0"/>
        <w:rPr>
          <w:rFonts w:ascii="Arial" w:hAnsi="Arial" w:cs="Arial"/>
        </w:rPr>
      </w:pPr>
      <w:r>
        <w:rPr>
          <w:rFonts w:ascii="Arial" w:hAnsi="Arial" w:cs="Arial"/>
        </w:rPr>
        <w:t>GHG emissions (tonnes CO</w:t>
      </w:r>
      <w:r>
        <w:rPr>
          <w:rFonts w:ascii="Arial" w:hAnsi="Arial" w:cs="Arial"/>
          <w:vertAlign w:val="subscript"/>
        </w:rPr>
        <w:t>2</w:t>
      </w:r>
      <w:r>
        <w:rPr>
          <w:rFonts w:ascii="Arial" w:hAnsi="Arial" w:cs="Arial"/>
        </w:rPr>
        <w:t>-e) = CODw x F</w:t>
      </w:r>
      <w:r>
        <w:rPr>
          <w:rFonts w:ascii="Arial" w:hAnsi="Arial" w:cs="Arial"/>
          <w:vertAlign w:val="subscript"/>
        </w:rPr>
        <w:t>sl</w:t>
      </w:r>
      <w:r>
        <w:rPr>
          <w:rFonts w:ascii="Arial" w:hAnsi="Arial" w:cs="Arial"/>
        </w:rPr>
        <w:t xml:space="preserve"> x MCF</w:t>
      </w:r>
      <w:r w:rsidRPr="000C4426">
        <w:rPr>
          <w:rFonts w:ascii="Arial" w:hAnsi="Arial" w:cs="Arial"/>
          <w:vertAlign w:val="subscript"/>
        </w:rPr>
        <w:t>sl</w:t>
      </w:r>
      <w:r>
        <w:rPr>
          <w:rFonts w:ascii="Arial" w:hAnsi="Arial" w:cs="Arial"/>
        </w:rPr>
        <w:t xml:space="preserve"> x EF</w:t>
      </w:r>
      <w:r>
        <w:rPr>
          <w:rFonts w:ascii="Arial" w:hAnsi="Arial" w:cs="Arial"/>
          <w:vertAlign w:val="subscript"/>
        </w:rPr>
        <w:t>sl</w:t>
      </w:r>
      <w:r>
        <w:rPr>
          <w:rFonts w:ascii="Arial" w:hAnsi="Arial" w:cs="Arial"/>
        </w:rPr>
        <w:t xml:space="preserve"> = 1,170 x 0.54 x 0.8 x </w:t>
      </w:r>
      <w:r w:rsidR="00895257">
        <w:rPr>
          <w:rFonts w:ascii="Arial" w:hAnsi="Arial" w:cs="Arial"/>
        </w:rPr>
        <w:t>6</w:t>
      </w:r>
      <w:r>
        <w:rPr>
          <w:rFonts w:ascii="Arial" w:hAnsi="Arial" w:cs="Arial"/>
        </w:rPr>
        <w:t>.3</w:t>
      </w:r>
    </w:p>
    <w:p w14:paraId="0E040E98"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 </w:t>
      </w:r>
      <w:r w:rsidR="00895257">
        <w:rPr>
          <w:rFonts w:ascii="Arial" w:hAnsi="Arial" w:cs="Arial"/>
        </w:rPr>
        <w:t>3</w:t>
      </w:r>
      <w:r>
        <w:rPr>
          <w:rFonts w:ascii="Arial" w:hAnsi="Arial" w:cs="Arial"/>
        </w:rPr>
        <w:t>,</w:t>
      </w:r>
      <w:r w:rsidR="00895257">
        <w:rPr>
          <w:rFonts w:ascii="Arial" w:hAnsi="Arial" w:cs="Arial"/>
        </w:rPr>
        <w:t xml:space="preserve">159 </w:t>
      </w:r>
      <w:r>
        <w:rPr>
          <w:rFonts w:ascii="Arial" w:hAnsi="Arial" w:cs="Arial"/>
        </w:rPr>
        <w:t>tonnes CO</w:t>
      </w:r>
      <w:r>
        <w:rPr>
          <w:rFonts w:ascii="Arial" w:hAnsi="Arial" w:cs="Arial"/>
          <w:vertAlign w:val="subscript"/>
        </w:rPr>
        <w:t>2</w:t>
      </w:r>
      <w:r>
        <w:rPr>
          <w:rFonts w:ascii="Arial" w:hAnsi="Arial" w:cs="Arial"/>
        </w:rPr>
        <w:t>-e</w:t>
      </w:r>
    </w:p>
    <w:p w14:paraId="4CB09EB5"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b/>
        </w:rPr>
      </w:pPr>
      <w:r>
        <w:rPr>
          <w:rFonts w:ascii="Arial" w:hAnsi="Arial" w:cs="Arial"/>
          <w:b/>
        </w:rPr>
        <w:t>Total emissions:</w:t>
      </w:r>
    </w:p>
    <w:p w14:paraId="2EC55627" w14:textId="77777777" w:rsidR="00120FC1" w:rsidRDefault="00120FC1" w:rsidP="00CE5FBA">
      <w:pPr>
        <w:pStyle w:val="BodyText"/>
        <w:pBdr>
          <w:top w:val="single" w:sz="4" w:space="1" w:color="000000"/>
          <w:left w:val="single" w:sz="4" w:space="0" w:color="000000"/>
          <w:bottom w:val="single" w:sz="4" w:space="1" w:color="000000"/>
          <w:right w:val="single" w:sz="4" w:space="4" w:color="000000"/>
        </w:pBdr>
        <w:shd w:val="clear" w:color="auto" w:fill="F3F3F3"/>
        <w:tabs>
          <w:tab w:val="left" w:pos="0"/>
        </w:tabs>
        <w:spacing w:before="120" w:after="0" w:line="312" w:lineRule="auto"/>
        <w:ind w:left="0"/>
        <w:rPr>
          <w:rFonts w:ascii="Arial" w:hAnsi="Arial" w:cs="Arial"/>
        </w:rPr>
      </w:pPr>
      <w:r>
        <w:rPr>
          <w:rFonts w:ascii="Arial" w:hAnsi="Arial" w:cs="Arial"/>
        </w:rPr>
        <w:t xml:space="preserve">Accounting for the recovery of methane in the anaerobic digester, the sum of wastewater and sludge GHG emissions = </w:t>
      </w:r>
      <w:r w:rsidR="00895257">
        <w:rPr>
          <w:rFonts w:ascii="Arial" w:hAnsi="Arial" w:cs="Arial"/>
        </w:rPr>
        <w:t>2</w:t>
      </w:r>
      <w:r>
        <w:rPr>
          <w:rFonts w:ascii="Arial" w:hAnsi="Arial" w:cs="Arial"/>
        </w:rPr>
        <w:t>,</w:t>
      </w:r>
      <w:r w:rsidR="00895257">
        <w:rPr>
          <w:rFonts w:ascii="Arial" w:hAnsi="Arial" w:cs="Arial"/>
        </w:rPr>
        <w:t xml:space="preserve">191 </w:t>
      </w:r>
      <w:r>
        <w:rPr>
          <w:rFonts w:ascii="Arial" w:hAnsi="Arial" w:cs="Arial"/>
        </w:rPr>
        <w:t>tonnes CO2-e</w:t>
      </w:r>
    </w:p>
    <w:p w14:paraId="6386EC2F" w14:textId="77777777" w:rsidR="00D76245" w:rsidRDefault="00D76245" w:rsidP="00C23E3B">
      <w:pPr>
        <w:pStyle w:val="Caption"/>
      </w:pPr>
    </w:p>
    <w:p w14:paraId="4A1FB4FE" w14:textId="1F853B96" w:rsidR="00D76245" w:rsidRDefault="00C23E3B" w:rsidP="00C23E3B">
      <w:pPr>
        <w:pStyle w:val="Caption"/>
      </w:pPr>
      <w:bookmarkStart w:id="173" w:name="_Toc391646730"/>
      <w:bookmarkStart w:id="174" w:name="_Toc485728153"/>
      <w:r>
        <w:t xml:space="preserve">Table </w:t>
      </w:r>
      <w:fldSimple w:instr=" SEQ Table \* ARABIC ">
        <w:r w:rsidR="004A1330">
          <w:rPr>
            <w:noProof/>
          </w:rPr>
          <w:t>45</w:t>
        </w:r>
      </w:fldSimple>
      <w:r w:rsidR="00010E2E">
        <w:t>:  Municipal waste variables and default values</w:t>
      </w:r>
      <w:bookmarkEnd w:id="173"/>
      <w:bookmarkEnd w:id="174"/>
    </w:p>
    <w:tbl>
      <w:tblPr>
        <w:tblW w:w="8505" w:type="dxa"/>
        <w:tblInd w:w="56" w:type="dxa"/>
        <w:tblBorders>
          <w:top w:val="single" w:sz="6" w:space="0" w:color="auto"/>
          <w:left w:val="single" w:sz="6" w:space="0" w:color="auto"/>
          <w:bottom w:val="single" w:sz="6" w:space="0" w:color="auto"/>
          <w:right w:val="single" w:sz="6" w:space="0" w:color="auto"/>
        </w:tblBorders>
        <w:tblLayout w:type="fixed"/>
        <w:tblCellMar>
          <w:left w:w="56" w:type="dxa"/>
          <w:right w:w="56" w:type="dxa"/>
        </w:tblCellMar>
        <w:tblLook w:val="0000" w:firstRow="0" w:lastRow="0" w:firstColumn="0" w:lastColumn="0" w:noHBand="0" w:noVBand="0"/>
      </w:tblPr>
      <w:tblGrid>
        <w:gridCol w:w="1560"/>
        <w:gridCol w:w="6945"/>
      </w:tblGrid>
      <w:tr w:rsidR="00010E2E" w14:paraId="0B442684" w14:textId="77777777" w:rsidTr="00CE5FBA">
        <w:trPr>
          <w:trHeight w:hRule="exact" w:val="369"/>
          <w:tblHeader/>
        </w:trPr>
        <w:tc>
          <w:tcPr>
            <w:tcW w:w="1560" w:type="dxa"/>
            <w:tcBorders>
              <w:top w:val="single" w:sz="6" w:space="0" w:color="auto"/>
              <w:bottom w:val="single" w:sz="6" w:space="0" w:color="auto"/>
              <w:right w:val="single" w:sz="6" w:space="0" w:color="auto"/>
            </w:tcBorders>
            <w:shd w:val="pct12" w:color="auto" w:fill="auto"/>
          </w:tcPr>
          <w:p w14:paraId="3D6F6005" w14:textId="77777777" w:rsidR="00010E2E" w:rsidRDefault="00010E2E">
            <w:pPr>
              <w:pStyle w:val="BodyText"/>
              <w:tabs>
                <w:tab w:val="left" w:pos="0"/>
                <w:tab w:val="left" w:pos="2250"/>
              </w:tabs>
              <w:spacing w:before="120" w:after="0" w:line="312" w:lineRule="auto"/>
              <w:ind w:left="85"/>
              <w:rPr>
                <w:rFonts w:ascii="Arial" w:hAnsi="Arial" w:cs="Arial"/>
                <w:b/>
                <w:bCs/>
                <w:sz w:val="18"/>
                <w:szCs w:val="18"/>
              </w:rPr>
            </w:pPr>
            <w:r>
              <w:rPr>
                <w:rFonts w:ascii="Arial" w:hAnsi="Arial" w:cs="Arial"/>
                <w:b/>
                <w:bCs/>
                <w:sz w:val="18"/>
                <w:szCs w:val="18"/>
              </w:rPr>
              <w:t>Variable</w:t>
            </w:r>
          </w:p>
        </w:tc>
        <w:tc>
          <w:tcPr>
            <w:tcW w:w="6945" w:type="dxa"/>
            <w:tcBorders>
              <w:top w:val="single" w:sz="6" w:space="0" w:color="auto"/>
              <w:left w:val="single" w:sz="6" w:space="0" w:color="auto"/>
              <w:bottom w:val="single" w:sz="6" w:space="0" w:color="auto"/>
            </w:tcBorders>
            <w:shd w:val="pct12" w:color="auto" w:fill="auto"/>
          </w:tcPr>
          <w:p w14:paraId="74C3814C" w14:textId="77777777" w:rsidR="00010E2E" w:rsidRDefault="00010E2E">
            <w:pPr>
              <w:pStyle w:val="BodyText"/>
              <w:tabs>
                <w:tab w:val="left" w:pos="0"/>
                <w:tab w:val="left" w:pos="2250"/>
              </w:tabs>
              <w:spacing w:before="120" w:after="0" w:line="312" w:lineRule="auto"/>
              <w:ind w:left="85"/>
              <w:rPr>
                <w:rFonts w:ascii="Arial" w:hAnsi="Arial" w:cs="Arial"/>
                <w:b/>
                <w:bCs/>
                <w:sz w:val="18"/>
                <w:szCs w:val="18"/>
              </w:rPr>
            </w:pPr>
            <w:r>
              <w:rPr>
                <w:rFonts w:ascii="Arial" w:hAnsi="Arial" w:cs="Arial"/>
                <w:b/>
                <w:bCs/>
                <w:sz w:val="18"/>
                <w:szCs w:val="18"/>
              </w:rPr>
              <w:t>Default values</w:t>
            </w:r>
          </w:p>
        </w:tc>
      </w:tr>
      <w:tr w:rsidR="00120FC1" w14:paraId="06F3087F" w14:textId="77777777" w:rsidTr="00CE5FBA">
        <w:trPr>
          <w:trHeight w:val="340"/>
        </w:trPr>
        <w:tc>
          <w:tcPr>
            <w:tcW w:w="1560" w:type="dxa"/>
            <w:tcBorders>
              <w:top w:val="single" w:sz="6" w:space="0" w:color="auto"/>
              <w:bottom w:val="single" w:sz="6" w:space="0" w:color="auto"/>
              <w:right w:val="single" w:sz="6" w:space="0" w:color="auto"/>
            </w:tcBorders>
          </w:tcPr>
          <w:p w14:paraId="50864AA1" w14:textId="77777777" w:rsidR="00120FC1" w:rsidRDefault="00120FC1">
            <w:pPr>
              <w:tabs>
                <w:tab w:val="left" w:pos="0"/>
                <w:tab w:val="left" w:pos="2250"/>
              </w:tabs>
              <w:spacing w:before="120" w:line="312" w:lineRule="auto"/>
              <w:ind w:left="85"/>
              <w:rPr>
                <w:rFonts w:ascii="Arial" w:hAnsi="Arial" w:cs="Arial"/>
                <w:sz w:val="18"/>
                <w:szCs w:val="18"/>
              </w:rPr>
            </w:pPr>
            <w:r>
              <w:rPr>
                <w:rFonts w:ascii="Arial" w:hAnsi="Arial" w:cs="Arial"/>
                <w:sz w:val="18"/>
                <w:szCs w:val="18"/>
              </w:rPr>
              <w:t>P</w:t>
            </w:r>
          </w:p>
        </w:tc>
        <w:tc>
          <w:tcPr>
            <w:tcW w:w="6945" w:type="dxa"/>
            <w:tcBorders>
              <w:top w:val="single" w:sz="6" w:space="0" w:color="auto"/>
              <w:left w:val="single" w:sz="6" w:space="0" w:color="auto"/>
              <w:bottom w:val="single" w:sz="6" w:space="0" w:color="auto"/>
            </w:tcBorders>
          </w:tcPr>
          <w:p w14:paraId="4AE9D090" w14:textId="77777777" w:rsidR="00120FC1" w:rsidRDefault="00120FC1" w:rsidP="00B4474A">
            <w:pPr>
              <w:tabs>
                <w:tab w:val="left" w:pos="0"/>
                <w:tab w:val="left" w:pos="2250"/>
              </w:tabs>
              <w:spacing w:before="120" w:line="312" w:lineRule="auto"/>
              <w:ind w:left="85"/>
              <w:rPr>
                <w:rFonts w:ascii="Arial" w:hAnsi="Arial" w:cs="Arial"/>
                <w:sz w:val="18"/>
                <w:szCs w:val="18"/>
              </w:rPr>
            </w:pPr>
            <w:r>
              <w:rPr>
                <w:rFonts w:ascii="Arial" w:hAnsi="Arial" w:cs="Arial"/>
                <w:sz w:val="18"/>
                <w:szCs w:val="18"/>
              </w:rPr>
              <w:t>The population served and measured in persons and sourced from waste treatment records</w:t>
            </w:r>
          </w:p>
        </w:tc>
      </w:tr>
      <w:tr w:rsidR="00120FC1" w14:paraId="64C2E657" w14:textId="77777777" w:rsidTr="00CE5FBA">
        <w:trPr>
          <w:trHeight w:val="340"/>
        </w:trPr>
        <w:tc>
          <w:tcPr>
            <w:tcW w:w="1560" w:type="dxa"/>
            <w:tcBorders>
              <w:top w:val="single" w:sz="6" w:space="0" w:color="auto"/>
              <w:bottom w:val="single" w:sz="6" w:space="0" w:color="auto"/>
              <w:right w:val="single" w:sz="6" w:space="0" w:color="auto"/>
            </w:tcBorders>
          </w:tcPr>
          <w:p w14:paraId="34999DFE"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DC</w:t>
            </w:r>
            <w:r>
              <w:rPr>
                <w:rFonts w:ascii="Arial" w:hAnsi="Arial" w:cs="Arial"/>
                <w:bCs/>
                <w:sz w:val="18"/>
                <w:szCs w:val="18"/>
                <w:vertAlign w:val="subscript"/>
              </w:rPr>
              <w:t>w</w:t>
            </w:r>
          </w:p>
        </w:tc>
        <w:tc>
          <w:tcPr>
            <w:tcW w:w="6945" w:type="dxa"/>
            <w:tcBorders>
              <w:top w:val="single" w:sz="6" w:space="0" w:color="auto"/>
              <w:left w:val="single" w:sz="6" w:space="0" w:color="auto"/>
              <w:bottom w:val="single" w:sz="6" w:space="0" w:color="auto"/>
            </w:tcBorders>
          </w:tcPr>
          <w:p w14:paraId="044EF969" w14:textId="77777777" w:rsidR="00120FC1" w:rsidRDefault="00120FC1">
            <w:pPr>
              <w:pStyle w:val="BodyText"/>
              <w:tabs>
                <w:tab w:val="left" w:pos="0"/>
                <w:tab w:val="left" w:pos="2250"/>
              </w:tabs>
              <w:spacing w:before="120" w:after="0" w:line="312" w:lineRule="auto"/>
              <w:ind w:left="85"/>
              <w:rPr>
                <w:rFonts w:ascii="Arial" w:hAnsi="Arial" w:cs="Arial"/>
                <w:sz w:val="18"/>
                <w:szCs w:val="18"/>
              </w:rPr>
            </w:pPr>
            <w:r>
              <w:rPr>
                <w:rFonts w:ascii="Arial" w:hAnsi="Arial" w:cs="Arial"/>
                <w:sz w:val="18"/>
                <w:szCs w:val="18"/>
              </w:rPr>
              <w:t>The quantity in kilograms of Chemical Oxygen Demand (COD) per capita per year of wastewater.  In the event that no waste analysis data is available, a default value of 0.0585 tonnes per  person per year can be used</w:t>
            </w:r>
          </w:p>
        </w:tc>
      </w:tr>
      <w:tr w:rsidR="00120FC1" w14:paraId="3F801F5F" w14:textId="77777777" w:rsidTr="00CE5FBA">
        <w:trPr>
          <w:trHeight w:val="340"/>
        </w:trPr>
        <w:tc>
          <w:tcPr>
            <w:tcW w:w="1560" w:type="dxa"/>
            <w:tcBorders>
              <w:top w:val="single" w:sz="6" w:space="0" w:color="auto"/>
              <w:bottom w:val="single" w:sz="6" w:space="0" w:color="auto"/>
              <w:right w:val="single" w:sz="6" w:space="0" w:color="auto"/>
            </w:tcBorders>
          </w:tcPr>
          <w:p w14:paraId="240B9676"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COD</w:t>
            </w:r>
            <w:r>
              <w:rPr>
                <w:rFonts w:ascii="Arial" w:hAnsi="Arial" w:cs="Arial"/>
                <w:bCs/>
                <w:sz w:val="18"/>
                <w:szCs w:val="18"/>
                <w:vertAlign w:val="subscript"/>
              </w:rPr>
              <w:t>w</w:t>
            </w:r>
          </w:p>
        </w:tc>
        <w:tc>
          <w:tcPr>
            <w:tcW w:w="6945" w:type="dxa"/>
            <w:tcBorders>
              <w:top w:val="single" w:sz="6" w:space="0" w:color="auto"/>
              <w:left w:val="single" w:sz="6" w:space="0" w:color="auto"/>
              <w:bottom w:val="single" w:sz="6" w:space="0" w:color="auto"/>
            </w:tcBorders>
          </w:tcPr>
          <w:p w14:paraId="6B97F432" w14:textId="77777777" w:rsidR="00120FC1" w:rsidRDefault="00120FC1">
            <w:pPr>
              <w:pStyle w:val="BodyText"/>
              <w:tabs>
                <w:tab w:val="left" w:pos="0"/>
                <w:tab w:val="left" w:pos="2250"/>
              </w:tabs>
              <w:spacing w:before="120" w:after="0" w:line="312" w:lineRule="auto"/>
              <w:ind w:left="85"/>
              <w:rPr>
                <w:rFonts w:ascii="Arial" w:hAnsi="Arial" w:cs="Arial"/>
                <w:sz w:val="18"/>
                <w:szCs w:val="18"/>
              </w:rPr>
            </w:pPr>
            <w:r>
              <w:rPr>
                <w:rFonts w:ascii="Arial" w:hAnsi="Arial" w:cs="Arial"/>
                <w:sz w:val="18"/>
                <w:szCs w:val="18"/>
              </w:rPr>
              <w:t>Chemical Oxygen Demand (COD) in tonnes of COD per year which is the product of DC</w:t>
            </w:r>
            <w:r>
              <w:rPr>
                <w:rFonts w:ascii="Arial" w:hAnsi="Arial" w:cs="Arial"/>
                <w:sz w:val="18"/>
                <w:szCs w:val="18"/>
                <w:vertAlign w:val="subscript"/>
              </w:rPr>
              <w:t>w</w:t>
            </w:r>
            <w:r>
              <w:rPr>
                <w:rFonts w:ascii="Arial" w:hAnsi="Arial" w:cs="Arial"/>
                <w:sz w:val="18"/>
                <w:szCs w:val="18"/>
              </w:rPr>
              <w:t xml:space="preserve"> and population</w:t>
            </w:r>
          </w:p>
        </w:tc>
      </w:tr>
      <w:tr w:rsidR="00120FC1" w14:paraId="545B3937" w14:textId="77777777" w:rsidTr="00CE5FBA">
        <w:trPr>
          <w:trHeight w:val="340"/>
        </w:trPr>
        <w:tc>
          <w:tcPr>
            <w:tcW w:w="1560" w:type="dxa"/>
            <w:tcBorders>
              <w:top w:val="single" w:sz="6" w:space="0" w:color="auto"/>
              <w:bottom w:val="single" w:sz="6" w:space="0" w:color="auto"/>
              <w:right w:val="single" w:sz="6" w:space="0" w:color="auto"/>
            </w:tcBorders>
          </w:tcPr>
          <w:p w14:paraId="31404712"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COD</w:t>
            </w:r>
            <w:r w:rsidRPr="000C4426">
              <w:rPr>
                <w:rFonts w:ascii="Arial" w:hAnsi="Arial" w:cs="Arial"/>
                <w:bCs/>
                <w:sz w:val="18"/>
                <w:szCs w:val="18"/>
                <w:vertAlign w:val="subscript"/>
              </w:rPr>
              <w:t>eff</w:t>
            </w:r>
          </w:p>
        </w:tc>
        <w:tc>
          <w:tcPr>
            <w:tcW w:w="6945" w:type="dxa"/>
            <w:tcBorders>
              <w:top w:val="single" w:sz="6" w:space="0" w:color="auto"/>
              <w:left w:val="single" w:sz="6" w:space="0" w:color="auto"/>
              <w:bottom w:val="single" w:sz="6" w:space="0" w:color="auto"/>
            </w:tcBorders>
          </w:tcPr>
          <w:p w14:paraId="09F342ED" w14:textId="77777777" w:rsidR="00120FC1" w:rsidRDefault="00120FC1">
            <w:pPr>
              <w:pStyle w:val="BodyText"/>
              <w:tabs>
                <w:tab w:val="left" w:pos="0"/>
                <w:tab w:val="left" w:pos="2250"/>
              </w:tabs>
              <w:spacing w:before="120" w:after="0" w:line="312" w:lineRule="auto"/>
              <w:ind w:left="85"/>
              <w:rPr>
                <w:rFonts w:ascii="Arial" w:hAnsi="Arial" w:cs="Arial"/>
                <w:sz w:val="18"/>
                <w:szCs w:val="18"/>
              </w:rPr>
            </w:pPr>
            <w:r>
              <w:rPr>
                <w:rFonts w:ascii="Arial" w:hAnsi="Arial" w:cs="Arial"/>
                <w:sz w:val="18"/>
                <w:szCs w:val="18"/>
              </w:rPr>
              <w:t>The quantity of COD in wastewater discharged in effluent from the treatment plant</w:t>
            </w:r>
          </w:p>
        </w:tc>
      </w:tr>
      <w:tr w:rsidR="00120FC1" w14:paraId="4B410027" w14:textId="77777777" w:rsidTr="00CE5FBA">
        <w:trPr>
          <w:trHeight w:val="284"/>
        </w:trPr>
        <w:tc>
          <w:tcPr>
            <w:tcW w:w="1560" w:type="dxa"/>
            <w:tcBorders>
              <w:top w:val="single" w:sz="6" w:space="0" w:color="auto"/>
              <w:bottom w:val="single" w:sz="6" w:space="0" w:color="auto"/>
              <w:right w:val="single" w:sz="6" w:space="0" w:color="auto"/>
            </w:tcBorders>
          </w:tcPr>
          <w:p w14:paraId="4AAED8E2"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F</w:t>
            </w:r>
            <w:r>
              <w:rPr>
                <w:rFonts w:ascii="Arial" w:hAnsi="Arial" w:cs="Arial"/>
                <w:bCs/>
                <w:sz w:val="18"/>
                <w:szCs w:val="18"/>
                <w:vertAlign w:val="subscript"/>
              </w:rPr>
              <w:t>sl</w:t>
            </w:r>
          </w:p>
        </w:tc>
        <w:tc>
          <w:tcPr>
            <w:tcW w:w="6945" w:type="dxa"/>
            <w:tcBorders>
              <w:top w:val="single" w:sz="6" w:space="0" w:color="auto"/>
              <w:left w:val="single" w:sz="6" w:space="0" w:color="auto"/>
              <w:bottom w:val="single" w:sz="6" w:space="0" w:color="auto"/>
            </w:tcBorders>
          </w:tcPr>
          <w:p w14:paraId="30C33124" w14:textId="77777777" w:rsidR="00120FC1" w:rsidRDefault="00120FC1">
            <w:pPr>
              <w:pStyle w:val="BodyText"/>
              <w:tabs>
                <w:tab w:val="left" w:pos="0"/>
                <w:tab w:val="left" w:pos="2250"/>
              </w:tabs>
              <w:spacing w:before="120" w:after="0" w:line="312" w:lineRule="auto"/>
              <w:ind w:left="85"/>
              <w:rPr>
                <w:rFonts w:ascii="Arial" w:hAnsi="Arial" w:cs="Arial"/>
                <w:sz w:val="18"/>
                <w:szCs w:val="18"/>
              </w:rPr>
            </w:pPr>
            <w:r>
              <w:rPr>
                <w:rFonts w:ascii="Arial" w:hAnsi="Arial" w:cs="Arial"/>
                <w:sz w:val="18"/>
                <w:szCs w:val="18"/>
              </w:rPr>
              <w:t>Default fraction of COD removed as sludge.  Should be readily available from internal records of wastewater treatment plants (default value of 0.29)</w:t>
            </w:r>
          </w:p>
        </w:tc>
      </w:tr>
      <w:tr w:rsidR="00120FC1" w14:paraId="70A5DF5A" w14:textId="77777777" w:rsidTr="00CE5FBA">
        <w:trPr>
          <w:trHeight w:val="369"/>
        </w:trPr>
        <w:tc>
          <w:tcPr>
            <w:tcW w:w="1560" w:type="dxa"/>
            <w:tcBorders>
              <w:top w:val="single" w:sz="6" w:space="0" w:color="auto"/>
              <w:bottom w:val="single" w:sz="6" w:space="0" w:color="auto"/>
              <w:right w:val="single" w:sz="6" w:space="0" w:color="auto"/>
            </w:tcBorders>
          </w:tcPr>
          <w:p w14:paraId="17AFBC5A"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EF</w:t>
            </w:r>
            <w:r>
              <w:rPr>
                <w:rFonts w:ascii="Arial" w:hAnsi="Arial" w:cs="Arial"/>
                <w:bCs/>
                <w:sz w:val="18"/>
                <w:szCs w:val="18"/>
                <w:vertAlign w:val="subscript"/>
              </w:rPr>
              <w:t>w</w:t>
            </w:r>
          </w:p>
        </w:tc>
        <w:tc>
          <w:tcPr>
            <w:tcW w:w="6945" w:type="dxa"/>
            <w:tcBorders>
              <w:top w:val="single" w:sz="6" w:space="0" w:color="auto"/>
              <w:left w:val="single" w:sz="6" w:space="0" w:color="auto"/>
              <w:bottom w:val="single" w:sz="6" w:space="0" w:color="auto"/>
            </w:tcBorders>
          </w:tcPr>
          <w:p w14:paraId="4BD9768D" w14:textId="77777777" w:rsidR="00120FC1" w:rsidRDefault="00120FC1" w:rsidP="00895257">
            <w:pPr>
              <w:pStyle w:val="BodyText"/>
              <w:tabs>
                <w:tab w:val="left" w:pos="0"/>
                <w:tab w:val="left" w:pos="2250"/>
              </w:tabs>
              <w:spacing w:before="120" w:after="0" w:line="312" w:lineRule="auto"/>
              <w:ind w:left="85"/>
              <w:rPr>
                <w:rFonts w:ascii="Arial" w:hAnsi="Arial" w:cs="Arial"/>
                <w:sz w:val="18"/>
                <w:szCs w:val="18"/>
              </w:rPr>
            </w:pPr>
            <w:r>
              <w:rPr>
                <w:rFonts w:ascii="Arial" w:hAnsi="Arial" w:cs="Arial"/>
                <w:sz w:val="18"/>
                <w:szCs w:val="18"/>
              </w:rPr>
              <w:t xml:space="preserve">Default methane emission factor for wastewater with value of </w:t>
            </w:r>
            <w:r w:rsidR="00895257">
              <w:rPr>
                <w:rFonts w:ascii="Arial" w:hAnsi="Arial" w:cs="Arial"/>
                <w:sz w:val="18"/>
                <w:szCs w:val="18"/>
              </w:rPr>
              <w:t>6</w:t>
            </w:r>
            <w:r>
              <w:rPr>
                <w:rFonts w:ascii="Arial" w:hAnsi="Arial" w:cs="Arial"/>
                <w:sz w:val="18"/>
                <w:szCs w:val="18"/>
              </w:rPr>
              <w:t>.3 tonnes CO</w:t>
            </w:r>
            <w:r w:rsidRPr="000C4426">
              <w:rPr>
                <w:rFonts w:ascii="Arial" w:hAnsi="Arial" w:cs="Arial"/>
                <w:sz w:val="18"/>
                <w:szCs w:val="18"/>
                <w:vertAlign w:val="subscript"/>
              </w:rPr>
              <w:t>2</w:t>
            </w:r>
            <w:r>
              <w:rPr>
                <w:rFonts w:ascii="Arial" w:hAnsi="Arial" w:cs="Arial"/>
                <w:sz w:val="18"/>
                <w:szCs w:val="18"/>
              </w:rPr>
              <w:t>-e/tonne COD (wastewater)</w:t>
            </w:r>
          </w:p>
        </w:tc>
      </w:tr>
      <w:tr w:rsidR="00120FC1" w14:paraId="583F09AF" w14:textId="77777777" w:rsidTr="00CE5FBA">
        <w:trPr>
          <w:trHeight w:val="369"/>
        </w:trPr>
        <w:tc>
          <w:tcPr>
            <w:tcW w:w="1560" w:type="dxa"/>
            <w:tcBorders>
              <w:top w:val="single" w:sz="6" w:space="0" w:color="auto"/>
              <w:bottom w:val="single" w:sz="6" w:space="0" w:color="auto"/>
              <w:right w:val="single" w:sz="6" w:space="0" w:color="auto"/>
            </w:tcBorders>
          </w:tcPr>
          <w:p w14:paraId="2676819F"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EF</w:t>
            </w:r>
            <w:r>
              <w:rPr>
                <w:rFonts w:ascii="Arial" w:hAnsi="Arial" w:cs="Arial"/>
                <w:bCs/>
                <w:sz w:val="18"/>
                <w:szCs w:val="18"/>
                <w:vertAlign w:val="subscript"/>
              </w:rPr>
              <w:t>sl</w:t>
            </w:r>
          </w:p>
        </w:tc>
        <w:tc>
          <w:tcPr>
            <w:tcW w:w="6945" w:type="dxa"/>
            <w:tcBorders>
              <w:top w:val="single" w:sz="6" w:space="0" w:color="auto"/>
              <w:left w:val="single" w:sz="6" w:space="0" w:color="auto"/>
              <w:bottom w:val="single" w:sz="6" w:space="0" w:color="auto"/>
            </w:tcBorders>
          </w:tcPr>
          <w:p w14:paraId="2B578967" w14:textId="77777777" w:rsidR="00120FC1" w:rsidRDefault="00120FC1" w:rsidP="00895257">
            <w:pPr>
              <w:pStyle w:val="BodyText"/>
              <w:tabs>
                <w:tab w:val="left" w:pos="0"/>
                <w:tab w:val="left" w:pos="2250"/>
              </w:tabs>
              <w:spacing w:before="60" w:after="0" w:line="312" w:lineRule="auto"/>
              <w:ind w:left="85"/>
              <w:rPr>
                <w:rFonts w:ascii="Arial" w:hAnsi="Arial" w:cs="Arial"/>
                <w:sz w:val="18"/>
                <w:szCs w:val="18"/>
              </w:rPr>
            </w:pPr>
            <w:r>
              <w:rPr>
                <w:rFonts w:ascii="Arial" w:hAnsi="Arial" w:cs="Arial"/>
                <w:sz w:val="18"/>
                <w:szCs w:val="18"/>
              </w:rPr>
              <w:t xml:space="preserve">Default methane emission factor for sludge with value of </w:t>
            </w:r>
            <w:r w:rsidR="00895257">
              <w:rPr>
                <w:rFonts w:ascii="Arial" w:hAnsi="Arial" w:cs="Arial"/>
                <w:sz w:val="18"/>
                <w:szCs w:val="18"/>
              </w:rPr>
              <w:t>6</w:t>
            </w:r>
            <w:r>
              <w:rPr>
                <w:rFonts w:ascii="Arial" w:hAnsi="Arial" w:cs="Arial"/>
                <w:sz w:val="18"/>
                <w:szCs w:val="18"/>
              </w:rPr>
              <w:t>.3 tonnes CO</w:t>
            </w:r>
            <w:r w:rsidRPr="00891FE3">
              <w:rPr>
                <w:rFonts w:ascii="Arial" w:hAnsi="Arial" w:cs="Arial"/>
                <w:sz w:val="18"/>
                <w:szCs w:val="18"/>
                <w:vertAlign w:val="subscript"/>
              </w:rPr>
              <w:t>2</w:t>
            </w:r>
            <w:r>
              <w:rPr>
                <w:rFonts w:ascii="Arial" w:hAnsi="Arial" w:cs="Arial"/>
                <w:sz w:val="18"/>
                <w:szCs w:val="18"/>
              </w:rPr>
              <w:t xml:space="preserve">-e/tonne COD (sludge) </w:t>
            </w:r>
          </w:p>
        </w:tc>
      </w:tr>
      <w:tr w:rsidR="00120FC1" w14:paraId="4689AA44" w14:textId="77777777" w:rsidTr="00CE5FBA">
        <w:trPr>
          <w:trHeight w:val="567"/>
        </w:trPr>
        <w:tc>
          <w:tcPr>
            <w:tcW w:w="1560" w:type="dxa"/>
            <w:tcBorders>
              <w:top w:val="single" w:sz="6" w:space="0" w:color="auto"/>
              <w:bottom w:val="single" w:sz="6" w:space="0" w:color="auto"/>
              <w:right w:val="single" w:sz="6" w:space="0" w:color="auto"/>
            </w:tcBorders>
          </w:tcPr>
          <w:p w14:paraId="0563738B" w14:textId="77777777" w:rsidR="00120FC1" w:rsidRDefault="00120FC1">
            <w:pPr>
              <w:pStyle w:val="BodyText"/>
              <w:tabs>
                <w:tab w:val="left" w:pos="0"/>
                <w:tab w:val="left" w:pos="2250"/>
              </w:tabs>
              <w:spacing w:before="120" w:after="0" w:line="312" w:lineRule="auto"/>
              <w:ind w:left="85"/>
              <w:rPr>
                <w:rFonts w:ascii="Arial" w:hAnsi="Arial" w:cs="Arial"/>
                <w:sz w:val="18"/>
                <w:szCs w:val="18"/>
              </w:rPr>
            </w:pPr>
            <w:r>
              <w:rPr>
                <w:rFonts w:ascii="Arial" w:hAnsi="Arial" w:cs="Arial"/>
                <w:bCs/>
                <w:sz w:val="18"/>
                <w:szCs w:val="18"/>
              </w:rPr>
              <w:t>MCFww and MCF</w:t>
            </w:r>
            <w:r w:rsidRPr="000C4426">
              <w:rPr>
                <w:rFonts w:ascii="Arial" w:hAnsi="Arial" w:cs="Arial"/>
                <w:bCs/>
                <w:sz w:val="18"/>
                <w:szCs w:val="18"/>
                <w:vertAlign w:val="subscript"/>
              </w:rPr>
              <w:t>sl</w:t>
            </w:r>
          </w:p>
        </w:tc>
        <w:tc>
          <w:tcPr>
            <w:tcW w:w="6945" w:type="dxa"/>
            <w:tcBorders>
              <w:top w:val="single" w:sz="6" w:space="0" w:color="auto"/>
              <w:left w:val="single" w:sz="6" w:space="0" w:color="auto"/>
              <w:bottom w:val="single" w:sz="6" w:space="0" w:color="auto"/>
            </w:tcBorders>
          </w:tcPr>
          <w:p w14:paraId="53543D5D" w14:textId="77777777" w:rsidR="00120FC1" w:rsidRDefault="00120FC1" w:rsidP="00D9432B">
            <w:pPr>
              <w:pStyle w:val="BodyText"/>
              <w:tabs>
                <w:tab w:val="left" w:pos="0"/>
                <w:tab w:val="left" w:pos="2250"/>
              </w:tabs>
              <w:spacing w:before="60" w:after="0" w:line="312" w:lineRule="auto"/>
              <w:ind w:left="85"/>
              <w:rPr>
                <w:rFonts w:ascii="Arial" w:hAnsi="Arial" w:cs="Arial"/>
                <w:sz w:val="18"/>
                <w:szCs w:val="18"/>
              </w:rPr>
            </w:pPr>
            <w:r>
              <w:rPr>
                <w:rFonts w:ascii="Arial" w:hAnsi="Arial" w:cs="Arial"/>
                <w:sz w:val="18"/>
                <w:szCs w:val="18"/>
              </w:rPr>
              <w:t>Fraction of COD anaerobically treated in wastewater (ww) and sludge (sl).  This value varies according to wastewater treatment type.  IPCC defaults are:</w:t>
            </w:r>
          </w:p>
          <w:p w14:paraId="61C2F685" w14:textId="77777777" w:rsidR="00120FC1" w:rsidRDefault="00120FC1" w:rsidP="00D9432B">
            <w:pPr>
              <w:pStyle w:val="BodyText"/>
              <w:tabs>
                <w:tab w:val="left" w:pos="0"/>
                <w:tab w:val="left" w:pos="2250"/>
              </w:tabs>
              <w:spacing w:before="60" w:after="0" w:line="312" w:lineRule="auto"/>
              <w:ind w:left="85"/>
              <w:rPr>
                <w:rFonts w:ascii="Arial" w:hAnsi="Arial" w:cs="Arial"/>
                <w:sz w:val="18"/>
                <w:szCs w:val="18"/>
              </w:rPr>
            </w:pPr>
            <w:r>
              <w:rPr>
                <w:rFonts w:ascii="Arial" w:hAnsi="Arial" w:cs="Arial"/>
                <w:sz w:val="18"/>
                <w:szCs w:val="18"/>
              </w:rPr>
              <w:t>Managed aerobic treatment – 0</w:t>
            </w:r>
          </w:p>
          <w:p w14:paraId="0F782F13" w14:textId="77777777" w:rsidR="00120FC1" w:rsidRDefault="00120FC1" w:rsidP="00D9432B">
            <w:pPr>
              <w:pStyle w:val="BodyText"/>
              <w:tabs>
                <w:tab w:val="left" w:pos="0"/>
                <w:tab w:val="left" w:pos="2250"/>
              </w:tabs>
              <w:spacing w:before="60" w:after="0" w:line="312" w:lineRule="auto"/>
              <w:ind w:left="85"/>
              <w:rPr>
                <w:rFonts w:ascii="Arial" w:hAnsi="Arial" w:cs="Arial"/>
                <w:sz w:val="18"/>
                <w:szCs w:val="18"/>
              </w:rPr>
            </w:pPr>
            <w:r>
              <w:rPr>
                <w:rFonts w:ascii="Arial" w:hAnsi="Arial" w:cs="Arial"/>
                <w:sz w:val="18"/>
                <w:szCs w:val="18"/>
              </w:rPr>
              <w:t>Unmanaged aerobic treatment – 0.3</w:t>
            </w:r>
          </w:p>
          <w:p w14:paraId="10B2AED1" w14:textId="77777777" w:rsidR="00120FC1" w:rsidRDefault="00120FC1" w:rsidP="00D9432B">
            <w:pPr>
              <w:pStyle w:val="BodyText"/>
              <w:tabs>
                <w:tab w:val="left" w:pos="0"/>
                <w:tab w:val="left" w:pos="2250"/>
              </w:tabs>
              <w:spacing w:before="60" w:after="0" w:line="312" w:lineRule="auto"/>
              <w:ind w:left="85"/>
              <w:rPr>
                <w:rFonts w:ascii="Arial" w:hAnsi="Arial" w:cs="Arial"/>
                <w:sz w:val="18"/>
                <w:szCs w:val="18"/>
              </w:rPr>
            </w:pPr>
            <w:r>
              <w:rPr>
                <w:rFonts w:ascii="Arial" w:hAnsi="Arial" w:cs="Arial"/>
                <w:sz w:val="18"/>
                <w:szCs w:val="18"/>
              </w:rPr>
              <w:t>Anaerobic digester/reactor – 0.8</w:t>
            </w:r>
          </w:p>
          <w:p w14:paraId="31E94345" w14:textId="77777777" w:rsidR="00120FC1" w:rsidRDefault="00120FC1" w:rsidP="00D9432B">
            <w:pPr>
              <w:pStyle w:val="BodyText"/>
              <w:tabs>
                <w:tab w:val="left" w:pos="0"/>
                <w:tab w:val="left" w:pos="2250"/>
              </w:tabs>
              <w:spacing w:before="60" w:after="0" w:line="312" w:lineRule="auto"/>
              <w:ind w:left="85"/>
              <w:rPr>
                <w:rFonts w:ascii="Arial" w:hAnsi="Arial" w:cs="Arial"/>
                <w:sz w:val="18"/>
                <w:szCs w:val="18"/>
              </w:rPr>
            </w:pPr>
            <w:r>
              <w:rPr>
                <w:rFonts w:ascii="Arial" w:hAnsi="Arial" w:cs="Arial"/>
                <w:sz w:val="18"/>
                <w:szCs w:val="18"/>
              </w:rPr>
              <w:t>Shallow anaerobic lagoon (&lt;2 metres) – 0.2</w:t>
            </w:r>
          </w:p>
          <w:p w14:paraId="5CC68282" w14:textId="77777777" w:rsidR="00120FC1" w:rsidRDefault="00120FC1">
            <w:pPr>
              <w:pStyle w:val="BodyText"/>
              <w:tabs>
                <w:tab w:val="left" w:pos="0"/>
                <w:tab w:val="left" w:pos="2250"/>
              </w:tabs>
              <w:spacing w:before="120" w:after="0" w:line="312" w:lineRule="auto"/>
              <w:ind w:left="85"/>
              <w:rPr>
                <w:rFonts w:ascii="Arial" w:hAnsi="Arial" w:cs="Arial"/>
                <w:sz w:val="18"/>
                <w:szCs w:val="18"/>
              </w:rPr>
            </w:pPr>
            <w:r>
              <w:rPr>
                <w:rFonts w:ascii="Arial" w:hAnsi="Arial" w:cs="Arial"/>
                <w:sz w:val="18"/>
                <w:szCs w:val="18"/>
              </w:rPr>
              <w:t>Deep anaerobic lagoon (&gt;2 metres)– 0.8</w:t>
            </w:r>
          </w:p>
        </w:tc>
      </w:tr>
      <w:tr w:rsidR="00120FC1" w14:paraId="12DB088A" w14:textId="77777777" w:rsidTr="00CE5FBA">
        <w:trPr>
          <w:trHeight w:val="284"/>
        </w:trPr>
        <w:tc>
          <w:tcPr>
            <w:tcW w:w="1560" w:type="dxa"/>
            <w:tcBorders>
              <w:top w:val="single" w:sz="6" w:space="0" w:color="auto"/>
              <w:bottom w:val="single" w:sz="6" w:space="0" w:color="auto"/>
              <w:right w:val="single" w:sz="6" w:space="0" w:color="auto"/>
            </w:tcBorders>
          </w:tcPr>
          <w:p w14:paraId="2A55C1E7"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bCs/>
                <w:sz w:val="18"/>
                <w:szCs w:val="18"/>
              </w:rPr>
              <w:t>R</w:t>
            </w:r>
          </w:p>
        </w:tc>
        <w:tc>
          <w:tcPr>
            <w:tcW w:w="6945" w:type="dxa"/>
            <w:tcBorders>
              <w:top w:val="single" w:sz="6" w:space="0" w:color="auto"/>
              <w:left w:val="single" w:sz="6" w:space="0" w:color="auto"/>
              <w:bottom w:val="single" w:sz="6" w:space="0" w:color="auto"/>
            </w:tcBorders>
          </w:tcPr>
          <w:p w14:paraId="36FC9488" w14:textId="77777777" w:rsidR="00120FC1" w:rsidRDefault="00120FC1">
            <w:pPr>
              <w:pStyle w:val="BodyText"/>
              <w:tabs>
                <w:tab w:val="left" w:pos="0"/>
                <w:tab w:val="left" w:pos="2250"/>
              </w:tabs>
              <w:spacing w:before="120" w:after="0" w:line="312" w:lineRule="auto"/>
              <w:ind w:left="85"/>
              <w:rPr>
                <w:rFonts w:ascii="Arial" w:hAnsi="Arial" w:cs="Arial"/>
                <w:bCs/>
                <w:sz w:val="18"/>
                <w:szCs w:val="18"/>
              </w:rPr>
            </w:pPr>
            <w:r>
              <w:rPr>
                <w:rFonts w:ascii="Arial" w:hAnsi="Arial" w:cs="Arial"/>
                <w:sz w:val="18"/>
                <w:szCs w:val="18"/>
              </w:rPr>
              <w:t>Recovered methane from wastewater in an inventory year, measured/expressed in tonnes</w:t>
            </w:r>
          </w:p>
        </w:tc>
      </w:tr>
    </w:tbl>
    <w:p w14:paraId="77E35585" w14:textId="77777777" w:rsidR="00010E2E" w:rsidRDefault="00010E2E">
      <w:pPr>
        <w:pStyle w:val="BodyText"/>
        <w:tabs>
          <w:tab w:val="left" w:pos="0"/>
          <w:tab w:val="left" w:pos="2250"/>
        </w:tabs>
        <w:spacing w:before="120" w:after="0" w:line="312" w:lineRule="auto"/>
        <w:rPr>
          <w:rFonts w:ascii="Arial" w:hAnsi="Arial" w:cs="Arial"/>
        </w:rPr>
      </w:pPr>
    </w:p>
    <w:p w14:paraId="6754C2C7" w14:textId="77777777" w:rsidR="009843AA" w:rsidRDefault="007D2EBB" w:rsidP="009843AA">
      <w:pPr>
        <w:pStyle w:val="Heading1"/>
        <w:numPr>
          <w:ilvl w:val="0"/>
          <w:numId w:val="0"/>
        </w:numPr>
        <w:tabs>
          <w:tab w:val="left" w:pos="0"/>
          <w:tab w:val="left" w:pos="2250"/>
        </w:tabs>
        <w:spacing w:before="120" w:after="0" w:line="312" w:lineRule="auto"/>
        <w:rPr>
          <w:rFonts w:ascii="Arial" w:hAnsi="Arial" w:cs="Arial"/>
        </w:rPr>
      </w:pPr>
      <w:r>
        <w:rPr>
          <w:rFonts w:ascii="Arial" w:hAnsi="Arial" w:cs="Arial"/>
        </w:rPr>
        <w:br w:type="page"/>
      </w:r>
      <w:bookmarkStart w:id="175" w:name="_Toc391646686"/>
      <w:r w:rsidR="009843AA" w:rsidRPr="00D31A06">
        <w:rPr>
          <w:rFonts w:ascii="Arial" w:hAnsi="Arial" w:cs="Arial"/>
        </w:rPr>
        <w:t>Appendix 5   Revisions to factors from previous issue</w:t>
      </w:r>
      <w:bookmarkEnd w:id="175"/>
    </w:p>
    <w:p w14:paraId="39C1490D" w14:textId="77777777" w:rsidR="009843AA" w:rsidRDefault="009843AA" w:rsidP="001F4FF2">
      <w:pPr>
        <w:pStyle w:val="Bullet"/>
        <w:numPr>
          <w:ilvl w:val="0"/>
          <w:numId w:val="0"/>
        </w:numPr>
        <w:ind w:left="350"/>
        <w:rPr>
          <w:snapToGrid w:val="0"/>
        </w:rPr>
      </w:pPr>
    </w:p>
    <w:p w14:paraId="471C3BC2" w14:textId="22579A1C" w:rsidR="00CC1948" w:rsidRDefault="00CC1948" w:rsidP="00CC1948">
      <w:pPr>
        <w:spacing w:before="120" w:line="312" w:lineRule="auto"/>
        <w:ind w:left="0"/>
        <w:rPr>
          <w:rFonts w:ascii="Arial" w:hAnsi="Arial" w:cs="Arial"/>
        </w:rPr>
      </w:pPr>
      <w:r>
        <w:rPr>
          <w:rFonts w:ascii="Arial" w:hAnsi="Arial" w:cs="Arial"/>
        </w:rPr>
        <w:t xml:space="preserve">The </w:t>
      </w:r>
      <w:r>
        <w:rPr>
          <w:rFonts w:ascii="Arial" w:hAnsi="Arial" w:cs="Arial"/>
          <w:i/>
        </w:rPr>
        <w:t>National Greenhouse Accounts (NGA)</w:t>
      </w:r>
      <w:r w:rsidR="00A855E9">
        <w:rPr>
          <w:rFonts w:ascii="Arial" w:hAnsi="Arial" w:cs="Arial"/>
          <w:i/>
        </w:rPr>
        <w:t xml:space="preserve"> Factors Workbook</w:t>
      </w:r>
      <w:r>
        <w:rPr>
          <w:rFonts w:ascii="Arial" w:hAnsi="Arial" w:cs="Arial"/>
          <w:i/>
        </w:rPr>
        <w:t xml:space="preserve"> </w:t>
      </w:r>
      <w:r>
        <w:rPr>
          <w:rFonts w:ascii="Arial" w:hAnsi="Arial" w:cs="Arial"/>
        </w:rPr>
        <w:t>ha</w:t>
      </w:r>
      <w:r w:rsidR="00A855E9">
        <w:rPr>
          <w:rFonts w:ascii="Arial" w:hAnsi="Arial" w:cs="Arial"/>
        </w:rPr>
        <w:t>s</w:t>
      </w:r>
      <w:r>
        <w:rPr>
          <w:rFonts w:ascii="Arial" w:hAnsi="Arial" w:cs="Arial"/>
        </w:rPr>
        <w:t xml:space="preserve"> been updated to include the latest amendments to Method 1 methodologies within the </w:t>
      </w:r>
      <w:r>
        <w:rPr>
          <w:rFonts w:ascii="Arial" w:hAnsi="Arial" w:cs="Arial"/>
          <w:i/>
        </w:rPr>
        <w:t>National Greenhouse and Energy Reporting (Measurement) Amendment</w:t>
      </w:r>
      <w:r w:rsidR="005C134C">
        <w:rPr>
          <w:rFonts w:ascii="Arial" w:hAnsi="Arial" w:cs="Arial"/>
          <w:i/>
        </w:rPr>
        <w:t xml:space="preserve"> (Energy)</w:t>
      </w:r>
      <w:r>
        <w:rPr>
          <w:rFonts w:ascii="Arial" w:hAnsi="Arial" w:cs="Arial"/>
          <w:i/>
        </w:rPr>
        <w:t xml:space="preserve"> Determination 201</w:t>
      </w:r>
      <w:r w:rsidR="00011076">
        <w:rPr>
          <w:rFonts w:ascii="Arial" w:hAnsi="Arial" w:cs="Arial"/>
          <w:i/>
        </w:rPr>
        <w:t>7</w:t>
      </w:r>
      <w:r w:rsidR="000F6D22">
        <w:rPr>
          <w:rFonts w:ascii="Arial" w:hAnsi="Arial" w:cs="Arial"/>
          <w:i/>
        </w:rPr>
        <w:t>.</w:t>
      </w:r>
    </w:p>
    <w:p w14:paraId="212D589F" w14:textId="77777777" w:rsidR="00CC1948" w:rsidRDefault="00CC1948" w:rsidP="00CC1948">
      <w:pPr>
        <w:spacing w:before="120" w:line="312" w:lineRule="auto"/>
        <w:ind w:left="0"/>
        <w:rPr>
          <w:rFonts w:ascii="Arial" w:hAnsi="Arial" w:cs="Arial"/>
        </w:rPr>
      </w:pPr>
      <w:bookmarkStart w:id="176" w:name="_Toc391383989"/>
      <w:bookmarkStart w:id="177" w:name="_Toc329179115"/>
      <w:bookmarkStart w:id="178" w:name="_Toc391646732"/>
      <w:bookmarkEnd w:id="176"/>
      <w:bookmarkEnd w:id="177"/>
      <w:r>
        <w:rPr>
          <w:rFonts w:ascii="Arial" w:hAnsi="Arial" w:cs="Arial"/>
        </w:rPr>
        <w:t>Updates in this workbook include:</w:t>
      </w:r>
    </w:p>
    <w:p w14:paraId="79A7372E" w14:textId="15BFF04D" w:rsidR="00786715" w:rsidRDefault="00786715" w:rsidP="00CC1948">
      <w:pPr>
        <w:spacing w:before="120" w:line="312" w:lineRule="auto"/>
        <w:ind w:left="0"/>
        <w:rPr>
          <w:rFonts w:ascii="Arial" w:hAnsi="Arial" w:cs="Arial"/>
        </w:rPr>
      </w:pPr>
      <w:r>
        <w:rPr>
          <w:rFonts w:ascii="Arial" w:hAnsi="Arial" w:cs="Arial"/>
        </w:rPr>
        <w:t xml:space="preserve">1. </w:t>
      </w:r>
      <w:r w:rsidR="0014190E">
        <w:rPr>
          <w:rFonts w:ascii="Arial" w:hAnsi="Arial" w:cs="Arial"/>
        </w:rPr>
        <w:t xml:space="preserve">In response to stakeholder feedback a section providing information on how scope 2 </w:t>
      </w:r>
      <w:r w:rsidR="00345729">
        <w:rPr>
          <w:rFonts w:ascii="Arial" w:hAnsi="Arial" w:cs="Arial"/>
        </w:rPr>
        <w:t xml:space="preserve">emission </w:t>
      </w:r>
      <w:r w:rsidR="0014190E">
        <w:rPr>
          <w:rFonts w:ascii="Arial" w:hAnsi="Arial" w:cs="Arial"/>
        </w:rPr>
        <w:t>factors are calculated has been added to section 2.3 (Section 2.3.1 page 1</w:t>
      </w:r>
      <w:r w:rsidR="00FA003A">
        <w:rPr>
          <w:rFonts w:ascii="Arial" w:hAnsi="Arial" w:cs="Arial"/>
        </w:rPr>
        <w:t>8</w:t>
      </w:r>
      <w:r w:rsidR="0014190E">
        <w:rPr>
          <w:rFonts w:ascii="Arial" w:hAnsi="Arial" w:cs="Arial"/>
        </w:rPr>
        <w:t>).</w:t>
      </w:r>
    </w:p>
    <w:p w14:paraId="429E0C94" w14:textId="7F72826D" w:rsidR="00AE19F6" w:rsidRDefault="00786715" w:rsidP="00914552">
      <w:pPr>
        <w:spacing w:before="120" w:line="312" w:lineRule="auto"/>
        <w:ind w:left="0"/>
        <w:rPr>
          <w:rFonts w:ascii="Arial" w:hAnsi="Arial" w:cs="Arial"/>
        </w:rPr>
      </w:pPr>
      <w:r>
        <w:rPr>
          <w:rFonts w:ascii="Arial" w:hAnsi="Arial" w:cs="Arial"/>
        </w:rPr>
        <w:t>2</w:t>
      </w:r>
      <w:r w:rsidR="00064496">
        <w:rPr>
          <w:rFonts w:ascii="Arial" w:hAnsi="Arial" w:cs="Arial"/>
        </w:rPr>
        <w:t xml:space="preserve">. </w:t>
      </w:r>
      <w:r w:rsidR="004C79E4">
        <w:rPr>
          <w:rFonts w:ascii="Arial" w:hAnsi="Arial" w:cs="Arial"/>
        </w:rPr>
        <w:t xml:space="preserve"> </w:t>
      </w:r>
      <w:r w:rsidR="00CC1948" w:rsidRPr="003F782F">
        <w:rPr>
          <w:rFonts w:ascii="Arial" w:hAnsi="Arial" w:cs="Arial"/>
        </w:rPr>
        <w:t xml:space="preserve">Electricity </w:t>
      </w:r>
      <w:r w:rsidR="00B31010" w:rsidRPr="003F782F">
        <w:rPr>
          <w:rFonts w:ascii="Arial" w:hAnsi="Arial" w:cs="Arial"/>
        </w:rPr>
        <w:t xml:space="preserve">– </w:t>
      </w:r>
      <w:r w:rsidR="00CC1948" w:rsidRPr="003F782F">
        <w:rPr>
          <w:rFonts w:ascii="Arial" w:hAnsi="Arial" w:cs="Arial"/>
        </w:rPr>
        <w:t>scope 2</w:t>
      </w:r>
      <w:r w:rsidR="00883265">
        <w:rPr>
          <w:rFonts w:ascii="Arial" w:hAnsi="Arial" w:cs="Arial"/>
        </w:rPr>
        <w:t xml:space="preserve"> </w:t>
      </w:r>
      <w:r w:rsidR="00CC1948" w:rsidRPr="003F782F">
        <w:rPr>
          <w:rFonts w:ascii="Arial" w:hAnsi="Arial" w:cs="Arial"/>
        </w:rPr>
        <w:t>emiss</w:t>
      </w:r>
      <w:r w:rsidR="00B75991" w:rsidRPr="00B75991">
        <w:rPr>
          <w:rFonts w:ascii="Arial" w:hAnsi="Arial" w:cs="Arial"/>
        </w:rPr>
        <w:t xml:space="preserve">ion factors </w:t>
      </w:r>
      <w:r w:rsidR="00AE19F6" w:rsidRPr="00B75991">
        <w:rPr>
          <w:rFonts w:ascii="Arial" w:hAnsi="Arial" w:cs="Arial"/>
        </w:rPr>
        <w:t xml:space="preserve">have been updated to reflect the latest </w:t>
      </w:r>
      <w:r w:rsidR="00AE19F6">
        <w:rPr>
          <w:rFonts w:ascii="Arial" w:hAnsi="Arial" w:cs="Arial"/>
        </w:rPr>
        <w:t>estimates</w:t>
      </w:r>
      <w:r w:rsidR="00AE19F6" w:rsidRPr="00B75991">
        <w:rPr>
          <w:rFonts w:ascii="Arial" w:hAnsi="Arial" w:cs="Arial"/>
        </w:rPr>
        <w:t xml:space="preserve"> (Tables 5 </w:t>
      </w:r>
      <w:r w:rsidR="00AE19F6">
        <w:rPr>
          <w:rFonts w:ascii="Arial" w:hAnsi="Arial" w:cs="Arial"/>
        </w:rPr>
        <w:t>and</w:t>
      </w:r>
      <w:r w:rsidR="00AE19F6" w:rsidRPr="00B75991">
        <w:rPr>
          <w:rFonts w:ascii="Arial" w:hAnsi="Arial" w:cs="Arial"/>
        </w:rPr>
        <w:t xml:space="preserve"> 6</w:t>
      </w:r>
      <w:r w:rsidR="00AE19F6">
        <w:rPr>
          <w:rFonts w:ascii="Arial" w:hAnsi="Arial" w:cs="Arial"/>
        </w:rPr>
        <w:t>, page 20 and 21</w:t>
      </w:r>
      <w:r w:rsidR="00AE19F6" w:rsidRPr="00B75991">
        <w:rPr>
          <w:rFonts w:ascii="Arial" w:hAnsi="Arial" w:cs="Arial"/>
        </w:rPr>
        <w:t>)</w:t>
      </w:r>
      <w:r w:rsidR="00AE19F6">
        <w:rPr>
          <w:rFonts w:ascii="Arial" w:hAnsi="Arial" w:cs="Arial"/>
        </w:rPr>
        <w:t>.</w:t>
      </w:r>
    </w:p>
    <w:p w14:paraId="63AD88C0" w14:textId="7BA0714D" w:rsidR="008B7F00" w:rsidRPr="00914552" w:rsidRDefault="00AE19F6" w:rsidP="00914552">
      <w:pPr>
        <w:pStyle w:val="ListParagraph"/>
        <w:numPr>
          <w:ilvl w:val="0"/>
          <w:numId w:val="1"/>
        </w:numPr>
        <w:tabs>
          <w:tab w:val="num" w:pos="720"/>
        </w:tabs>
        <w:spacing w:before="120" w:line="312" w:lineRule="auto"/>
        <w:ind w:left="720"/>
        <w:rPr>
          <w:rFonts w:ascii="Arial" w:hAnsi="Arial" w:cs="Arial"/>
        </w:rPr>
      </w:pPr>
      <w:r w:rsidRPr="00914552">
        <w:rPr>
          <w:rFonts w:ascii="Arial" w:hAnsi="Arial" w:cs="Arial"/>
        </w:rPr>
        <w:t xml:space="preserve">Scope 2 emission factors allow for the derivation of emissions associated with the </w:t>
      </w:r>
      <w:r w:rsidR="00064496" w:rsidRPr="00914552">
        <w:rPr>
          <w:rFonts w:ascii="Arial" w:hAnsi="Arial" w:cs="Arial"/>
        </w:rPr>
        <w:t xml:space="preserve"> consumption of purchased electricity from the grid</w:t>
      </w:r>
      <w:r w:rsidR="0020202E" w:rsidRPr="00914552">
        <w:rPr>
          <w:rFonts w:ascii="Arial" w:hAnsi="Arial" w:cs="Arial"/>
        </w:rPr>
        <w:t>,</w:t>
      </w:r>
      <w:r w:rsidR="0020202E" w:rsidRPr="00AE19F6">
        <w:rPr>
          <w:rFonts w:ascii="Arial" w:hAnsi="Arial" w:cs="Arial"/>
        </w:rPr>
        <w:t xml:space="preserve"> </w:t>
      </w:r>
      <w:r w:rsidR="0020202E" w:rsidRPr="00914552">
        <w:rPr>
          <w:rFonts w:ascii="Arial" w:hAnsi="Arial" w:cs="Arial"/>
        </w:rPr>
        <w:t>or loss of electricity from an electricity transmission or distribution network that is, or is part of, the main electricity grid in a State or Territory</w:t>
      </w:r>
      <w:r w:rsidR="00141C4B" w:rsidRPr="00914552">
        <w:rPr>
          <w:rFonts w:ascii="Arial" w:hAnsi="Arial" w:cs="Arial"/>
        </w:rPr>
        <w:t>.</w:t>
      </w:r>
    </w:p>
    <w:p w14:paraId="13642869" w14:textId="02B416F3" w:rsidR="008B7F00" w:rsidRDefault="00786715">
      <w:pPr>
        <w:spacing w:before="120" w:line="312" w:lineRule="auto"/>
        <w:ind w:left="0"/>
      </w:pPr>
      <w:r>
        <w:rPr>
          <w:rFonts w:ascii="Arial" w:hAnsi="Arial" w:cs="Arial"/>
        </w:rPr>
        <w:t>3</w:t>
      </w:r>
      <w:r w:rsidR="00B75991" w:rsidRPr="00B75991">
        <w:rPr>
          <w:rFonts w:ascii="Arial" w:hAnsi="Arial" w:cs="Arial"/>
        </w:rPr>
        <w:t xml:space="preserve">. Electricity – scope 2 and 3 emission factors “latest estimate” figures in the previous 2015 NGA Factors publication have been updated with 2016 figures (Table </w:t>
      </w:r>
      <w:r w:rsidR="00064496">
        <w:rPr>
          <w:rFonts w:ascii="Arial" w:hAnsi="Arial" w:cs="Arial"/>
        </w:rPr>
        <w:t>41</w:t>
      </w:r>
      <w:r w:rsidR="00B75991" w:rsidRPr="00B75991">
        <w:rPr>
          <w:rFonts w:ascii="Arial" w:hAnsi="Arial" w:cs="Arial"/>
        </w:rPr>
        <w:t>, page 6</w:t>
      </w:r>
      <w:r w:rsidR="00FA003A">
        <w:rPr>
          <w:rFonts w:ascii="Arial" w:hAnsi="Arial" w:cs="Arial"/>
        </w:rPr>
        <w:t>9</w:t>
      </w:r>
      <w:r w:rsidR="00B75991" w:rsidRPr="00B75991">
        <w:rPr>
          <w:rFonts w:ascii="Arial" w:hAnsi="Arial" w:cs="Arial"/>
        </w:rPr>
        <w:t>)</w:t>
      </w:r>
      <w:r w:rsidR="00141C4B">
        <w:rPr>
          <w:rFonts w:ascii="Arial" w:hAnsi="Arial" w:cs="Arial"/>
        </w:rPr>
        <w:t>.</w:t>
      </w:r>
    </w:p>
    <w:p w14:paraId="046F04E3" w14:textId="77777777" w:rsidR="008B7F00" w:rsidRDefault="008B7F00">
      <w:pPr>
        <w:spacing w:before="120" w:line="312" w:lineRule="auto"/>
        <w:ind w:left="0"/>
      </w:pPr>
    </w:p>
    <w:tbl>
      <w:tblPr>
        <w:tblW w:w="8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6"/>
        <w:gridCol w:w="843"/>
        <w:gridCol w:w="844"/>
        <w:gridCol w:w="843"/>
        <w:gridCol w:w="844"/>
        <w:gridCol w:w="984"/>
        <w:gridCol w:w="984"/>
        <w:gridCol w:w="844"/>
        <w:gridCol w:w="984"/>
      </w:tblGrid>
      <w:tr w:rsidR="00955CD2" w14:paraId="252258D2" w14:textId="77777777" w:rsidTr="00955CD2">
        <w:trPr>
          <w:cantSplit/>
          <w:trHeight w:val="550"/>
          <w:tblHeader/>
        </w:trPr>
        <w:tc>
          <w:tcPr>
            <w:tcW w:w="1406" w:type="dxa"/>
            <w:vMerge w:val="restart"/>
            <w:shd w:val="pct15" w:color="auto" w:fill="auto"/>
          </w:tcPr>
          <w:p w14:paraId="321B298B" w14:textId="77777777" w:rsidR="00955CD2" w:rsidRDefault="00955CD2" w:rsidP="00955CD2">
            <w:pPr>
              <w:pStyle w:val="Table"/>
              <w:rPr>
                <w:b/>
                <w:bCs/>
              </w:rPr>
            </w:pPr>
            <w:r>
              <w:rPr>
                <w:b/>
                <w:bCs/>
              </w:rPr>
              <w:t>State or territory</w:t>
            </w:r>
          </w:p>
        </w:tc>
        <w:tc>
          <w:tcPr>
            <w:tcW w:w="3374" w:type="dxa"/>
            <w:gridSpan w:val="4"/>
            <w:shd w:val="pct15" w:color="auto" w:fill="auto"/>
          </w:tcPr>
          <w:p w14:paraId="5715925C" w14:textId="77777777" w:rsidR="00955CD2" w:rsidRDefault="00955CD2" w:rsidP="00955CD2">
            <w:pPr>
              <w:pStyle w:val="TableCentre"/>
              <w:rPr>
                <w:b/>
                <w:bCs/>
              </w:rPr>
            </w:pPr>
            <w:r>
              <w:rPr>
                <w:b/>
                <w:bCs/>
              </w:rPr>
              <w:t xml:space="preserve">EF for scope 2 </w:t>
            </w:r>
            <w:r>
              <w:rPr>
                <w:b/>
                <w:bCs/>
              </w:rPr>
              <w:br/>
            </w:r>
          </w:p>
        </w:tc>
        <w:tc>
          <w:tcPr>
            <w:tcW w:w="3796" w:type="dxa"/>
            <w:gridSpan w:val="4"/>
            <w:shd w:val="pct15" w:color="auto" w:fill="auto"/>
          </w:tcPr>
          <w:p w14:paraId="719CBD98" w14:textId="77777777" w:rsidR="00955CD2" w:rsidRDefault="00955CD2" w:rsidP="00955CD2">
            <w:pPr>
              <w:pStyle w:val="TableCentre"/>
              <w:rPr>
                <w:b/>
                <w:bCs/>
              </w:rPr>
            </w:pPr>
            <w:r>
              <w:rPr>
                <w:b/>
                <w:bCs/>
              </w:rPr>
              <w:t>EF for scope 3</w:t>
            </w:r>
            <w:r>
              <w:rPr>
                <w:b/>
                <w:bCs/>
              </w:rPr>
              <w:br/>
            </w:r>
          </w:p>
        </w:tc>
      </w:tr>
      <w:tr w:rsidR="00955CD2" w14:paraId="4D1B5223" w14:textId="77777777" w:rsidTr="00955CD2">
        <w:trPr>
          <w:cantSplit/>
          <w:trHeight w:val="146"/>
          <w:tblHeader/>
        </w:trPr>
        <w:tc>
          <w:tcPr>
            <w:tcW w:w="1406" w:type="dxa"/>
            <w:vMerge/>
            <w:shd w:val="pct15" w:color="auto" w:fill="auto"/>
          </w:tcPr>
          <w:p w14:paraId="31B639A5" w14:textId="77777777" w:rsidR="00955CD2" w:rsidRDefault="00955CD2" w:rsidP="00955CD2">
            <w:pPr>
              <w:pStyle w:val="Table"/>
              <w:rPr>
                <w:b/>
                <w:bCs/>
              </w:rPr>
            </w:pPr>
          </w:p>
        </w:tc>
        <w:tc>
          <w:tcPr>
            <w:tcW w:w="1687" w:type="dxa"/>
            <w:gridSpan w:val="2"/>
            <w:shd w:val="pct15" w:color="auto" w:fill="auto"/>
          </w:tcPr>
          <w:p w14:paraId="36CE421D" w14:textId="77777777" w:rsidR="00955CD2" w:rsidRDefault="00955CD2" w:rsidP="00955CD2">
            <w:pPr>
              <w:pStyle w:val="TableCentre"/>
              <w:rPr>
                <w:b/>
                <w:bCs/>
              </w:rPr>
            </w:pPr>
            <w:r>
              <w:rPr>
                <w:b/>
                <w:bCs/>
              </w:rPr>
              <w:t>Revised values</w:t>
            </w:r>
          </w:p>
        </w:tc>
        <w:tc>
          <w:tcPr>
            <w:tcW w:w="1687" w:type="dxa"/>
            <w:gridSpan w:val="2"/>
            <w:shd w:val="pct15" w:color="auto" w:fill="auto"/>
          </w:tcPr>
          <w:p w14:paraId="21CB1DD7" w14:textId="77777777" w:rsidR="00955CD2" w:rsidRDefault="00955CD2" w:rsidP="00955CD2">
            <w:pPr>
              <w:pStyle w:val="TableCentre"/>
              <w:rPr>
                <w:b/>
                <w:bCs/>
              </w:rPr>
            </w:pPr>
            <w:r>
              <w:rPr>
                <w:b/>
                <w:bCs/>
              </w:rPr>
              <w:t>Previous values</w:t>
            </w:r>
          </w:p>
        </w:tc>
        <w:tc>
          <w:tcPr>
            <w:tcW w:w="1968" w:type="dxa"/>
            <w:gridSpan w:val="2"/>
            <w:shd w:val="pct15" w:color="auto" w:fill="auto"/>
          </w:tcPr>
          <w:p w14:paraId="084489A4" w14:textId="77777777" w:rsidR="00955CD2" w:rsidRDefault="00955CD2" w:rsidP="00955CD2">
            <w:pPr>
              <w:pStyle w:val="TableCentre"/>
              <w:rPr>
                <w:b/>
                <w:bCs/>
              </w:rPr>
            </w:pPr>
            <w:r>
              <w:rPr>
                <w:b/>
                <w:bCs/>
              </w:rPr>
              <w:t>Revised values</w:t>
            </w:r>
          </w:p>
        </w:tc>
        <w:tc>
          <w:tcPr>
            <w:tcW w:w="1828" w:type="dxa"/>
            <w:gridSpan w:val="2"/>
            <w:shd w:val="pct15" w:color="auto" w:fill="auto"/>
          </w:tcPr>
          <w:p w14:paraId="48610576" w14:textId="77777777" w:rsidR="00955CD2" w:rsidRDefault="00955CD2" w:rsidP="00955CD2">
            <w:pPr>
              <w:pStyle w:val="TableCentre"/>
              <w:rPr>
                <w:b/>
                <w:bCs/>
              </w:rPr>
            </w:pPr>
            <w:r>
              <w:rPr>
                <w:b/>
                <w:bCs/>
              </w:rPr>
              <w:t>Previous values</w:t>
            </w:r>
          </w:p>
        </w:tc>
      </w:tr>
      <w:tr w:rsidR="00955CD2" w:rsidRPr="009B71CB" w14:paraId="5C786ECB" w14:textId="77777777" w:rsidTr="00955CD2">
        <w:trPr>
          <w:cantSplit/>
          <w:trHeight w:val="146"/>
          <w:tblHeader/>
        </w:trPr>
        <w:tc>
          <w:tcPr>
            <w:tcW w:w="1406" w:type="dxa"/>
            <w:vMerge/>
            <w:shd w:val="pct15" w:color="auto" w:fill="auto"/>
          </w:tcPr>
          <w:p w14:paraId="2C2AF37D" w14:textId="77777777" w:rsidR="00955CD2" w:rsidRDefault="00955CD2" w:rsidP="00955CD2">
            <w:pPr>
              <w:pStyle w:val="Table"/>
              <w:rPr>
                <w:b/>
                <w:bCs/>
              </w:rPr>
            </w:pPr>
          </w:p>
        </w:tc>
        <w:tc>
          <w:tcPr>
            <w:tcW w:w="843" w:type="dxa"/>
            <w:shd w:val="pct15" w:color="auto" w:fill="auto"/>
          </w:tcPr>
          <w:p w14:paraId="06CBD609"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-e/kWh</w:t>
            </w:r>
          </w:p>
        </w:tc>
        <w:tc>
          <w:tcPr>
            <w:tcW w:w="844" w:type="dxa"/>
            <w:shd w:val="pct15" w:color="auto" w:fill="auto"/>
          </w:tcPr>
          <w:p w14:paraId="54DEBFA8"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-e/GJ</w:t>
            </w:r>
          </w:p>
        </w:tc>
        <w:tc>
          <w:tcPr>
            <w:tcW w:w="843" w:type="dxa"/>
            <w:shd w:val="pct15" w:color="auto" w:fill="auto"/>
          </w:tcPr>
          <w:p w14:paraId="006B6634"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-e/kWh</w:t>
            </w:r>
          </w:p>
        </w:tc>
        <w:tc>
          <w:tcPr>
            <w:tcW w:w="844" w:type="dxa"/>
            <w:shd w:val="pct15" w:color="auto" w:fill="auto"/>
          </w:tcPr>
          <w:p w14:paraId="333C8806"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-e/GJ</w:t>
            </w:r>
          </w:p>
        </w:tc>
        <w:tc>
          <w:tcPr>
            <w:tcW w:w="984" w:type="dxa"/>
            <w:shd w:val="pct15" w:color="auto" w:fill="auto"/>
          </w:tcPr>
          <w:p w14:paraId="343B0B53"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-e/kWh</w:t>
            </w:r>
          </w:p>
        </w:tc>
        <w:tc>
          <w:tcPr>
            <w:tcW w:w="984" w:type="dxa"/>
            <w:shd w:val="pct15" w:color="auto" w:fill="auto"/>
          </w:tcPr>
          <w:p w14:paraId="582E3685"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-e/GJ</w:t>
            </w:r>
          </w:p>
        </w:tc>
        <w:tc>
          <w:tcPr>
            <w:tcW w:w="844" w:type="dxa"/>
            <w:shd w:val="pct15" w:color="auto" w:fill="auto"/>
          </w:tcPr>
          <w:p w14:paraId="7FEE79D2"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-e/kWh</w:t>
            </w:r>
          </w:p>
        </w:tc>
        <w:tc>
          <w:tcPr>
            <w:tcW w:w="984" w:type="dxa"/>
            <w:shd w:val="pct15" w:color="auto" w:fill="auto"/>
          </w:tcPr>
          <w:p w14:paraId="7AC46C37" w14:textId="77777777" w:rsidR="00955CD2" w:rsidRPr="009B71CB" w:rsidRDefault="00955CD2" w:rsidP="00955CD2">
            <w:pPr>
              <w:pStyle w:val="TableCentre"/>
              <w:rPr>
                <w:b/>
                <w:bCs/>
                <w:sz w:val="14"/>
                <w:szCs w:val="14"/>
              </w:rPr>
            </w:pPr>
            <w:r w:rsidRPr="009B71CB">
              <w:rPr>
                <w:b/>
                <w:bCs/>
                <w:sz w:val="14"/>
                <w:szCs w:val="14"/>
              </w:rPr>
              <w:t>kg CO</w:t>
            </w:r>
            <w:r w:rsidRPr="009B71CB">
              <w:rPr>
                <w:rStyle w:val="Subscript"/>
                <w:b/>
                <w:bCs/>
                <w:sz w:val="14"/>
                <w:szCs w:val="14"/>
              </w:rPr>
              <w:t>2</w:t>
            </w:r>
            <w:r w:rsidRPr="009B71CB">
              <w:rPr>
                <w:b/>
                <w:bCs/>
                <w:sz w:val="14"/>
                <w:szCs w:val="14"/>
              </w:rPr>
              <w:t>-e/GJ</w:t>
            </w:r>
          </w:p>
        </w:tc>
      </w:tr>
      <w:tr w:rsidR="00987329" w14:paraId="26B00904" w14:textId="77777777" w:rsidTr="00FD0698">
        <w:trPr>
          <w:trHeight w:val="550"/>
        </w:trPr>
        <w:tc>
          <w:tcPr>
            <w:tcW w:w="1406" w:type="dxa"/>
          </w:tcPr>
          <w:p w14:paraId="133F427B" w14:textId="15C72D35" w:rsidR="00987329" w:rsidRDefault="00987329" w:rsidP="00987329">
            <w:pPr>
              <w:pStyle w:val="Table"/>
            </w:pPr>
            <w:r>
              <w:t>New South Wales and ACT</w:t>
            </w:r>
          </w:p>
        </w:tc>
        <w:tc>
          <w:tcPr>
            <w:tcW w:w="843" w:type="dxa"/>
            <w:vAlign w:val="bottom"/>
          </w:tcPr>
          <w:p w14:paraId="7CE62F43" w14:textId="51E125CB" w:rsidR="00987329" w:rsidRPr="0090010D" w:rsidRDefault="00987329" w:rsidP="00987329">
            <w:pPr>
              <w:pStyle w:val="TableCentre"/>
            </w:pPr>
            <w:r w:rsidRPr="007C5A97">
              <w:t>0.8</w:t>
            </w:r>
            <w:r w:rsidR="0090010D" w:rsidRPr="00656706">
              <w:t>3</w:t>
            </w:r>
          </w:p>
        </w:tc>
        <w:tc>
          <w:tcPr>
            <w:tcW w:w="844" w:type="dxa"/>
            <w:vAlign w:val="bottom"/>
          </w:tcPr>
          <w:p w14:paraId="25B02197" w14:textId="4573BB75" w:rsidR="00987329" w:rsidRPr="0090010D" w:rsidRDefault="00987329" w:rsidP="00987329">
            <w:pPr>
              <w:pStyle w:val="TableCentre"/>
            </w:pPr>
            <w:r w:rsidRPr="0090010D">
              <w:t>23</w:t>
            </w:r>
            <w:r w:rsidR="0090010D" w:rsidRPr="00656706">
              <w:t>0</w:t>
            </w:r>
          </w:p>
        </w:tc>
        <w:tc>
          <w:tcPr>
            <w:tcW w:w="843" w:type="dxa"/>
            <w:vAlign w:val="bottom"/>
          </w:tcPr>
          <w:p w14:paraId="71056842" w14:textId="03EB58C4" w:rsidR="00987329" w:rsidRDefault="00987329" w:rsidP="00987329">
            <w:pPr>
              <w:pStyle w:val="TableCentre"/>
            </w:pPr>
            <w:r w:rsidRPr="008B63D8">
              <w:t>0.84</w:t>
            </w:r>
          </w:p>
        </w:tc>
        <w:tc>
          <w:tcPr>
            <w:tcW w:w="844" w:type="dxa"/>
            <w:vAlign w:val="bottom"/>
          </w:tcPr>
          <w:p w14:paraId="777D93F9" w14:textId="76B901D6" w:rsidR="00987329" w:rsidRDefault="00987329" w:rsidP="00987329">
            <w:pPr>
              <w:pStyle w:val="TableCentre"/>
            </w:pPr>
            <w:r>
              <w:t>232</w:t>
            </w:r>
          </w:p>
        </w:tc>
        <w:tc>
          <w:tcPr>
            <w:tcW w:w="984" w:type="dxa"/>
            <w:vAlign w:val="bottom"/>
          </w:tcPr>
          <w:p w14:paraId="27A2BC28" w14:textId="77777777" w:rsidR="00987329" w:rsidRPr="0090010D" w:rsidRDefault="00987329" w:rsidP="00987329">
            <w:pPr>
              <w:pStyle w:val="TableCentre"/>
            </w:pPr>
            <w:r w:rsidRPr="007C5A97">
              <w:t>0.1</w:t>
            </w:r>
            <w:r w:rsidRPr="0090010D">
              <w:t>2</w:t>
            </w:r>
          </w:p>
        </w:tc>
        <w:tc>
          <w:tcPr>
            <w:tcW w:w="984" w:type="dxa"/>
            <w:vAlign w:val="bottom"/>
          </w:tcPr>
          <w:p w14:paraId="29191862" w14:textId="77777777" w:rsidR="00987329" w:rsidRPr="0090010D" w:rsidRDefault="00987329" w:rsidP="00987329">
            <w:pPr>
              <w:pStyle w:val="TableCentre"/>
            </w:pPr>
            <w:r w:rsidRPr="0090010D">
              <w:t>33</w:t>
            </w:r>
          </w:p>
        </w:tc>
        <w:tc>
          <w:tcPr>
            <w:tcW w:w="844" w:type="dxa"/>
            <w:vAlign w:val="bottom"/>
          </w:tcPr>
          <w:p w14:paraId="42C936E0" w14:textId="32885625" w:rsidR="00987329" w:rsidRDefault="00987329" w:rsidP="00987329">
            <w:pPr>
              <w:pStyle w:val="TableCentre"/>
            </w:pPr>
            <w:r>
              <w:t>0.12</w:t>
            </w:r>
          </w:p>
        </w:tc>
        <w:tc>
          <w:tcPr>
            <w:tcW w:w="984" w:type="dxa"/>
            <w:vAlign w:val="bottom"/>
          </w:tcPr>
          <w:p w14:paraId="3C4B0FF5" w14:textId="335D9665" w:rsidR="00987329" w:rsidRDefault="00987329" w:rsidP="00987329">
            <w:pPr>
              <w:pStyle w:val="TableCentre"/>
            </w:pPr>
            <w:r>
              <w:t>33</w:t>
            </w:r>
          </w:p>
        </w:tc>
      </w:tr>
      <w:tr w:rsidR="00987329" w14:paraId="0AA6A403" w14:textId="77777777" w:rsidTr="00FD0698">
        <w:trPr>
          <w:trHeight w:val="306"/>
        </w:trPr>
        <w:tc>
          <w:tcPr>
            <w:tcW w:w="1406" w:type="dxa"/>
          </w:tcPr>
          <w:p w14:paraId="4A569E38" w14:textId="71928A55" w:rsidR="00987329" w:rsidRDefault="00987329" w:rsidP="00987329">
            <w:pPr>
              <w:pStyle w:val="Table"/>
            </w:pPr>
            <w:r>
              <w:t>Victoria</w:t>
            </w:r>
          </w:p>
        </w:tc>
        <w:tc>
          <w:tcPr>
            <w:tcW w:w="843" w:type="dxa"/>
            <w:vAlign w:val="bottom"/>
          </w:tcPr>
          <w:p w14:paraId="780093EC" w14:textId="285F6913" w:rsidR="00987329" w:rsidRPr="0090010D" w:rsidRDefault="00987329" w:rsidP="00987329">
            <w:pPr>
              <w:pStyle w:val="TableCentre"/>
            </w:pPr>
            <w:r w:rsidRPr="007C5A97">
              <w:t>1.0</w:t>
            </w:r>
            <w:r w:rsidRPr="001D1DE0">
              <w:t>8</w:t>
            </w:r>
          </w:p>
        </w:tc>
        <w:tc>
          <w:tcPr>
            <w:tcW w:w="844" w:type="dxa"/>
            <w:vAlign w:val="bottom"/>
          </w:tcPr>
          <w:p w14:paraId="4937ACCF" w14:textId="3BA3C922" w:rsidR="00987329" w:rsidRPr="0090010D" w:rsidRDefault="00987329" w:rsidP="00987329">
            <w:pPr>
              <w:pStyle w:val="TableCentre"/>
            </w:pPr>
            <w:r w:rsidRPr="0090010D">
              <w:t>30</w:t>
            </w:r>
            <w:r w:rsidR="00BE5F74">
              <w:t>0</w:t>
            </w:r>
          </w:p>
        </w:tc>
        <w:tc>
          <w:tcPr>
            <w:tcW w:w="843" w:type="dxa"/>
            <w:vAlign w:val="bottom"/>
          </w:tcPr>
          <w:p w14:paraId="77ED6693" w14:textId="1567E104" w:rsidR="00987329" w:rsidRPr="0090010D" w:rsidRDefault="00987329" w:rsidP="00987329">
            <w:pPr>
              <w:pStyle w:val="TableCentre"/>
            </w:pPr>
            <w:r w:rsidRPr="0090010D">
              <w:t>1.09</w:t>
            </w:r>
          </w:p>
        </w:tc>
        <w:tc>
          <w:tcPr>
            <w:tcW w:w="844" w:type="dxa"/>
            <w:vAlign w:val="bottom"/>
          </w:tcPr>
          <w:p w14:paraId="69850C63" w14:textId="4D300AC1" w:rsidR="00987329" w:rsidRPr="0090010D" w:rsidRDefault="00987329" w:rsidP="00987329">
            <w:pPr>
              <w:pStyle w:val="TableCentre"/>
            </w:pPr>
            <w:r w:rsidRPr="0090010D">
              <w:t>302</w:t>
            </w:r>
          </w:p>
        </w:tc>
        <w:tc>
          <w:tcPr>
            <w:tcW w:w="984" w:type="dxa"/>
            <w:vAlign w:val="bottom"/>
          </w:tcPr>
          <w:p w14:paraId="30391CE4" w14:textId="47195FB6" w:rsidR="00987329" w:rsidRPr="0090010D" w:rsidRDefault="00987329" w:rsidP="00987329">
            <w:pPr>
              <w:pStyle w:val="TableCentre"/>
            </w:pPr>
            <w:r w:rsidRPr="0090010D">
              <w:t>0.</w:t>
            </w:r>
            <w:r w:rsidR="00BE5F74">
              <w:t>09</w:t>
            </w:r>
          </w:p>
        </w:tc>
        <w:tc>
          <w:tcPr>
            <w:tcW w:w="984" w:type="dxa"/>
            <w:vAlign w:val="bottom"/>
          </w:tcPr>
          <w:p w14:paraId="1A161206" w14:textId="5B50CF7A" w:rsidR="00987329" w:rsidRPr="0090010D" w:rsidRDefault="00987329" w:rsidP="00987329">
            <w:pPr>
              <w:pStyle w:val="TableCentre"/>
            </w:pPr>
            <w:r w:rsidRPr="0090010D">
              <w:t>2</w:t>
            </w:r>
            <w:r w:rsidR="00BE5F74">
              <w:t>5</w:t>
            </w:r>
          </w:p>
        </w:tc>
        <w:tc>
          <w:tcPr>
            <w:tcW w:w="844" w:type="dxa"/>
            <w:vAlign w:val="bottom"/>
          </w:tcPr>
          <w:p w14:paraId="5BBE36B0" w14:textId="46346D10" w:rsidR="00987329" w:rsidRDefault="00987329" w:rsidP="00987329">
            <w:pPr>
              <w:pStyle w:val="TableCentre"/>
            </w:pPr>
            <w:r>
              <w:t>0.10</w:t>
            </w:r>
          </w:p>
        </w:tc>
        <w:tc>
          <w:tcPr>
            <w:tcW w:w="984" w:type="dxa"/>
            <w:vAlign w:val="bottom"/>
          </w:tcPr>
          <w:p w14:paraId="2B44D4DB" w14:textId="6448CE4F" w:rsidR="00987329" w:rsidRDefault="00987329" w:rsidP="00987329">
            <w:pPr>
              <w:pStyle w:val="TableCentre"/>
            </w:pPr>
            <w:r>
              <w:t>27</w:t>
            </w:r>
          </w:p>
        </w:tc>
      </w:tr>
      <w:tr w:rsidR="00987329" w14:paraId="3B9234BD" w14:textId="77777777" w:rsidTr="00FD0698">
        <w:trPr>
          <w:trHeight w:val="306"/>
        </w:trPr>
        <w:tc>
          <w:tcPr>
            <w:tcW w:w="1406" w:type="dxa"/>
          </w:tcPr>
          <w:p w14:paraId="35EEC163" w14:textId="2E551B65" w:rsidR="00987329" w:rsidRDefault="00987329" w:rsidP="00987329">
            <w:pPr>
              <w:pStyle w:val="Table"/>
            </w:pPr>
            <w:r>
              <w:t>Queensland</w:t>
            </w:r>
          </w:p>
        </w:tc>
        <w:tc>
          <w:tcPr>
            <w:tcW w:w="843" w:type="dxa"/>
            <w:vAlign w:val="bottom"/>
          </w:tcPr>
          <w:p w14:paraId="237DB295" w14:textId="581FA230" w:rsidR="00987329" w:rsidRPr="0090010D" w:rsidRDefault="00987329" w:rsidP="00987329">
            <w:pPr>
              <w:pStyle w:val="TableCentre"/>
            </w:pPr>
            <w:r w:rsidRPr="007C5A97">
              <w:t>0.7</w:t>
            </w:r>
            <w:r w:rsidRPr="00BE5F74">
              <w:t>9</w:t>
            </w:r>
          </w:p>
        </w:tc>
        <w:tc>
          <w:tcPr>
            <w:tcW w:w="844" w:type="dxa"/>
            <w:vAlign w:val="bottom"/>
          </w:tcPr>
          <w:p w14:paraId="2838B9C6" w14:textId="509DDE15" w:rsidR="00987329" w:rsidRPr="0090010D" w:rsidRDefault="00987329" w:rsidP="00987329">
            <w:pPr>
              <w:pStyle w:val="TableCentre"/>
            </w:pPr>
            <w:r w:rsidRPr="0090010D">
              <w:t>21</w:t>
            </w:r>
            <w:r w:rsidRPr="00BE5F74">
              <w:t>9</w:t>
            </w:r>
          </w:p>
        </w:tc>
        <w:tc>
          <w:tcPr>
            <w:tcW w:w="843" w:type="dxa"/>
            <w:vAlign w:val="bottom"/>
          </w:tcPr>
          <w:p w14:paraId="233BAAE3" w14:textId="535DB2E1" w:rsidR="00987329" w:rsidRDefault="00987329" w:rsidP="00987329">
            <w:pPr>
              <w:pStyle w:val="TableCentre"/>
            </w:pPr>
            <w:r w:rsidRPr="008B63D8">
              <w:t>0.78</w:t>
            </w:r>
          </w:p>
        </w:tc>
        <w:tc>
          <w:tcPr>
            <w:tcW w:w="844" w:type="dxa"/>
            <w:vAlign w:val="bottom"/>
          </w:tcPr>
          <w:p w14:paraId="431784A8" w14:textId="4CA4471E" w:rsidR="00987329" w:rsidRDefault="00987329" w:rsidP="00987329">
            <w:pPr>
              <w:pStyle w:val="TableCentre"/>
            </w:pPr>
            <w:r>
              <w:t>218</w:t>
            </w:r>
          </w:p>
        </w:tc>
        <w:tc>
          <w:tcPr>
            <w:tcW w:w="984" w:type="dxa"/>
            <w:vAlign w:val="bottom"/>
          </w:tcPr>
          <w:p w14:paraId="7848F1BA" w14:textId="55491A85" w:rsidR="00987329" w:rsidRPr="0090010D" w:rsidRDefault="00987329" w:rsidP="00987329">
            <w:pPr>
              <w:pStyle w:val="TableCentre"/>
            </w:pPr>
            <w:r w:rsidRPr="007C5A97">
              <w:t>0.1</w:t>
            </w:r>
            <w:r w:rsidRPr="00BE5F74">
              <w:t>4</w:t>
            </w:r>
          </w:p>
        </w:tc>
        <w:tc>
          <w:tcPr>
            <w:tcW w:w="984" w:type="dxa"/>
            <w:vAlign w:val="bottom"/>
          </w:tcPr>
          <w:p w14:paraId="216E5E77" w14:textId="708B4B3D" w:rsidR="00987329" w:rsidRPr="0090010D" w:rsidRDefault="00987329" w:rsidP="00987329">
            <w:pPr>
              <w:pStyle w:val="TableCentre"/>
            </w:pPr>
            <w:r w:rsidRPr="00BE5F74">
              <w:t>38</w:t>
            </w:r>
          </w:p>
        </w:tc>
        <w:tc>
          <w:tcPr>
            <w:tcW w:w="844" w:type="dxa"/>
            <w:vAlign w:val="bottom"/>
          </w:tcPr>
          <w:p w14:paraId="222AB24E" w14:textId="2AD244B8" w:rsidR="00987329" w:rsidRDefault="00987329" w:rsidP="00987329">
            <w:pPr>
              <w:pStyle w:val="TableCentre"/>
            </w:pPr>
            <w:r>
              <w:t>0.16</w:t>
            </w:r>
          </w:p>
        </w:tc>
        <w:tc>
          <w:tcPr>
            <w:tcW w:w="984" w:type="dxa"/>
            <w:vAlign w:val="bottom"/>
          </w:tcPr>
          <w:p w14:paraId="5B072137" w14:textId="5FA30D80" w:rsidR="00987329" w:rsidRDefault="00987329" w:rsidP="00987329">
            <w:pPr>
              <w:pStyle w:val="TableCentre"/>
            </w:pPr>
            <w:r>
              <w:t>44</w:t>
            </w:r>
          </w:p>
        </w:tc>
      </w:tr>
      <w:tr w:rsidR="00987329" w14:paraId="7682F481" w14:textId="77777777" w:rsidTr="00FD0698">
        <w:trPr>
          <w:trHeight w:val="306"/>
        </w:trPr>
        <w:tc>
          <w:tcPr>
            <w:tcW w:w="1406" w:type="dxa"/>
          </w:tcPr>
          <w:p w14:paraId="72FE16DE" w14:textId="07C53F8C" w:rsidR="00987329" w:rsidRDefault="00987329" w:rsidP="00987329">
            <w:pPr>
              <w:pStyle w:val="Table"/>
            </w:pPr>
            <w:r>
              <w:t>South Australia</w:t>
            </w:r>
          </w:p>
        </w:tc>
        <w:tc>
          <w:tcPr>
            <w:tcW w:w="843" w:type="dxa"/>
            <w:vAlign w:val="bottom"/>
          </w:tcPr>
          <w:p w14:paraId="18C0252F" w14:textId="0D49CC5B" w:rsidR="00987329" w:rsidRPr="0090010D" w:rsidRDefault="00987329" w:rsidP="00987329">
            <w:pPr>
              <w:pStyle w:val="TableCentre"/>
            </w:pPr>
            <w:r w:rsidRPr="007C5A97">
              <w:t>0.</w:t>
            </w:r>
            <w:r w:rsidRPr="00BE5F74">
              <w:t>49</w:t>
            </w:r>
          </w:p>
        </w:tc>
        <w:tc>
          <w:tcPr>
            <w:tcW w:w="844" w:type="dxa"/>
            <w:vAlign w:val="bottom"/>
          </w:tcPr>
          <w:p w14:paraId="1E5F2A28" w14:textId="63318544" w:rsidR="00987329" w:rsidRPr="0090010D" w:rsidRDefault="00987329" w:rsidP="00987329">
            <w:pPr>
              <w:pStyle w:val="TableCentre"/>
            </w:pPr>
            <w:r w:rsidRPr="0090010D">
              <w:t>1</w:t>
            </w:r>
            <w:r w:rsidRPr="00BE5F74">
              <w:t>37</w:t>
            </w:r>
          </w:p>
        </w:tc>
        <w:tc>
          <w:tcPr>
            <w:tcW w:w="843" w:type="dxa"/>
            <w:vAlign w:val="bottom"/>
          </w:tcPr>
          <w:p w14:paraId="43E10F35" w14:textId="7DD2631B" w:rsidR="00987329" w:rsidRPr="0090010D" w:rsidRDefault="00987329" w:rsidP="00987329">
            <w:pPr>
              <w:pStyle w:val="TableCentre"/>
            </w:pPr>
            <w:r w:rsidRPr="0090010D">
              <w:t>0.53</w:t>
            </w:r>
          </w:p>
        </w:tc>
        <w:tc>
          <w:tcPr>
            <w:tcW w:w="844" w:type="dxa"/>
            <w:vAlign w:val="bottom"/>
          </w:tcPr>
          <w:p w14:paraId="2C113374" w14:textId="0B31081C" w:rsidR="00987329" w:rsidRPr="0090010D" w:rsidRDefault="00987329" w:rsidP="00987329">
            <w:pPr>
              <w:pStyle w:val="TableCentre"/>
            </w:pPr>
            <w:r w:rsidRPr="0090010D">
              <w:t>148</w:t>
            </w:r>
          </w:p>
        </w:tc>
        <w:tc>
          <w:tcPr>
            <w:tcW w:w="984" w:type="dxa"/>
            <w:vAlign w:val="bottom"/>
          </w:tcPr>
          <w:p w14:paraId="2AEFC2C2" w14:textId="7310D30A" w:rsidR="00987329" w:rsidRPr="0090010D" w:rsidRDefault="00987329" w:rsidP="00987329">
            <w:pPr>
              <w:pStyle w:val="TableCentre"/>
            </w:pPr>
            <w:r w:rsidRPr="0090010D">
              <w:t>0.</w:t>
            </w:r>
            <w:r w:rsidRPr="00BE5F74">
              <w:t>09</w:t>
            </w:r>
          </w:p>
        </w:tc>
        <w:tc>
          <w:tcPr>
            <w:tcW w:w="984" w:type="dxa"/>
            <w:vAlign w:val="bottom"/>
          </w:tcPr>
          <w:p w14:paraId="4B0F493E" w14:textId="677D21AA" w:rsidR="00987329" w:rsidRPr="0090010D" w:rsidRDefault="00987329" w:rsidP="00987329">
            <w:pPr>
              <w:pStyle w:val="TableCentre"/>
            </w:pPr>
            <w:r w:rsidRPr="00BE5F74">
              <w:t>26</w:t>
            </w:r>
          </w:p>
        </w:tc>
        <w:tc>
          <w:tcPr>
            <w:tcW w:w="844" w:type="dxa"/>
            <w:vAlign w:val="bottom"/>
          </w:tcPr>
          <w:p w14:paraId="2479B547" w14:textId="46815A7D" w:rsidR="00987329" w:rsidRDefault="00987329" w:rsidP="00987329">
            <w:pPr>
              <w:pStyle w:val="TableCentre"/>
            </w:pPr>
            <w:r>
              <w:t>0.11</w:t>
            </w:r>
          </w:p>
        </w:tc>
        <w:tc>
          <w:tcPr>
            <w:tcW w:w="984" w:type="dxa"/>
            <w:vAlign w:val="bottom"/>
          </w:tcPr>
          <w:p w14:paraId="6C2C31E4" w14:textId="6B793E2E" w:rsidR="00987329" w:rsidRDefault="00987329" w:rsidP="00987329">
            <w:pPr>
              <w:pStyle w:val="TableCentre"/>
            </w:pPr>
            <w:r>
              <w:t>29</w:t>
            </w:r>
          </w:p>
        </w:tc>
      </w:tr>
      <w:tr w:rsidR="00987329" w14:paraId="642CE74B" w14:textId="77777777" w:rsidTr="00BE5F74">
        <w:trPr>
          <w:trHeight w:val="239"/>
        </w:trPr>
        <w:tc>
          <w:tcPr>
            <w:tcW w:w="1406" w:type="dxa"/>
          </w:tcPr>
          <w:p w14:paraId="18EB02A9" w14:textId="6E58F07D" w:rsidR="00987329" w:rsidRDefault="00987329" w:rsidP="00987329">
            <w:pPr>
              <w:pStyle w:val="Table"/>
            </w:pPr>
            <w:r>
              <w:t>Western Australia (SWIS)</w:t>
            </w:r>
          </w:p>
        </w:tc>
        <w:tc>
          <w:tcPr>
            <w:tcW w:w="843" w:type="dxa"/>
            <w:vAlign w:val="bottom"/>
          </w:tcPr>
          <w:p w14:paraId="0AD1C25F" w14:textId="25536392" w:rsidR="00987329" w:rsidRPr="0090010D" w:rsidRDefault="00987329" w:rsidP="00987329">
            <w:pPr>
              <w:pStyle w:val="TableCentre"/>
            </w:pPr>
            <w:r w:rsidRPr="007C5A97">
              <w:t>0.7</w:t>
            </w:r>
            <w:r w:rsidRPr="00BE5F74">
              <w:t>0</w:t>
            </w:r>
          </w:p>
        </w:tc>
        <w:tc>
          <w:tcPr>
            <w:tcW w:w="844" w:type="dxa"/>
            <w:vAlign w:val="bottom"/>
          </w:tcPr>
          <w:p w14:paraId="2C1A7A19" w14:textId="0B1FB16F" w:rsidR="00987329" w:rsidRPr="0090010D" w:rsidRDefault="00987329" w:rsidP="00987329">
            <w:pPr>
              <w:pStyle w:val="TableCentre"/>
            </w:pPr>
            <w:r w:rsidRPr="0090010D">
              <w:t>19</w:t>
            </w:r>
            <w:r w:rsidRPr="00BE5F74">
              <w:t>6</w:t>
            </w:r>
          </w:p>
        </w:tc>
        <w:tc>
          <w:tcPr>
            <w:tcW w:w="843" w:type="dxa"/>
            <w:vAlign w:val="bottom"/>
          </w:tcPr>
          <w:p w14:paraId="0ECAE4C8" w14:textId="59E6972F" w:rsidR="00987329" w:rsidRPr="0090010D" w:rsidRDefault="00987329" w:rsidP="00987329">
            <w:pPr>
              <w:pStyle w:val="TableCentre"/>
            </w:pPr>
            <w:r w:rsidRPr="0090010D">
              <w:t>0.72</w:t>
            </w:r>
          </w:p>
        </w:tc>
        <w:tc>
          <w:tcPr>
            <w:tcW w:w="844" w:type="dxa"/>
            <w:vAlign w:val="bottom"/>
          </w:tcPr>
          <w:p w14:paraId="18B77C03" w14:textId="7E42D830" w:rsidR="00987329" w:rsidRPr="0090010D" w:rsidRDefault="00987329" w:rsidP="00987329">
            <w:pPr>
              <w:pStyle w:val="TableCentre"/>
            </w:pPr>
            <w:r w:rsidRPr="0090010D">
              <w:t>199</w:t>
            </w:r>
          </w:p>
        </w:tc>
        <w:tc>
          <w:tcPr>
            <w:tcW w:w="984" w:type="dxa"/>
          </w:tcPr>
          <w:p w14:paraId="521D5123" w14:textId="77777777" w:rsidR="00987329" w:rsidRPr="0090010D" w:rsidRDefault="00987329" w:rsidP="00987329">
            <w:pPr>
              <w:pStyle w:val="TableCentre"/>
            </w:pPr>
          </w:p>
          <w:p w14:paraId="49BE8195" w14:textId="656C9BC7" w:rsidR="00987329" w:rsidRPr="0090010D" w:rsidRDefault="00987329" w:rsidP="00987329">
            <w:pPr>
              <w:pStyle w:val="TableCentre"/>
            </w:pPr>
            <w:r w:rsidRPr="0090010D">
              <w:t>0.</w:t>
            </w:r>
            <w:r w:rsidRPr="00BE5F74">
              <w:t>06</w:t>
            </w:r>
          </w:p>
        </w:tc>
        <w:tc>
          <w:tcPr>
            <w:tcW w:w="984" w:type="dxa"/>
          </w:tcPr>
          <w:p w14:paraId="2C7E111D" w14:textId="77777777" w:rsidR="00987329" w:rsidRPr="0090010D" w:rsidRDefault="00987329" w:rsidP="00987329">
            <w:pPr>
              <w:pStyle w:val="TableCentre"/>
            </w:pPr>
          </w:p>
          <w:p w14:paraId="7B635328" w14:textId="12A10254" w:rsidR="00987329" w:rsidRPr="0090010D" w:rsidRDefault="00987329" w:rsidP="00987329">
            <w:pPr>
              <w:pStyle w:val="TableCentre"/>
            </w:pPr>
            <w:r w:rsidRPr="00BE5F74">
              <w:t>16</w:t>
            </w:r>
          </w:p>
        </w:tc>
        <w:tc>
          <w:tcPr>
            <w:tcW w:w="844" w:type="dxa"/>
          </w:tcPr>
          <w:p w14:paraId="5926A3B9" w14:textId="77777777" w:rsidR="00987329" w:rsidRDefault="00987329" w:rsidP="00987329">
            <w:pPr>
              <w:pStyle w:val="TableCentre"/>
            </w:pPr>
          </w:p>
          <w:p w14:paraId="2C7A2CA1" w14:textId="45E30C9C" w:rsidR="00987329" w:rsidRDefault="00987329" w:rsidP="00987329">
            <w:pPr>
              <w:pStyle w:val="TableCentre"/>
            </w:pPr>
            <w:r>
              <w:t>0.10</w:t>
            </w:r>
          </w:p>
        </w:tc>
        <w:tc>
          <w:tcPr>
            <w:tcW w:w="984" w:type="dxa"/>
          </w:tcPr>
          <w:p w14:paraId="40D6E6A0" w14:textId="77777777" w:rsidR="00987329" w:rsidRDefault="00987329" w:rsidP="00987329">
            <w:pPr>
              <w:pStyle w:val="TableCentre"/>
            </w:pPr>
          </w:p>
          <w:p w14:paraId="660EE325" w14:textId="32678A13" w:rsidR="00987329" w:rsidRDefault="00987329" w:rsidP="00987329">
            <w:pPr>
              <w:pStyle w:val="TableCentre"/>
            </w:pPr>
            <w:r>
              <w:t>28</w:t>
            </w:r>
          </w:p>
        </w:tc>
      </w:tr>
      <w:tr w:rsidR="00987329" w14:paraId="4D5E1845" w14:textId="77777777" w:rsidTr="00FD0698">
        <w:trPr>
          <w:trHeight w:val="291"/>
        </w:trPr>
        <w:tc>
          <w:tcPr>
            <w:tcW w:w="1406" w:type="dxa"/>
          </w:tcPr>
          <w:p w14:paraId="29B214D2" w14:textId="1F663C8F" w:rsidR="00987329" w:rsidRDefault="00987329" w:rsidP="00987329">
            <w:pPr>
              <w:pStyle w:val="Table"/>
            </w:pPr>
            <w:r>
              <w:t>Tasmania</w:t>
            </w:r>
          </w:p>
        </w:tc>
        <w:tc>
          <w:tcPr>
            <w:tcW w:w="843" w:type="dxa"/>
            <w:vAlign w:val="bottom"/>
          </w:tcPr>
          <w:p w14:paraId="2FD57755" w14:textId="4928C6BB" w:rsidR="00987329" w:rsidRPr="007C5A97" w:rsidRDefault="00987329" w:rsidP="00987329">
            <w:pPr>
              <w:pStyle w:val="TableCentre"/>
            </w:pPr>
            <w:r w:rsidRPr="007C5A97">
              <w:t>0.1</w:t>
            </w:r>
            <w:r w:rsidR="002F0E94">
              <w:t>4</w:t>
            </w:r>
          </w:p>
        </w:tc>
        <w:tc>
          <w:tcPr>
            <w:tcW w:w="844" w:type="dxa"/>
            <w:vAlign w:val="bottom"/>
          </w:tcPr>
          <w:p w14:paraId="2B4FD6D1" w14:textId="02093D66" w:rsidR="00987329" w:rsidRPr="0090010D" w:rsidRDefault="002F0E94" w:rsidP="00987329">
            <w:pPr>
              <w:pStyle w:val="TableCentre"/>
            </w:pPr>
            <w:r>
              <w:t>40</w:t>
            </w:r>
          </w:p>
        </w:tc>
        <w:tc>
          <w:tcPr>
            <w:tcW w:w="843" w:type="dxa"/>
            <w:vAlign w:val="bottom"/>
          </w:tcPr>
          <w:p w14:paraId="30F0C8B9" w14:textId="37851DD0" w:rsidR="00987329" w:rsidRPr="0090010D" w:rsidRDefault="00987329" w:rsidP="00987329">
            <w:pPr>
              <w:pStyle w:val="TableCentre"/>
            </w:pPr>
            <w:r w:rsidRPr="0090010D">
              <w:t>0.12</w:t>
            </w:r>
          </w:p>
        </w:tc>
        <w:tc>
          <w:tcPr>
            <w:tcW w:w="844" w:type="dxa"/>
            <w:vAlign w:val="bottom"/>
          </w:tcPr>
          <w:p w14:paraId="20512EE9" w14:textId="08D59168" w:rsidR="00987329" w:rsidRPr="0090010D" w:rsidRDefault="00987329" w:rsidP="00987329">
            <w:pPr>
              <w:pStyle w:val="TableCentre"/>
            </w:pPr>
            <w:r w:rsidRPr="0090010D">
              <w:t>32</w:t>
            </w:r>
          </w:p>
        </w:tc>
        <w:tc>
          <w:tcPr>
            <w:tcW w:w="984" w:type="dxa"/>
            <w:vAlign w:val="bottom"/>
          </w:tcPr>
          <w:p w14:paraId="658161FB" w14:textId="0437E8EC" w:rsidR="00987329" w:rsidRPr="0090010D" w:rsidRDefault="00987329" w:rsidP="00987329">
            <w:pPr>
              <w:pStyle w:val="TableCentre"/>
            </w:pPr>
            <w:r w:rsidRPr="0090010D">
              <w:t>0.0</w:t>
            </w:r>
            <w:r w:rsidR="002F0E94">
              <w:t>3</w:t>
            </w:r>
          </w:p>
        </w:tc>
        <w:tc>
          <w:tcPr>
            <w:tcW w:w="984" w:type="dxa"/>
            <w:vAlign w:val="bottom"/>
          </w:tcPr>
          <w:p w14:paraId="2F98C302" w14:textId="4EDC0028" w:rsidR="00987329" w:rsidRPr="0090010D" w:rsidRDefault="00BE5F74" w:rsidP="00987329">
            <w:pPr>
              <w:pStyle w:val="TableCentre"/>
            </w:pPr>
            <w:r>
              <w:t>7</w:t>
            </w:r>
          </w:p>
        </w:tc>
        <w:tc>
          <w:tcPr>
            <w:tcW w:w="844" w:type="dxa"/>
            <w:vAlign w:val="bottom"/>
          </w:tcPr>
          <w:p w14:paraId="127E01FD" w14:textId="68FED6DF" w:rsidR="00987329" w:rsidRDefault="00987329" w:rsidP="00987329">
            <w:pPr>
              <w:pStyle w:val="TableCentre"/>
            </w:pPr>
            <w:r>
              <w:t>0.02</w:t>
            </w:r>
          </w:p>
        </w:tc>
        <w:tc>
          <w:tcPr>
            <w:tcW w:w="984" w:type="dxa"/>
            <w:vAlign w:val="bottom"/>
          </w:tcPr>
          <w:p w14:paraId="071F0DB9" w14:textId="138608C6" w:rsidR="00987329" w:rsidRDefault="00987329" w:rsidP="00987329">
            <w:pPr>
              <w:pStyle w:val="TableCentre"/>
            </w:pPr>
            <w:r>
              <w:t>4</w:t>
            </w:r>
          </w:p>
        </w:tc>
      </w:tr>
      <w:tr w:rsidR="00987329" w14:paraId="0CA777E3" w14:textId="77777777" w:rsidTr="00FD0698">
        <w:trPr>
          <w:trHeight w:val="550"/>
        </w:trPr>
        <w:tc>
          <w:tcPr>
            <w:tcW w:w="1406" w:type="dxa"/>
          </w:tcPr>
          <w:p w14:paraId="2DD5F366" w14:textId="1134822E" w:rsidR="00987329" w:rsidRDefault="00987329" w:rsidP="00987329">
            <w:pPr>
              <w:pStyle w:val="Table"/>
            </w:pPr>
            <w:r>
              <w:t>Northern Territory</w:t>
            </w:r>
          </w:p>
        </w:tc>
        <w:tc>
          <w:tcPr>
            <w:tcW w:w="843" w:type="dxa"/>
            <w:vAlign w:val="bottom"/>
          </w:tcPr>
          <w:p w14:paraId="03E74BDA" w14:textId="04886967" w:rsidR="00987329" w:rsidRPr="0090010D" w:rsidRDefault="00987329" w:rsidP="00987329">
            <w:pPr>
              <w:pStyle w:val="TableCentre"/>
            </w:pPr>
            <w:r w:rsidRPr="007C5A97">
              <w:t>0.6</w:t>
            </w:r>
            <w:r w:rsidR="002F0E94">
              <w:t>4</w:t>
            </w:r>
          </w:p>
        </w:tc>
        <w:tc>
          <w:tcPr>
            <w:tcW w:w="844" w:type="dxa"/>
            <w:vAlign w:val="bottom"/>
          </w:tcPr>
          <w:p w14:paraId="5B559BB9" w14:textId="7C3F566F" w:rsidR="00987329" w:rsidRPr="0090010D" w:rsidRDefault="00987329" w:rsidP="00987329">
            <w:pPr>
              <w:pStyle w:val="TableCentre"/>
            </w:pPr>
            <w:r w:rsidRPr="0090010D">
              <w:t>1</w:t>
            </w:r>
            <w:r w:rsidR="002F0E94">
              <w:t>79</w:t>
            </w:r>
          </w:p>
        </w:tc>
        <w:tc>
          <w:tcPr>
            <w:tcW w:w="843" w:type="dxa"/>
            <w:vAlign w:val="bottom"/>
          </w:tcPr>
          <w:p w14:paraId="7E43E484" w14:textId="24E3CA20" w:rsidR="00987329" w:rsidRPr="0090010D" w:rsidRDefault="00987329" w:rsidP="00987329">
            <w:pPr>
              <w:pStyle w:val="TableCentre"/>
            </w:pPr>
            <w:r w:rsidRPr="0090010D">
              <w:t>0.67</w:t>
            </w:r>
          </w:p>
        </w:tc>
        <w:tc>
          <w:tcPr>
            <w:tcW w:w="844" w:type="dxa"/>
            <w:vAlign w:val="bottom"/>
          </w:tcPr>
          <w:p w14:paraId="0DA293C4" w14:textId="51CDF362" w:rsidR="00987329" w:rsidRPr="0090010D" w:rsidRDefault="00987329" w:rsidP="00987329">
            <w:pPr>
              <w:pStyle w:val="TableCentre"/>
            </w:pPr>
            <w:r w:rsidRPr="0090010D">
              <w:t>185</w:t>
            </w:r>
          </w:p>
        </w:tc>
        <w:tc>
          <w:tcPr>
            <w:tcW w:w="984" w:type="dxa"/>
            <w:vAlign w:val="bottom"/>
          </w:tcPr>
          <w:p w14:paraId="310B8AC4" w14:textId="64FED48F" w:rsidR="00987329" w:rsidRPr="0090010D" w:rsidRDefault="00987329" w:rsidP="00987329">
            <w:pPr>
              <w:pStyle w:val="TableCentre"/>
            </w:pPr>
            <w:r w:rsidRPr="0090010D">
              <w:t>0.</w:t>
            </w:r>
            <w:r w:rsidRPr="00BE5F74">
              <w:t>09</w:t>
            </w:r>
          </w:p>
        </w:tc>
        <w:tc>
          <w:tcPr>
            <w:tcW w:w="984" w:type="dxa"/>
            <w:vAlign w:val="bottom"/>
          </w:tcPr>
          <w:p w14:paraId="22D73C66" w14:textId="2C396296" w:rsidR="00987329" w:rsidRPr="0090010D" w:rsidRDefault="00987329" w:rsidP="00987329">
            <w:pPr>
              <w:pStyle w:val="TableCentre"/>
            </w:pPr>
            <w:r w:rsidRPr="00BE5F74">
              <w:t>2</w:t>
            </w:r>
            <w:r w:rsidR="002F0E94">
              <w:t>4</w:t>
            </w:r>
          </w:p>
        </w:tc>
        <w:tc>
          <w:tcPr>
            <w:tcW w:w="844" w:type="dxa"/>
            <w:vAlign w:val="bottom"/>
          </w:tcPr>
          <w:p w14:paraId="3634DB90" w14:textId="3087D0F6" w:rsidR="00987329" w:rsidRDefault="00987329" w:rsidP="00987329">
            <w:pPr>
              <w:pStyle w:val="TableCentre"/>
            </w:pPr>
            <w:r>
              <w:t>0.10</w:t>
            </w:r>
          </w:p>
        </w:tc>
        <w:tc>
          <w:tcPr>
            <w:tcW w:w="984" w:type="dxa"/>
            <w:vAlign w:val="bottom"/>
          </w:tcPr>
          <w:p w14:paraId="24D7FA3B" w14:textId="6568373F" w:rsidR="00987329" w:rsidRDefault="00987329" w:rsidP="00987329">
            <w:pPr>
              <w:pStyle w:val="TableCentre"/>
            </w:pPr>
            <w:r>
              <w:t>28</w:t>
            </w:r>
          </w:p>
        </w:tc>
      </w:tr>
      <w:tr w:rsidR="00987329" w14:paraId="0C6CFE86" w14:textId="77777777" w:rsidTr="00FD0698">
        <w:trPr>
          <w:trHeight w:val="306"/>
        </w:trPr>
        <w:tc>
          <w:tcPr>
            <w:tcW w:w="1406" w:type="dxa"/>
          </w:tcPr>
          <w:p w14:paraId="0FAEF9C3" w14:textId="1096342E" w:rsidR="00987329" w:rsidRDefault="00987329" w:rsidP="00987329">
            <w:pPr>
              <w:pStyle w:val="Table"/>
            </w:pPr>
            <w:r>
              <w:t>Australia</w:t>
            </w:r>
          </w:p>
        </w:tc>
        <w:tc>
          <w:tcPr>
            <w:tcW w:w="843" w:type="dxa"/>
            <w:vAlign w:val="bottom"/>
          </w:tcPr>
          <w:p w14:paraId="46B06D74" w14:textId="5A3B7BC6" w:rsidR="00987329" w:rsidRPr="0090010D" w:rsidRDefault="00987329" w:rsidP="00987329">
            <w:pPr>
              <w:pStyle w:val="TableCentre"/>
            </w:pPr>
            <w:r w:rsidRPr="007C5A97">
              <w:t>0.8</w:t>
            </w:r>
            <w:r w:rsidR="002F0E94">
              <w:t>1</w:t>
            </w:r>
          </w:p>
        </w:tc>
        <w:tc>
          <w:tcPr>
            <w:tcW w:w="844" w:type="dxa"/>
            <w:vAlign w:val="bottom"/>
          </w:tcPr>
          <w:p w14:paraId="7963DD25" w14:textId="5469925F" w:rsidR="00987329" w:rsidRPr="0090010D" w:rsidRDefault="00987329" w:rsidP="00987329">
            <w:pPr>
              <w:pStyle w:val="TableCentre"/>
            </w:pPr>
            <w:r w:rsidRPr="0090010D">
              <w:t>22</w:t>
            </w:r>
            <w:r w:rsidR="002F0E94">
              <w:t>4</w:t>
            </w:r>
          </w:p>
        </w:tc>
        <w:tc>
          <w:tcPr>
            <w:tcW w:w="843" w:type="dxa"/>
            <w:vAlign w:val="bottom"/>
          </w:tcPr>
          <w:p w14:paraId="0727C4C3" w14:textId="712121FF" w:rsidR="00987329" w:rsidRPr="0090010D" w:rsidRDefault="00987329" w:rsidP="00987329">
            <w:pPr>
              <w:pStyle w:val="TableCentre"/>
            </w:pPr>
            <w:r w:rsidRPr="0090010D">
              <w:t>0.81</w:t>
            </w:r>
          </w:p>
        </w:tc>
        <w:tc>
          <w:tcPr>
            <w:tcW w:w="844" w:type="dxa"/>
            <w:vAlign w:val="bottom"/>
          </w:tcPr>
          <w:p w14:paraId="1BB42B1C" w14:textId="1F222B86" w:rsidR="00987329" w:rsidRPr="0090010D" w:rsidRDefault="00987329" w:rsidP="00987329">
            <w:pPr>
              <w:pStyle w:val="TableCentre"/>
            </w:pPr>
            <w:r w:rsidRPr="0090010D">
              <w:t>225</w:t>
            </w:r>
          </w:p>
        </w:tc>
        <w:tc>
          <w:tcPr>
            <w:tcW w:w="984" w:type="dxa"/>
            <w:vAlign w:val="bottom"/>
          </w:tcPr>
          <w:p w14:paraId="69E68279" w14:textId="17D611D2" w:rsidR="00987329" w:rsidRPr="0090010D" w:rsidRDefault="00987329" w:rsidP="00987329">
            <w:pPr>
              <w:pStyle w:val="TableCentre"/>
            </w:pPr>
            <w:r w:rsidRPr="0090010D">
              <w:t>0.</w:t>
            </w:r>
            <w:r w:rsidRPr="00BE5F74">
              <w:t>1</w:t>
            </w:r>
            <w:r w:rsidR="002F0E94">
              <w:t>1</w:t>
            </w:r>
          </w:p>
        </w:tc>
        <w:tc>
          <w:tcPr>
            <w:tcW w:w="984" w:type="dxa"/>
            <w:vAlign w:val="bottom"/>
          </w:tcPr>
          <w:p w14:paraId="4B2849BA" w14:textId="6B951793" w:rsidR="00987329" w:rsidRPr="0090010D" w:rsidRDefault="002F0E94" w:rsidP="00987329">
            <w:pPr>
              <w:pStyle w:val="TableCentre"/>
            </w:pPr>
            <w:r>
              <w:t>29</w:t>
            </w:r>
          </w:p>
        </w:tc>
        <w:tc>
          <w:tcPr>
            <w:tcW w:w="844" w:type="dxa"/>
            <w:vAlign w:val="bottom"/>
          </w:tcPr>
          <w:p w14:paraId="63A14261" w14:textId="5BD512C8" w:rsidR="00987329" w:rsidRPr="001E010E" w:rsidRDefault="00987329" w:rsidP="00987329">
            <w:pPr>
              <w:pStyle w:val="TableCentre"/>
            </w:pPr>
            <w:r w:rsidRPr="001E010E">
              <w:t>0.</w:t>
            </w:r>
            <w:r w:rsidR="001E010E" w:rsidRPr="00BE5F74">
              <w:t>11</w:t>
            </w:r>
          </w:p>
        </w:tc>
        <w:tc>
          <w:tcPr>
            <w:tcW w:w="984" w:type="dxa"/>
            <w:vAlign w:val="bottom"/>
          </w:tcPr>
          <w:p w14:paraId="3C7C6CF6" w14:textId="2F043C8E" w:rsidR="00987329" w:rsidRPr="001E010E" w:rsidRDefault="001E010E" w:rsidP="00987329">
            <w:pPr>
              <w:pStyle w:val="TableCentre"/>
            </w:pPr>
            <w:r w:rsidRPr="00BE5F74">
              <w:t>31</w:t>
            </w:r>
          </w:p>
        </w:tc>
      </w:tr>
    </w:tbl>
    <w:p w14:paraId="20BBC6FB" w14:textId="4F03B45E" w:rsidR="00E51BE6" w:rsidRDefault="00E51BE6" w:rsidP="004C79E4">
      <w:pPr>
        <w:spacing w:before="120" w:line="312" w:lineRule="auto"/>
        <w:ind w:left="0"/>
        <w:rPr>
          <w:rFonts w:ascii="Arial" w:hAnsi="Arial" w:cs="Arial"/>
        </w:rPr>
      </w:pPr>
    </w:p>
    <w:p w14:paraId="7143661E" w14:textId="3F8B79CF" w:rsidR="004C79E4" w:rsidRDefault="00786715" w:rsidP="004C79E4">
      <w:pPr>
        <w:spacing w:before="120" w:line="312" w:lineRule="auto"/>
        <w:ind w:left="0"/>
        <w:rPr>
          <w:rFonts w:ascii="Arial" w:hAnsi="Arial" w:cs="Arial"/>
        </w:rPr>
      </w:pPr>
      <w:r>
        <w:rPr>
          <w:rFonts w:ascii="Arial" w:hAnsi="Arial" w:cs="Arial"/>
        </w:rPr>
        <w:t>4</w:t>
      </w:r>
      <w:r w:rsidR="00E51BE6">
        <w:rPr>
          <w:rFonts w:ascii="Arial" w:hAnsi="Arial" w:cs="Arial"/>
        </w:rPr>
        <w:t>. The factor for N</w:t>
      </w:r>
      <w:r w:rsidR="00E51BE6" w:rsidRPr="00011076">
        <w:rPr>
          <w:rFonts w:ascii="Arial" w:hAnsi="Arial" w:cs="Arial"/>
          <w:vertAlign w:val="subscript"/>
        </w:rPr>
        <w:t>2</w:t>
      </w:r>
      <w:r w:rsidR="00E51BE6">
        <w:rPr>
          <w:rFonts w:ascii="Arial" w:hAnsi="Arial" w:cs="Arial"/>
        </w:rPr>
        <w:t>O emissions from the biological treatment of solid waste has been updated to align with the National Inventory Report</w:t>
      </w:r>
      <w:r w:rsidR="00C95ABE">
        <w:rPr>
          <w:rFonts w:ascii="Arial" w:hAnsi="Arial" w:cs="Arial"/>
        </w:rPr>
        <w:t xml:space="preserve"> (section 5.2 page </w:t>
      </w:r>
      <w:r w:rsidR="002F0E94">
        <w:rPr>
          <w:rFonts w:ascii="Arial" w:hAnsi="Arial" w:cs="Arial"/>
        </w:rPr>
        <w:t>51</w:t>
      </w:r>
      <w:r w:rsidR="00C95ABE">
        <w:rPr>
          <w:rFonts w:ascii="Arial" w:hAnsi="Arial" w:cs="Arial"/>
        </w:rPr>
        <w:t>)</w:t>
      </w:r>
      <w:r w:rsidR="00FF53A4">
        <w:rPr>
          <w:rFonts w:ascii="Arial" w:hAnsi="Arial" w:cs="Arial"/>
        </w:rPr>
        <w:t>.</w:t>
      </w:r>
    </w:p>
    <w:p w14:paraId="41B1798B" w14:textId="77777777" w:rsidR="008B7F00" w:rsidRDefault="008B7F00">
      <w:pPr>
        <w:spacing w:before="120" w:line="312" w:lineRule="auto"/>
        <w:ind w:left="0"/>
        <w:rPr>
          <w:rFonts w:ascii="Arial" w:hAnsi="Arial" w:cs="Arial"/>
        </w:rPr>
      </w:pPr>
    </w:p>
    <w:p w14:paraId="5090B205" w14:textId="77777777" w:rsidR="008B7F00" w:rsidRDefault="008B7F00">
      <w:pPr>
        <w:pStyle w:val="EquationNote"/>
        <w:ind w:left="0" w:firstLine="0"/>
        <w:rPr>
          <w:b/>
          <w:iCs w:val="0"/>
          <w:spacing w:val="-4"/>
          <w:kern w:val="28"/>
          <w:sz w:val="22"/>
        </w:rPr>
      </w:pPr>
    </w:p>
    <w:bookmarkEnd w:id="178"/>
    <w:p w14:paraId="5A0A5291" w14:textId="77777777" w:rsidR="008F28C2" w:rsidRPr="00E72998" w:rsidRDefault="008F28C2" w:rsidP="00C44D6A">
      <w:pPr>
        <w:ind w:left="0"/>
      </w:pPr>
    </w:p>
    <w:sectPr w:rsidR="008F28C2" w:rsidRPr="00E72998" w:rsidSect="005D39D6">
      <w:headerReference w:type="even" r:id="rId74"/>
      <w:headerReference w:type="default" r:id="rId75"/>
      <w:headerReference w:type="first" r:id="rId76"/>
      <w:pgSz w:w="11907" w:h="16840" w:code="9"/>
      <w:pgMar w:top="851" w:right="1800" w:bottom="1276" w:left="1800" w:header="720" w:footer="965" w:gutter="0"/>
      <w:cols w:space="2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6ABB3" w14:textId="77777777" w:rsidR="00990E77" w:rsidRDefault="00990E77">
      <w:r>
        <w:separator/>
      </w:r>
    </w:p>
    <w:p w14:paraId="4215A906" w14:textId="77777777" w:rsidR="00990E77" w:rsidRDefault="00990E77"/>
  </w:endnote>
  <w:endnote w:type="continuationSeparator" w:id="0">
    <w:p w14:paraId="73302D04" w14:textId="77777777" w:rsidR="00990E77" w:rsidRDefault="00990E77">
      <w:r>
        <w:continuationSeparator/>
      </w:r>
    </w:p>
    <w:p w14:paraId="1A3BF8A7" w14:textId="77777777" w:rsidR="00990E77" w:rsidRDefault="00990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ightCond">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TimesNewRomanPS">
    <w:altName w:val="TimesNewRomanPS"/>
    <w:panose1 w:val="00000000000000000000"/>
    <w:charset w:val="00"/>
    <w:family w:val="roman"/>
    <w:notTrueType/>
    <w:pitch w:val="default"/>
    <w:sig w:usb0="00000003" w:usb1="00000000"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Pro-Regular">
    <w:altName w:val="Malgun Gothic"/>
    <w:panose1 w:val="020B0503030403020204"/>
    <w:charset w:val="4D"/>
    <w:family w:val="auto"/>
    <w:notTrueType/>
    <w:pitch w:val="default"/>
    <w:sig w:usb0="00000003" w:usb1="00000000" w:usb2="00000000" w:usb3="00000000" w:csb0="00000001" w:csb1="00000000"/>
  </w:font>
  <w:font w:name="Arial (W1)">
    <w:altName w:val="Arial"/>
    <w:charset w:val="00"/>
    <w:family w:val="swiss"/>
    <w:pitch w:val="variable"/>
    <w:sig w:usb0="00000003"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 New Roman,BoldItalic">
    <w:altName w:val="Times New Roman"/>
    <w:panose1 w:val="00000000000000000000"/>
    <w:charset w:val="A1"/>
    <w:family w:val="auto"/>
    <w:notTrueType/>
    <w:pitch w:val="default"/>
    <w:sig w:usb0="00000081" w:usb1="00000000" w:usb2="00000000" w:usb3="00000000" w:csb0="00000008"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811E7" w14:textId="77777777" w:rsidR="00990E77" w:rsidRDefault="00990E7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583B2FF" w14:textId="77777777" w:rsidR="00990E77" w:rsidRDefault="00990E7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79A4A" w14:textId="77777777" w:rsidR="00990E77" w:rsidRDefault="00990E77">
    <w:pPr>
      <w:pStyle w:val="Footer"/>
      <w:framePr w:wrap="around" w:vAnchor="text" w:hAnchor="page" w:x="6562" w:y="38"/>
      <w:rPr>
        <w:rStyle w:val="PageNumber"/>
      </w:rPr>
    </w:pPr>
  </w:p>
  <w:p w14:paraId="0F46F3CF" w14:textId="77777777" w:rsidR="00990E77" w:rsidRDefault="00990E77">
    <w:pPr>
      <w:pStyle w:val="Footer"/>
      <w:ind w:right="360"/>
      <w:jc w:val="center"/>
      <w:rPr>
        <w:rStyle w:val="PageNumbe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2B5F2" w14:textId="77777777" w:rsidR="00CA4FB8" w:rsidRDefault="00CA4F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BA6DE" w14:textId="77777777" w:rsidR="00990E77" w:rsidRDefault="00990E77" w:rsidP="00346C5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A4FB8">
      <w:rPr>
        <w:rStyle w:val="PageNumber"/>
        <w:noProof/>
      </w:rPr>
      <w:t>21</w:t>
    </w:r>
    <w:r>
      <w:rPr>
        <w:rStyle w:val="PageNumber"/>
      </w:rPr>
      <w:fldChar w:fldCharType="end"/>
    </w:r>
    <w:r>
      <w:rPr>
        <w:rStyle w:val="PageNumber"/>
      </w:rPr>
      <w:t xml:space="preserve">  </w:t>
    </w:r>
    <w:r w:rsidRPr="00B80F09">
      <w:rPr>
        <w:rFonts w:cs="Arial"/>
        <w:b/>
        <w:sz w:val="18"/>
        <w:szCs w:val="18"/>
        <w:lang w:eastAsia="en-AU"/>
      </w:rPr>
      <w:t>Department of the Environment</w:t>
    </w:r>
    <w:r>
      <w:rPr>
        <w:rFonts w:cs="Arial"/>
        <w:b/>
        <w:sz w:val="18"/>
        <w:szCs w:val="18"/>
        <w:lang w:eastAsia="en-AU"/>
      </w:rPr>
      <w:t xml:space="preserve"> and Energy</w:t>
    </w:r>
    <w:r>
      <w:rPr>
        <w:rFonts w:cs="Arial"/>
        <w:sz w:val="18"/>
        <w:szCs w:val="18"/>
        <w:lang w:eastAsia="en-AU"/>
      </w:rPr>
      <w:t xml:space="preserve"> </w:t>
    </w:r>
  </w:p>
  <w:p w14:paraId="1E4D4D05" w14:textId="77777777" w:rsidR="00990E77" w:rsidRDefault="00990E77">
    <w:pPr>
      <w:pStyle w:val="Footer"/>
      <w:pBdr>
        <w:top w:val="single" w:sz="4" w:space="1" w:color="auto"/>
      </w:pBdr>
      <w:ind w:right="360" w:firstLine="360"/>
      <w:jc w:val="center"/>
      <w:rPr>
        <w:rStyle w:val="PageNumbe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09142" w14:textId="77777777" w:rsidR="00990E77" w:rsidRDefault="00990E77">
      <w:r>
        <w:separator/>
      </w:r>
    </w:p>
    <w:p w14:paraId="2A714188" w14:textId="77777777" w:rsidR="00990E77" w:rsidRDefault="00990E77"/>
  </w:footnote>
  <w:footnote w:type="continuationSeparator" w:id="0">
    <w:p w14:paraId="521ECE37" w14:textId="77777777" w:rsidR="00990E77" w:rsidRDefault="00990E77">
      <w:r>
        <w:separator/>
      </w:r>
    </w:p>
    <w:p w14:paraId="02D9F9F6" w14:textId="77777777" w:rsidR="00990E77" w:rsidRDefault="00990E77"/>
  </w:footnote>
  <w:footnote w:type="continuationNotice" w:id="1">
    <w:p w14:paraId="49C1530C" w14:textId="77777777" w:rsidR="00990E77" w:rsidRDefault="00990E77">
      <w:pPr>
        <w:rPr>
          <w:i/>
          <w:sz w:val="18"/>
        </w:rPr>
      </w:pPr>
      <w:r>
        <w:rPr>
          <w:i/>
          <w:sz w:val="18"/>
        </w:rPr>
        <w:t>(footnote continued)</w:t>
      </w:r>
    </w:p>
    <w:p w14:paraId="189BC88E" w14:textId="77777777" w:rsidR="00990E77" w:rsidRDefault="00990E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830C3" w14:textId="77777777" w:rsidR="00CA4FB8" w:rsidRDefault="00CA4F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02400" w14:textId="77777777" w:rsidR="00CA4FB8" w:rsidRDefault="00CA4F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2CECE" w14:textId="77777777" w:rsidR="00CA4FB8" w:rsidRDefault="00CA4FB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C7433" w14:textId="77777777" w:rsidR="00990E77" w:rsidRDefault="00990E7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449F1" w14:textId="77777777" w:rsidR="00990E77" w:rsidRDefault="00990E7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D4C6" w14:textId="77777777" w:rsidR="00990E77" w:rsidRDefault="00990E7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DEF95" w14:textId="77777777" w:rsidR="00990E77" w:rsidRDefault="0099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62AD0A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E704F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C268A7"/>
    <w:multiLevelType w:val="hybridMultilevel"/>
    <w:tmpl w:val="41163D90"/>
    <w:lvl w:ilvl="0" w:tplc="04090005">
      <w:start w:val="1"/>
      <w:numFmt w:val="bullet"/>
      <w:lvlText w:val=""/>
      <w:lvlJc w:val="left"/>
      <w:pPr>
        <w:tabs>
          <w:tab w:val="num" w:pos="1800"/>
        </w:tabs>
        <w:ind w:left="1800" w:hanging="360"/>
      </w:pPr>
      <w:rPr>
        <w:rFonts w:ascii="Wingdings" w:hAnsi="Wingdings" w:hint="default"/>
      </w:rPr>
    </w:lvl>
    <w:lvl w:ilvl="1" w:tplc="0A022FB8">
      <w:start w:val="1"/>
      <w:numFmt w:val="lowerLetter"/>
      <w:lvlText w:val="(%2)"/>
      <w:lvlJc w:val="left"/>
      <w:pPr>
        <w:tabs>
          <w:tab w:val="num" w:pos="2520"/>
        </w:tabs>
        <w:ind w:left="2520" w:hanging="360"/>
      </w:pPr>
      <w:rPr>
        <w:rFonts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15CC9F7E">
      <w:numFmt w:val="bullet"/>
      <w:lvlText w:val="-"/>
      <w:lvlJc w:val="left"/>
      <w:pPr>
        <w:ind w:left="3960" w:hanging="360"/>
      </w:pPr>
      <w:rPr>
        <w:rFonts w:ascii="Arial" w:eastAsia="Times New Roman" w:hAnsi="Arial" w:cs="Aria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C0958B2"/>
    <w:multiLevelType w:val="hybridMultilevel"/>
    <w:tmpl w:val="FEB86298"/>
    <w:lvl w:ilvl="0" w:tplc="8E0A85DC">
      <w:start w:val="1"/>
      <w:numFmt w:val="bullet"/>
      <w:lvlText w:val=""/>
      <w:lvlJc w:val="left"/>
      <w:pPr>
        <w:tabs>
          <w:tab w:val="num" w:pos="1080"/>
        </w:tabs>
        <w:ind w:left="1080" w:hanging="360"/>
      </w:pPr>
      <w:rPr>
        <w:rFonts w:ascii="Symbol" w:hAnsi="Symbol" w:hint="default"/>
      </w:rPr>
    </w:lvl>
    <w:lvl w:ilvl="1" w:tplc="EC7283E2" w:tentative="1">
      <w:start w:val="1"/>
      <w:numFmt w:val="bullet"/>
      <w:lvlText w:val="o"/>
      <w:lvlJc w:val="left"/>
      <w:pPr>
        <w:tabs>
          <w:tab w:val="num" w:pos="1800"/>
        </w:tabs>
        <w:ind w:left="1800" w:hanging="360"/>
      </w:pPr>
      <w:rPr>
        <w:rFonts w:ascii="Courier New" w:hAnsi="Courier New" w:hint="default"/>
      </w:rPr>
    </w:lvl>
    <w:lvl w:ilvl="2" w:tplc="D3749C56" w:tentative="1">
      <w:start w:val="1"/>
      <w:numFmt w:val="bullet"/>
      <w:lvlText w:val=""/>
      <w:lvlJc w:val="left"/>
      <w:pPr>
        <w:tabs>
          <w:tab w:val="num" w:pos="2520"/>
        </w:tabs>
        <w:ind w:left="2520" w:hanging="360"/>
      </w:pPr>
      <w:rPr>
        <w:rFonts w:ascii="Wingdings" w:hAnsi="Wingdings" w:hint="default"/>
      </w:rPr>
    </w:lvl>
    <w:lvl w:ilvl="3" w:tplc="FA541844" w:tentative="1">
      <w:start w:val="1"/>
      <w:numFmt w:val="bullet"/>
      <w:lvlText w:val=""/>
      <w:lvlJc w:val="left"/>
      <w:pPr>
        <w:tabs>
          <w:tab w:val="num" w:pos="3240"/>
        </w:tabs>
        <w:ind w:left="3240" w:hanging="360"/>
      </w:pPr>
      <w:rPr>
        <w:rFonts w:ascii="Symbol" w:hAnsi="Symbol" w:hint="default"/>
      </w:rPr>
    </w:lvl>
    <w:lvl w:ilvl="4" w:tplc="3F7E1050" w:tentative="1">
      <w:start w:val="1"/>
      <w:numFmt w:val="bullet"/>
      <w:lvlText w:val="o"/>
      <w:lvlJc w:val="left"/>
      <w:pPr>
        <w:tabs>
          <w:tab w:val="num" w:pos="3960"/>
        </w:tabs>
        <w:ind w:left="3960" w:hanging="360"/>
      </w:pPr>
      <w:rPr>
        <w:rFonts w:ascii="Courier New" w:hAnsi="Courier New" w:hint="default"/>
      </w:rPr>
    </w:lvl>
    <w:lvl w:ilvl="5" w:tplc="2E9809FC" w:tentative="1">
      <w:start w:val="1"/>
      <w:numFmt w:val="bullet"/>
      <w:lvlText w:val=""/>
      <w:lvlJc w:val="left"/>
      <w:pPr>
        <w:tabs>
          <w:tab w:val="num" w:pos="4680"/>
        </w:tabs>
        <w:ind w:left="4680" w:hanging="360"/>
      </w:pPr>
      <w:rPr>
        <w:rFonts w:ascii="Wingdings" w:hAnsi="Wingdings" w:hint="default"/>
      </w:rPr>
    </w:lvl>
    <w:lvl w:ilvl="6" w:tplc="6D163FB2" w:tentative="1">
      <w:start w:val="1"/>
      <w:numFmt w:val="bullet"/>
      <w:lvlText w:val=""/>
      <w:lvlJc w:val="left"/>
      <w:pPr>
        <w:tabs>
          <w:tab w:val="num" w:pos="5400"/>
        </w:tabs>
        <w:ind w:left="5400" w:hanging="360"/>
      </w:pPr>
      <w:rPr>
        <w:rFonts w:ascii="Symbol" w:hAnsi="Symbol" w:hint="default"/>
      </w:rPr>
    </w:lvl>
    <w:lvl w:ilvl="7" w:tplc="106EBD24" w:tentative="1">
      <w:start w:val="1"/>
      <w:numFmt w:val="bullet"/>
      <w:lvlText w:val="o"/>
      <w:lvlJc w:val="left"/>
      <w:pPr>
        <w:tabs>
          <w:tab w:val="num" w:pos="6120"/>
        </w:tabs>
        <w:ind w:left="6120" w:hanging="360"/>
      </w:pPr>
      <w:rPr>
        <w:rFonts w:ascii="Courier New" w:hAnsi="Courier New" w:hint="default"/>
      </w:rPr>
    </w:lvl>
    <w:lvl w:ilvl="8" w:tplc="9FF89226"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E6E383E"/>
    <w:multiLevelType w:val="hybridMultilevel"/>
    <w:tmpl w:val="9E36FD8E"/>
    <w:lvl w:ilvl="0" w:tplc="0C090001">
      <w:start w:val="1"/>
      <w:numFmt w:val="bullet"/>
      <w:lvlText w:val=""/>
      <w:lvlJc w:val="left"/>
      <w:pPr>
        <w:tabs>
          <w:tab w:val="num" w:pos="1845"/>
        </w:tabs>
        <w:ind w:left="1845" w:hanging="720"/>
      </w:pPr>
      <w:rPr>
        <w:rFonts w:ascii="Symbol" w:hAnsi="Symbol" w:hint="default"/>
      </w:rPr>
    </w:lvl>
    <w:lvl w:ilvl="1" w:tplc="0C090003">
      <w:start w:val="1"/>
      <w:numFmt w:val="bullet"/>
      <w:lvlText w:val="o"/>
      <w:lvlJc w:val="left"/>
      <w:pPr>
        <w:tabs>
          <w:tab w:val="num" w:pos="2565"/>
        </w:tabs>
        <w:ind w:left="2565" w:hanging="360"/>
      </w:pPr>
      <w:rPr>
        <w:rFonts w:ascii="Courier New" w:hAnsi="Courier New" w:hint="default"/>
      </w:rPr>
    </w:lvl>
    <w:lvl w:ilvl="2" w:tplc="0C090005" w:tentative="1">
      <w:start w:val="1"/>
      <w:numFmt w:val="bullet"/>
      <w:lvlText w:val=""/>
      <w:lvlJc w:val="left"/>
      <w:pPr>
        <w:tabs>
          <w:tab w:val="num" w:pos="3285"/>
        </w:tabs>
        <w:ind w:left="3285" w:hanging="360"/>
      </w:pPr>
      <w:rPr>
        <w:rFonts w:ascii="Wingdings" w:hAnsi="Wingdings" w:hint="default"/>
      </w:rPr>
    </w:lvl>
    <w:lvl w:ilvl="3" w:tplc="0C090001" w:tentative="1">
      <w:start w:val="1"/>
      <w:numFmt w:val="bullet"/>
      <w:lvlText w:val=""/>
      <w:lvlJc w:val="left"/>
      <w:pPr>
        <w:tabs>
          <w:tab w:val="num" w:pos="4005"/>
        </w:tabs>
        <w:ind w:left="4005" w:hanging="360"/>
      </w:pPr>
      <w:rPr>
        <w:rFonts w:ascii="Symbol" w:hAnsi="Symbol" w:hint="default"/>
      </w:rPr>
    </w:lvl>
    <w:lvl w:ilvl="4" w:tplc="0C090003" w:tentative="1">
      <w:start w:val="1"/>
      <w:numFmt w:val="bullet"/>
      <w:lvlText w:val="o"/>
      <w:lvlJc w:val="left"/>
      <w:pPr>
        <w:tabs>
          <w:tab w:val="num" w:pos="4725"/>
        </w:tabs>
        <w:ind w:left="4725" w:hanging="360"/>
      </w:pPr>
      <w:rPr>
        <w:rFonts w:ascii="Courier New" w:hAnsi="Courier New" w:hint="default"/>
      </w:rPr>
    </w:lvl>
    <w:lvl w:ilvl="5" w:tplc="0C090005" w:tentative="1">
      <w:start w:val="1"/>
      <w:numFmt w:val="bullet"/>
      <w:lvlText w:val=""/>
      <w:lvlJc w:val="left"/>
      <w:pPr>
        <w:tabs>
          <w:tab w:val="num" w:pos="5445"/>
        </w:tabs>
        <w:ind w:left="5445" w:hanging="360"/>
      </w:pPr>
      <w:rPr>
        <w:rFonts w:ascii="Wingdings" w:hAnsi="Wingdings" w:hint="default"/>
      </w:rPr>
    </w:lvl>
    <w:lvl w:ilvl="6" w:tplc="0C090001" w:tentative="1">
      <w:start w:val="1"/>
      <w:numFmt w:val="bullet"/>
      <w:lvlText w:val=""/>
      <w:lvlJc w:val="left"/>
      <w:pPr>
        <w:tabs>
          <w:tab w:val="num" w:pos="6165"/>
        </w:tabs>
        <w:ind w:left="6165" w:hanging="360"/>
      </w:pPr>
      <w:rPr>
        <w:rFonts w:ascii="Symbol" w:hAnsi="Symbol" w:hint="default"/>
      </w:rPr>
    </w:lvl>
    <w:lvl w:ilvl="7" w:tplc="0C090003" w:tentative="1">
      <w:start w:val="1"/>
      <w:numFmt w:val="bullet"/>
      <w:lvlText w:val="o"/>
      <w:lvlJc w:val="left"/>
      <w:pPr>
        <w:tabs>
          <w:tab w:val="num" w:pos="6885"/>
        </w:tabs>
        <w:ind w:left="6885" w:hanging="360"/>
      </w:pPr>
      <w:rPr>
        <w:rFonts w:ascii="Courier New" w:hAnsi="Courier New" w:hint="default"/>
      </w:rPr>
    </w:lvl>
    <w:lvl w:ilvl="8" w:tplc="0C090005" w:tentative="1">
      <w:start w:val="1"/>
      <w:numFmt w:val="bullet"/>
      <w:lvlText w:val=""/>
      <w:lvlJc w:val="left"/>
      <w:pPr>
        <w:tabs>
          <w:tab w:val="num" w:pos="7605"/>
        </w:tabs>
        <w:ind w:left="7605" w:hanging="360"/>
      </w:pPr>
      <w:rPr>
        <w:rFonts w:ascii="Wingdings" w:hAnsi="Wingdings" w:hint="default"/>
      </w:rPr>
    </w:lvl>
  </w:abstractNum>
  <w:abstractNum w:abstractNumId="6" w15:restartNumberingAfterBreak="0">
    <w:nsid w:val="15BC7E2D"/>
    <w:multiLevelType w:val="hybridMultilevel"/>
    <w:tmpl w:val="CB921FBA"/>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65564C8"/>
    <w:multiLevelType w:val="hybridMultilevel"/>
    <w:tmpl w:val="15A26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EB3914"/>
    <w:multiLevelType w:val="hybridMultilevel"/>
    <w:tmpl w:val="DCE03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872E6A"/>
    <w:multiLevelType w:val="hybridMultilevel"/>
    <w:tmpl w:val="AE766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BF682F"/>
    <w:multiLevelType w:val="hybridMultilevel"/>
    <w:tmpl w:val="32F43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DD4391"/>
    <w:multiLevelType w:val="hybridMultilevel"/>
    <w:tmpl w:val="B1F21266"/>
    <w:lvl w:ilvl="0" w:tplc="0C090001">
      <w:start w:val="1"/>
      <w:numFmt w:val="bullet"/>
      <w:pStyle w:val="Tablebullets"/>
      <w:lvlText w:val=""/>
      <w:lvlJc w:val="left"/>
      <w:pPr>
        <w:tabs>
          <w:tab w:val="num" w:pos="720"/>
        </w:tabs>
        <w:ind w:left="720" w:hanging="360"/>
      </w:pPr>
      <w:rPr>
        <w:rFonts w:ascii="Symbol" w:hAnsi="Symbol" w:hint="default"/>
      </w:rPr>
    </w:lvl>
    <w:lvl w:ilvl="1" w:tplc="0C090003">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153E5B"/>
    <w:multiLevelType w:val="hybridMultilevel"/>
    <w:tmpl w:val="BD0AAD80"/>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3" w15:restartNumberingAfterBreak="0">
    <w:nsid w:val="2625220F"/>
    <w:multiLevelType w:val="hybridMultilevel"/>
    <w:tmpl w:val="8C7870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553851"/>
    <w:multiLevelType w:val="hybridMultilevel"/>
    <w:tmpl w:val="87009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6E5788"/>
    <w:multiLevelType w:val="hybridMultilevel"/>
    <w:tmpl w:val="A71C6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624FBA"/>
    <w:multiLevelType w:val="hybridMultilevel"/>
    <w:tmpl w:val="6BB20F5E"/>
    <w:lvl w:ilvl="0" w:tplc="43F473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056EE1"/>
    <w:multiLevelType w:val="hybridMultilevel"/>
    <w:tmpl w:val="EDFEC7C6"/>
    <w:lvl w:ilvl="0" w:tplc="7B5600A6">
      <w:start w:val="1"/>
      <w:numFmt w:val="bullet"/>
      <w:lvlText w:val=""/>
      <w:lvlJc w:val="left"/>
      <w:pPr>
        <w:tabs>
          <w:tab w:val="num" w:pos="720"/>
        </w:tabs>
        <w:ind w:left="720" w:hanging="360"/>
      </w:pPr>
      <w:rPr>
        <w:rFonts w:ascii="Symbol" w:hAnsi="Symbol" w:hint="default"/>
      </w:rPr>
    </w:lvl>
    <w:lvl w:ilvl="1" w:tplc="0C090001"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4E1383"/>
    <w:multiLevelType w:val="multilevel"/>
    <w:tmpl w:val="FD286E7A"/>
    <w:lvl w:ilvl="0">
      <w:start w:val="1"/>
      <w:numFmt w:val="decimal"/>
      <w:pStyle w:val="OutlineNumbered1"/>
      <w:lvlText w:val="%1."/>
      <w:lvlJc w:val="left"/>
      <w:pPr>
        <w:tabs>
          <w:tab w:val="num" w:pos="472"/>
        </w:tabs>
        <w:ind w:left="472" w:hanging="472"/>
      </w:pPr>
      <w:rPr>
        <w:rFonts w:cs="Times New Roman"/>
      </w:rPr>
    </w:lvl>
    <w:lvl w:ilvl="1">
      <w:start w:val="1"/>
      <w:numFmt w:val="decimal"/>
      <w:pStyle w:val="OutlineNumbered2"/>
      <w:lvlText w:val="%1.%2."/>
      <w:lvlJc w:val="left"/>
      <w:pPr>
        <w:tabs>
          <w:tab w:val="num" w:pos="944"/>
        </w:tabs>
        <w:ind w:left="944" w:hanging="472"/>
      </w:pPr>
      <w:rPr>
        <w:rFonts w:cs="Times New Roman"/>
      </w:rPr>
    </w:lvl>
    <w:lvl w:ilvl="2">
      <w:start w:val="1"/>
      <w:numFmt w:val="decimal"/>
      <w:pStyle w:val="OutlineNumbered3"/>
      <w:lvlText w:val="%1.%2.%3."/>
      <w:lvlJc w:val="left"/>
      <w:pPr>
        <w:tabs>
          <w:tab w:val="num" w:pos="1416"/>
        </w:tabs>
        <w:ind w:left="1416" w:hanging="472"/>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3C8F68E5"/>
    <w:multiLevelType w:val="hybridMultilevel"/>
    <w:tmpl w:val="BE66D68C"/>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42E5107F"/>
    <w:multiLevelType w:val="hybridMultilevel"/>
    <w:tmpl w:val="9C26CB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4FB2577"/>
    <w:multiLevelType w:val="multilevel"/>
    <w:tmpl w:val="40A0B40C"/>
    <w:lvl w:ilvl="0">
      <w:start w:val="1"/>
      <w:numFmt w:val="bullet"/>
      <w:pStyle w:val="Bullet"/>
      <w:lvlText w:val="•"/>
      <w:lvlJc w:val="left"/>
      <w:pPr>
        <w:tabs>
          <w:tab w:val="num" w:pos="756"/>
        </w:tabs>
        <w:ind w:left="756" w:hanging="472"/>
      </w:pPr>
      <w:rPr>
        <w:rFonts w:ascii="Times New Roman" w:hAnsi="Times New Roman" w:cs="Times New Roman"/>
      </w:rPr>
    </w:lvl>
    <w:lvl w:ilvl="1">
      <w:start w:val="1"/>
      <w:numFmt w:val="bullet"/>
      <w:pStyle w:val="Dash"/>
      <w:lvlText w:val="–"/>
      <w:lvlJc w:val="left"/>
      <w:pPr>
        <w:tabs>
          <w:tab w:val="num" w:pos="1228"/>
        </w:tabs>
        <w:ind w:left="1228" w:hanging="472"/>
      </w:pPr>
      <w:rPr>
        <w:rFonts w:ascii="Times New Roman" w:hAnsi="Times New Roman" w:cs="Times New Roman"/>
      </w:rPr>
    </w:lvl>
    <w:lvl w:ilvl="2">
      <w:start w:val="1"/>
      <w:numFmt w:val="bullet"/>
      <w:pStyle w:val="DoubleDot"/>
      <w:lvlText w:val=":"/>
      <w:lvlJc w:val="left"/>
      <w:pPr>
        <w:tabs>
          <w:tab w:val="num" w:pos="1700"/>
        </w:tabs>
        <w:ind w:left="1700" w:hanging="472"/>
      </w:pPr>
      <w:rPr>
        <w:rFonts w:ascii="Times New Roman" w:hAnsi="Times New Roman" w:cs="Times New Roman" w:hint="default"/>
      </w:r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22" w15:restartNumberingAfterBreak="0">
    <w:nsid w:val="484C619F"/>
    <w:multiLevelType w:val="hybridMultilevel"/>
    <w:tmpl w:val="B8120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EF411F"/>
    <w:multiLevelType w:val="hybridMultilevel"/>
    <w:tmpl w:val="DD243F4E"/>
    <w:name w:val="StandardBulleted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3"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516AF1"/>
    <w:multiLevelType w:val="hybridMultilevel"/>
    <w:tmpl w:val="CE20378E"/>
    <w:lvl w:ilvl="0" w:tplc="0C090001">
      <w:start w:val="1"/>
      <w:numFmt w:val="bullet"/>
      <w:lvlText w:val=""/>
      <w:lvlJc w:val="left"/>
      <w:pPr>
        <w:tabs>
          <w:tab w:val="num" w:pos="1800"/>
        </w:tabs>
        <w:ind w:left="1800" w:hanging="360"/>
      </w:pPr>
      <w:rPr>
        <w:rFonts w:ascii="Wingdings" w:hAnsi="Wingdings" w:hint="default"/>
      </w:rPr>
    </w:lvl>
    <w:lvl w:ilvl="1" w:tplc="0C090003">
      <w:start w:val="1"/>
      <w:numFmt w:val="bullet"/>
      <w:lvlText w:val="o"/>
      <w:lvlJc w:val="left"/>
      <w:pPr>
        <w:tabs>
          <w:tab w:val="num" w:pos="2520"/>
        </w:tabs>
        <w:ind w:left="2520" w:hanging="360"/>
      </w:pPr>
      <w:rPr>
        <w:rFonts w:ascii="Courier New" w:hAnsi="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4F843CF5"/>
    <w:multiLevelType w:val="hybridMultilevel"/>
    <w:tmpl w:val="99BAE4B4"/>
    <w:lvl w:ilvl="0" w:tplc="04090005">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4FCE682F"/>
    <w:multiLevelType w:val="hybridMultilevel"/>
    <w:tmpl w:val="230A95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946437"/>
    <w:multiLevelType w:val="hybridMultilevel"/>
    <w:tmpl w:val="215C2E5C"/>
    <w:lvl w:ilvl="0" w:tplc="0C09000F">
      <w:start w:val="1"/>
      <w:numFmt w:val="decimal"/>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28" w15:restartNumberingAfterBreak="0">
    <w:nsid w:val="5B905B0C"/>
    <w:multiLevelType w:val="hybridMultilevel"/>
    <w:tmpl w:val="3B161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1F0C3C"/>
    <w:multiLevelType w:val="multilevel"/>
    <w:tmpl w:val="CD1C40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0" w15:restartNumberingAfterBreak="0">
    <w:nsid w:val="60CA72BC"/>
    <w:multiLevelType w:val="hybridMultilevel"/>
    <w:tmpl w:val="CBD42226"/>
    <w:lvl w:ilvl="0" w:tplc="755A9970">
      <w:start w:val="1"/>
      <w:numFmt w:val="bullet"/>
      <w:lvlText w:val=""/>
      <w:lvlJc w:val="left"/>
      <w:pPr>
        <w:tabs>
          <w:tab w:val="num" w:pos="1845"/>
        </w:tabs>
        <w:ind w:left="1845" w:hanging="720"/>
      </w:pPr>
      <w:rPr>
        <w:rFonts w:ascii="Symbol" w:hAnsi="Symbol" w:hint="default"/>
      </w:rPr>
    </w:lvl>
    <w:lvl w:ilvl="1" w:tplc="FEB89CBA" w:tentative="1">
      <w:start w:val="1"/>
      <w:numFmt w:val="bullet"/>
      <w:lvlText w:val="o"/>
      <w:lvlJc w:val="left"/>
      <w:pPr>
        <w:tabs>
          <w:tab w:val="num" w:pos="2565"/>
        </w:tabs>
        <w:ind w:left="2565" w:hanging="360"/>
      </w:pPr>
      <w:rPr>
        <w:rFonts w:ascii="Courier New" w:hAnsi="Courier New" w:hint="default"/>
      </w:rPr>
    </w:lvl>
    <w:lvl w:ilvl="2" w:tplc="F9527170" w:tentative="1">
      <w:start w:val="1"/>
      <w:numFmt w:val="bullet"/>
      <w:lvlText w:val=""/>
      <w:lvlJc w:val="left"/>
      <w:pPr>
        <w:tabs>
          <w:tab w:val="num" w:pos="3285"/>
        </w:tabs>
        <w:ind w:left="3285" w:hanging="360"/>
      </w:pPr>
      <w:rPr>
        <w:rFonts w:ascii="Wingdings" w:hAnsi="Wingdings" w:hint="default"/>
      </w:rPr>
    </w:lvl>
    <w:lvl w:ilvl="3" w:tplc="5C105D78" w:tentative="1">
      <w:start w:val="1"/>
      <w:numFmt w:val="bullet"/>
      <w:lvlText w:val=""/>
      <w:lvlJc w:val="left"/>
      <w:pPr>
        <w:tabs>
          <w:tab w:val="num" w:pos="4005"/>
        </w:tabs>
        <w:ind w:left="4005" w:hanging="360"/>
      </w:pPr>
      <w:rPr>
        <w:rFonts w:ascii="Symbol" w:hAnsi="Symbol" w:hint="default"/>
      </w:rPr>
    </w:lvl>
    <w:lvl w:ilvl="4" w:tplc="4E080AD6" w:tentative="1">
      <w:start w:val="1"/>
      <w:numFmt w:val="bullet"/>
      <w:lvlText w:val="o"/>
      <w:lvlJc w:val="left"/>
      <w:pPr>
        <w:tabs>
          <w:tab w:val="num" w:pos="4725"/>
        </w:tabs>
        <w:ind w:left="4725" w:hanging="360"/>
      </w:pPr>
      <w:rPr>
        <w:rFonts w:ascii="Courier New" w:hAnsi="Courier New" w:hint="default"/>
      </w:rPr>
    </w:lvl>
    <w:lvl w:ilvl="5" w:tplc="0D84EAD2" w:tentative="1">
      <w:start w:val="1"/>
      <w:numFmt w:val="bullet"/>
      <w:lvlText w:val=""/>
      <w:lvlJc w:val="left"/>
      <w:pPr>
        <w:tabs>
          <w:tab w:val="num" w:pos="5445"/>
        </w:tabs>
        <w:ind w:left="5445" w:hanging="360"/>
      </w:pPr>
      <w:rPr>
        <w:rFonts w:ascii="Wingdings" w:hAnsi="Wingdings" w:hint="default"/>
      </w:rPr>
    </w:lvl>
    <w:lvl w:ilvl="6" w:tplc="013A6890" w:tentative="1">
      <w:start w:val="1"/>
      <w:numFmt w:val="bullet"/>
      <w:lvlText w:val=""/>
      <w:lvlJc w:val="left"/>
      <w:pPr>
        <w:tabs>
          <w:tab w:val="num" w:pos="6165"/>
        </w:tabs>
        <w:ind w:left="6165" w:hanging="360"/>
      </w:pPr>
      <w:rPr>
        <w:rFonts w:ascii="Symbol" w:hAnsi="Symbol" w:hint="default"/>
      </w:rPr>
    </w:lvl>
    <w:lvl w:ilvl="7" w:tplc="EC3C6EF0" w:tentative="1">
      <w:start w:val="1"/>
      <w:numFmt w:val="bullet"/>
      <w:lvlText w:val="o"/>
      <w:lvlJc w:val="left"/>
      <w:pPr>
        <w:tabs>
          <w:tab w:val="num" w:pos="6885"/>
        </w:tabs>
        <w:ind w:left="6885" w:hanging="360"/>
      </w:pPr>
      <w:rPr>
        <w:rFonts w:ascii="Courier New" w:hAnsi="Courier New" w:hint="default"/>
      </w:rPr>
    </w:lvl>
    <w:lvl w:ilvl="8" w:tplc="8F366DD6" w:tentative="1">
      <w:start w:val="1"/>
      <w:numFmt w:val="bullet"/>
      <w:lvlText w:val=""/>
      <w:lvlJc w:val="left"/>
      <w:pPr>
        <w:tabs>
          <w:tab w:val="num" w:pos="7605"/>
        </w:tabs>
        <w:ind w:left="7605" w:hanging="360"/>
      </w:pPr>
      <w:rPr>
        <w:rFonts w:ascii="Wingdings" w:hAnsi="Wingdings" w:hint="default"/>
      </w:rPr>
    </w:lvl>
  </w:abstractNum>
  <w:abstractNum w:abstractNumId="31" w15:restartNumberingAfterBreak="0">
    <w:nsid w:val="62E7736A"/>
    <w:multiLevelType w:val="hybridMultilevel"/>
    <w:tmpl w:val="DC065F06"/>
    <w:lvl w:ilvl="0" w:tplc="045A58B4">
      <w:start w:val="1"/>
      <w:numFmt w:val="bullet"/>
      <w:lvlText w:val=""/>
      <w:lvlJc w:val="left"/>
      <w:pPr>
        <w:tabs>
          <w:tab w:val="num" w:pos="2166"/>
        </w:tabs>
        <w:ind w:left="2166" w:hanging="360"/>
      </w:pPr>
      <w:rPr>
        <w:rFonts w:ascii="Symbol" w:hAnsi="Symbol" w:hint="default"/>
      </w:rPr>
    </w:lvl>
    <w:lvl w:ilvl="1" w:tplc="04090003" w:tentative="1">
      <w:start w:val="1"/>
      <w:numFmt w:val="bullet"/>
      <w:lvlText w:val="o"/>
      <w:lvlJc w:val="left"/>
      <w:pPr>
        <w:tabs>
          <w:tab w:val="num" w:pos="2886"/>
        </w:tabs>
        <w:ind w:left="2886" w:hanging="360"/>
      </w:pPr>
      <w:rPr>
        <w:rFonts w:ascii="Courier New" w:hAnsi="Courier New" w:hint="default"/>
      </w:rPr>
    </w:lvl>
    <w:lvl w:ilvl="2" w:tplc="04090005" w:tentative="1">
      <w:start w:val="1"/>
      <w:numFmt w:val="bullet"/>
      <w:lvlText w:val=""/>
      <w:lvlJc w:val="left"/>
      <w:pPr>
        <w:tabs>
          <w:tab w:val="num" w:pos="3606"/>
        </w:tabs>
        <w:ind w:left="3606" w:hanging="360"/>
      </w:pPr>
      <w:rPr>
        <w:rFonts w:ascii="Wingdings" w:hAnsi="Wingdings" w:hint="default"/>
      </w:rPr>
    </w:lvl>
    <w:lvl w:ilvl="3" w:tplc="04090001" w:tentative="1">
      <w:start w:val="1"/>
      <w:numFmt w:val="bullet"/>
      <w:lvlText w:val=""/>
      <w:lvlJc w:val="left"/>
      <w:pPr>
        <w:tabs>
          <w:tab w:val="num" w:pos="4326"/>
        </w:tabs>
        <w:ind w:left="4326" w:hanging="360"/>
      </w:pPr>
      <w:rPr>
        <w:rFonts w:ascii="Symbol" w:hAnsi="Symbol" w:hint="default"/>
      </w:rPr>
    </w:lvl>
    <w:lvl w:ilvl="4" w:tplc="04090003" w:tentative="1">
      <w:start w:val="1"/>
      <w:numFmt w:val="bullet"/>
      <w:lvlText w:val="o"/>
      <w:lvlJc w:val="left"/>
      <w:pPr>
        <w:tabs>
          <w:tab w:val="num" w:pos="5046"/>
        </w:tabs>
        <w:ind w:left="5046" w:hanging="360"/>
      </w:pPr>
      <w:rPr>
        <w:rFonts w:ascii="Courier New" w:hAnsi="Courier New" w:hint="default"/>
      </w:rPr>
    </w:lvl>
    <w:lvl w:ilvl="5" w:tplc="04090005" w:tentative="1">
      <w:start w:val="1"/>
      <w:numFmt w:val="bullet"/>
      <w:lvlText w:val=""/>
      <w:lvlJc w:val="left"/>
      <w:pPr>
        <w:tabs>
          <w:tab w:val="num" w:pos="5766"/>
        </w:tabs>
        <w:ind w:left="5766" w:hanging="360"/>
      </w:pPr>
      <w:rPr>
        <w:rFonts w:ascii="Wingdings" w:hAnsi="Wingdings" w:hint="default"/>
      </w:rPr>
    </w:lvl>
    <w:lvl w:ilvl="6" w:tplc="04090001" w:tentative="1">
      <w:start w:val="1"/>
      <w:numFmt w:val="bullet"/>
      <w:lvlText w:val=""/>
      <w:lvlJc w:val="left"/>
      <w:pPr>
        <w:tabs>
          <w:tab w:val="num" w:pos="6486"/>
        </w:tabs>
        <w:ind w:left="6486" w:hanging="360"/>
      </w:pPr>
      <w:rPr>
        <w:rFonts w:ascii="Symbol" w:hAnsi="Symbol" w:hint="default"/>
      </w:rPr>
    </w:lvl>
    <w:lvl w:ilvl="7" w:tplc="04090003" w:tentative="1">
      <w:start w:val="1"/>
      <w:numFmt w:val="bullet"/>
      <w:lvlText w:val="o"/>
      <w:lvlJc w:val="left"/>
      <w:pPr>
        <w:tabs>
          <w:tab w:val="num" w:pos="7206"/>
        </w:tabs>
        <w:ind w:left="7206" w:hanging="360"/>
      </w:pPr>
      <w:rPr>
        <w:rFonts w:ascii="Courier New" w:hAnsi="Courier New" w:hint="default"/>
      </w:rPr>
    </w:lvl>
    <w:lvl w:ilvl="8" w:tplc="04090005" w:tentative="1">
      <w:start w:val="1"/>
      <w:numFmt w:val="bullet"/>
      <w:lvlText w:val=""/>
      <w:lvlJc w:val="left"/>
      <w:pPr>
        <w:tabs>
          <w:tab w:val="num" w:pos="7926"/>
        </w:tabs>
        <w:ind w:left="7926" w:hanging="360"/>
      </w:pPr>
      <w:rPr>
        <w:rFonts w:ascii="Wingdings" w:hAnsi="Wingdings" w:hint="default"/>
      </w:rPr>
    </w:lvl>
  </w:abstractNum>
  <w:abstractNum w:abstractNumId="32" w15:restartNumberingAfterBreak="0">
    <w:nsid w:val="63E21285"/>
    <w:multiLevelType w:val="hybridMultilevel"/>
    <w:tmpl w:val="70BE99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A840A14"/>
    <w:multiLevelType w:val="hybridMultilevel"/>
    <w:tmpl w:val="A0AED5E4"/>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34" w15:restartNumberingAfterBreak="0">
    <w:nsid w:val="71CE4B46"/>
    <w:multiLevelType w:val="hybridMultilevel"/>
    <w:tmpl w:val="E1669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1D1ECB"/>
    <w:multiLevelType w:val="hybridMultilevel"/>
    <w:tmpl w:val="F308F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9A4EE8"/>
    <w:multiLevelType w:val="hybridMultilevel"/>
    <w:tmpl w:val="A7FC05AC"/>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76ED3765"/>
    <w:multiLevelType w:val="hybridMultilevel"/>
    <w:tmpl w:val="A650E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160F9"/>
    <w:multiLevelType w:val="hybridMultilevel"/>
    <w:tmpl w:val="EC9A64AC"/>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9"/>
  </w:num>
  <w:num w:numId="3">
    <w:abstractNumId w:val="36"/>
  </w:num>
  <w:num w:numId="4">
    <w:abstractNumId w:val="5"/>
  </w:num>
  <w:num w:numId="5">
    <w:abstractNumId w:val="30"/>
  </w:num>
  <w:num w:numId="6">
    <w:abstractNumId w:val="24"/>
  </w:num>
  <w:num w:numId="7">
    <w:abstractNumId w:val="3"/>
  </w:num>
  <w:num w:numId="8">
    <w:abstractNumId w:val="11"/>
  </w:num>
  <w:num w:numId="9">
    <w:abstractNumId w:val="37"/>
  </w:num>
  <w:num w:numId="10">
    <w:abstractNumId w:val="4"/>
  </w:num>
  <w:num w:numId="11">
    <w:abstractNumId w:val="31"/>
  </w:num>
  <w:num w:numId="12">
    <w:abstractNumId w:val="17"/>
  </w:num>
  <w:num w:numId="13">
    <w:abstractNumId w:val="38"/>
  </w:num>
  <w:num w:numId="14">
    <w:abstractNumId w:val="18"/>
  </w:num>
  <w:num w:numId="15">
    <w:abstractNumId w:val="21"/>
  </w:num>
  <w:num w:numId="16">
    <w:abstractNumId w:val="23"/>
  </w:num>
  <w:num w:numId="17">
    <w:abstractNumId w:val="13"/>
  </w:num>
  <w:num w:numId="18">
    <w:abstractNumId w:val="8"/>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6"/>
  </w:num>
  <w:num w:numId="23">
    <w:abstractNumId w:val="32"/>
  </w:num>
  <w:num w:numId="24">
    <w:abstractNumId w:val="21"/>
  </w:num>
  <w:num w:numId="25">
    <w:abstractNumId w:val="21"/>
  </w:num>
  <w:num w:numId="26">
    <w:abstractNumId w:val="14"/>
  </w:num>
  <w:num w:numId="27">
    <w:abstractNumId w:val="26"/>
  </w:num>
  <w:num w:numId="28">
    <w:abstractNumId w:val="28"/>
  </w:num>
  <w:num w:numId="29">
    <w:abstractNumId w:val="9"/>
  </w:num>
  <w:num w:numId="30">
    <w:abstractNumId w:val="29"/>
  </w:num>
  <w:num w:numId="31">
    <w:abstractNumId w:val="29"/>
  </w:num>
  <w:num w:numId="32">
    <w:abstractNumId w:val="29"/>
  </w:num>
  <w:num w:numId="33">
    <w:abstractNumId w:val="21"/>
  </w:num>
  <w:num w:numId="34">
    <w:abstractNumId w:val="27"/>
  </w:num>
  <w:num w:numId="35">
    <w:abstractNumId w:val="21"/>
  </w:num>
  <w:num w:numId="36">
    <w:abstractNumId w:val="21"/>
  </w:num>
  <w:num w:numId="37">
    <w:abstractNumId w:val="0"/>
  </w:num>
  <w:num w:numId="38">
    <w:abstractNumId w:val="29"/>
  </w:num>
  <w:num w:numId="39">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num>
  <w:num w:numId="41">
    <w:abstractNumId w:val="34"/>
  </w:num>
  <w:num w:numId="42">
    <w:abstractNumId w:val="15"/>
  </w:num>
  <w:num w:numId="43">
    <w:abstractNumId w:val="7"/>
  </w:num>
  <w:num w:numId="44">
    <w:abstractNumId w:val="10"/>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7">
    <w:abstractNumId w:val="1"/>
  </w:num>
  <w:num w:numId="48">
    <w:abstractNumId w:val="2"/>
    <w:lvlOverride w:ilvl="0">
      <w:lvl w:ilvl="0">
        <w:numFmt w:val="bullet"/>
        <w:pStyle w:val="ListBullet"/>
        <w:lvlText w:val=""/>
        <w:legacy w:legacy="1" w:legacySpace="0" w:legacyIndent="360"/>
        <w:lvlJc w:val="left"/>
        <w:pPr>
          <w:ind w:left="1800" w:hanging="360"/>
        </w:pPr>
        <w:rPr>
          <w:rFonts w:ascii="Symbol" w:hAnsi="Symbol" w:hint="default"/>
          <w:sz w:val="22"/>
        </w:rPr>
      </w:lvl>
    </w:lvlOverride>
  </w:num>
  <w:num w:numId="49">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0">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1">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2">
    <w:abstractNumId w:val="6"/>
  </w:num>
  <w:num w:numId="53">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4">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5">
    <w:abstractNumId w:val="19"/>
  </w:num>
  <w:num w:numId="56">
    <w:abstractNumId w:val="20"/>
  </w:num>
  <w:num w:numId="57">
    <w:abstractNumId w:val="35"/>
  </w:num>
  <w:num w:numId="58">
    <w:abstractNumId w:val="29"/>
  </w:num>
  <w:num w:numId="59">
    <w:abstractNumId w:val="29"/>
  </w:num>
  <w:num w:numId="60">
    <w:abstractNumId w:val="29"/>
  </w:num>
  <w:num w:numId="61">
    <w:abstractNumId w:val="12"/>
  </w:num>
  <w:num w:numId="62">
    <w:abstractNumId w:val="3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drawingGridHorizontalSpacing w:val="187"/>
  <w:drawingGridVerticalSpacing w:val="187"/>
  <w:doNotUseMarginsForDrawingGridOrigin/>
  <w:drawingGridVerticalOrigin w:val="1985"/>
  <w:doNotShadeFormData/>
  <w:noPunctuationKerning/>
  <w:characterSpacingControl w:val="doNotCompress"/>
  <w:hdrShapeDefaults>
    <o:shapedefaults v:ext="edit" spidmax="92161"/>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21"/>
    <w:rsid w:val="00000BB8"/>
    <w:rsid w:val="0000129E"/>
    <w:rsid w:val="0000184C"/>
    <w:rsid w:val="00002686"/>
    <w:rsid w:val="00002DFC"/>
    <w:rsid w:val="0000607E"/>
    <w:rsid w:val="00010E2E"/>
    <w:rsid w:val="00011076"/>
    <w:rsid w:val="0001117D"/>
    <w:rsid w:val="00011928"/>
    <w:rsid w:val="0001203F"/>
    <w:rsid w:val="0001279B"/>
    <w:rsid w:val="00013613"/>
    <w:rsid w:val="00013789"/>
    <w:rsid w:val="000231BF"/>
    <w:rsid w:val="00024AB8"/>
    <w:rsid w:val="00025AC8"/>
    <w:rsid w:val="000263C1"/>
    <w:rsid w:val="00033EA4"/>
    <w:rsid w:val="00035B0F"/>
    <w:rsid w:val="00036D65"/>
    <w:rsid w:val="000374CF"/>
    <w:rsid w:val="00037563"/>
    <w:rsid w:val="00040F09"/>
    <w:rsid w:val="000417BD"/>
    <w:rsid w:val="00043787"/>
    <w:rsid w:val="00043D58"/>
    <w:rsid w:val="00044CA3"/>
    <w:rsid w:val="0004649F"/>
    <w:rsid w:val="00046F88"/>
    <w:rsid w:val="00051491"/>
    <w:rsid w:val="0005429D"/>
    <w:rsid w:val="000552BC"/>
    <w:rsid w:val="00056AAC"/>
    <w:rsid w:val="000570E2"/>
    <w:rsid w:val="0006075F"/>
    <w:rsid w:val="00060984"/>
    <w:rsid w:val="000610FE"/>
    <w:rsid w:val="00064496"/>
    <w:rsid w:val="0006589D"/>
    <w:rsid w:val="00066A65"/>
    <w:rsid w:val="00072440"/>
    <w:rsid w:val="0007283C"/>
    <w:rsid w:val="000731CD"/>
    <w:rsid w:val="00073412"/>
    <w:rsid w:val="00073EFD"/>
    <w:rsid w:val="00074417"/>
    <w:rsid w:val="00075879"/>
    <w:rsid w:val="000776C7"/>
    <w:rsid w:val="00082F93"/>
    <w:rsid w:val="000832C4"/>
    <w:rsid w:val="000850B9"/>
    <w:rsid w:val="00086921"/>
    <w:rsid w:val="000873D9"/>
    <w:rsid w:val="00087BA4"/>
    <w:rsid w:val="00092A39"/>
    <w:rsid w:val="00092B58"/>
    <w:rsid w:val="0009322F"/>
    <w:rsid w:val="000941CA"/>
    <w:rsid w:val="0009648A"/>
    <w:rsid w:val="000A03CF"/>
    <w:rsid w:val="000A1CC8"/>
    <w:rsid w:val="000A65A9"/>
    <w:rsid w:val="000A7584"/>
    <w:rsid w:val="000B039C"/>
    <w:rsid w:val="000B7866"/>
    <w:rsid w:val="000B79B3"/>
    <w:rsid w:val="000C0976"/>
    <w:rsid w:val="000C2198"/>
    <w:rsid w:val="000C3793"/>
    <w:rsid w:val="000C4837"/>
    <w:rsid w:val="000C70FC"/>
    <w:rsid w:val="000D01CF"/>
    <w:rsid w:val="000D12D8"/>
    <w:rsid w:val="000D20BC"/>
    <w:rsid w:val="000D2293"/>
    <w:rsid w:val="000D3EB9"/>
    <w:rsid w:val="000D3FD4"/>
    <w:rsid w:val="000E1675"/>
    <w:rsid w:val="000E2699"/>
    <w:rsid w:val="000E686B"/>
    <w:rsid w:val="000F6D22"/>
    <w:rsid w:val="000F73EE"/>
    <w:rsid w:val="00100267"/>
    <w:rsid w:val="00100366"/>
    <w:rsid w:val="0010111B"/>
    <w:rsid w:val="00101993"/>
    <w:rsid w:val="00110D48"/>
    <w:rsid w:val="00112B78"/>
    <w:rsid w:val="00113B6C"/>
    <w:rsid w:val="001148B6"/>
    <w:rsid w:val="001176DD"/>
    <w:rsid w:val="001177C3"/>
    <w:rsid w:val="00120517"/>
    <w:rsid w:val="00120FC1"/>
    <w:rsid w:val="00121B8F"/>
    <w:rsid w:val="0012205B"/>
    <w:rsid w:val="00122681"/>
    <w:rsid w:val="00122758"/>
    <w:rsid w:val="00122E00"/>
    <w:rsid w:val="00124E41"/>
    <w:rsid w:val="00126854"/>
    <w:rsid w:val="0013040A"/>
    <w:rsid w:val="00132624"/>
    <w:rsid w:val="001363EF"/>
    <w:rsid w:val="00137EC7"/>
    <w:rsid w:val="001415FC"/>
    <w:rsid w:val="0014190E"/>
    <w:rsid w:val="00141C4B"/>
    <w:rsid w:val="0014260E"/>
    <w:rsid w:val="00144C7E"/>
    <w:rsid w:val="0014503C"/>
    <w:rsid w:val="0014576E"/>
    <w:rsid w:val="00147655"/>
    <w:rsid w:val="001509A7"/>
    <w:rsid w:val="00150D2E"/>
    <w:rsid w:val="001521D1"/>
    <w:rsid w:val="00152C5F"/>
    <w:rsid w:val="001558DF"/>
    <w:rsid w:val="001570B3"/>
    <w:rsid w:val="00161524"/>
    <w:rsid w:val="00163D86"/>
    <w:rsid w:val="001667F0"/>
    <w:rsid w:val="001672F8"/>
    <w:rsid w:val="00170BDD"/>
    <w:rsid w:val="0017144B"/>
    <w:rsid w:val="00173A56"/>
    <w:rsid w:val="001762F8"/>
    <w:rsid w:val="0017678E"/>
    <w:rsid w:val="00181051"/>
    <w:rsid w:val="0018157A"/>
    <w:rsid w:val="00182961"/>
    <w:rsid w:val="0018406B"/>
    <w:rsid w:val="001840A1"/>
    <w:rsid w:val="0018599D"/>
    <w:rsid w:val="0019143E"/>
    <w:rsid w:val="001951B6"/>
    <w:rsid w:val="00196B88"/>
    <w:rsid w:val="001A006E"/>
    <w:rsid w:val="001A093D"/>
    <w:rsid w:val="001A14BB"/>
    <w:rsid w:val="001A182F"/>
    <w:rsid w:val="001A472B"/>
    <w:rsid w:val="001A789F"/>
    <w:rsid w:val="001A7BA5"/>
    <w:rsid w:val="001B19EB"/>
    <w:rsid w:val="001B39FA"/>
    <w:rsid w:val="001B47AE"/>
    <w:rsid w:val="001B6CF0"/>
    <w:rsid w:val="001B7499"/>
    <w:rsid w:val="001C11E2"/>
    <w:rsid w:val="001D08C4"/>
    <w:rsid w:val="001D1DE0"/>
    <w:rsid w:val="001D4146"/>
    <w:rsid w:val="001E010E"/>
    <w:rsid w:val="001E2840"/>
    <w:rsid w:val="001E5113"/>
    <w:rsid w:val="001E621A"/>
    <w:rsid w:val="001E7AAE"/>
    <w:rsid w:val="001E7D6B"/>
    <w:rsid w:val="001F18E7"/>
    <w:rsid w:val="001F4FF2"/>
    <w:rsid w:val="001F5493"/>
    <w:rsid w:val="001F6508"/>
    <w:rsid w:val="002004FF"/>
    <w:rsid w:val="002005D4"/>
    <w:rsid w:val="0020202E"/>
    <w:rsid w:val="002033D0"/>
    <w:rsid w:val="00203ECC"/>
    <w:rsid w:val="0020578B"/>
    <w:rsid w:val="002104AC"/>
    <w:rsid w:val="00211339"/>
    <w:rsid w:val="00211919"/>
    <w:rsid w:val="002144F4"/>
    <w:rsid w:val="00216777"/>
    <w:rsid w:val="002168EA"/>
    <w:rsid w:val="00216AE5"/>
    <w:rsid w:val="00217515"/>
    <w:rsid w:val="00217C32"/>
    <w:rsid w:val="00223AAC"/>
    <w:rsid w:val="00223ECC"/>
    <w:rsid w:val="00223FDB"/>
    <w:rsid w:val="00225831"/>
    <w:rsid w:val="00226707"/>
    <w:rsid w:val="00237A24"/>
    <w:rsid w:val="00240B7F"/>
    <w:rsid w:val="00240BBE"/>
    <w:rsid w:val="0024148A"/>
    <w:rsid w:val="0024211A"/>
    <w:rsid w:val="00243DED"/>
    <w:rsid w:val="002446C7"/>
    <w:rsid w:val="00246F3B"/>
    <w:rsid w:val="00251DC8"/>
    <w:rsid w:val="00252655"/>
    <w:rsid w:val="00264FBD"/>
    <w:rsid w:val="0027339B"/>
    <w:rsid w:val="00273714"/>
    <w:rsid w:val="002745D8"/>
    <w:rsid w:val="00276813"/>
    <w:rsid w:val="002825B9"/>
    <w:rsid w:val="00283FB2"/>
    <w:rsid w:val="0028504D"/>
    <w:rsid w:val="00285B0A"/>
    <w:rsid w:val="00286C2B"/>
    <w:rsid w:val="0028737A"/>
    <w:rsid w:val="00287E32"/>
    <w:rsid w:val="0029186D"/>
    <w:rsid w:val="00291BE9"/>
    <w:rsid w:val="00292215"/>
    <w:rsid w:val="0029282B"/>
    <w:rsid w:val="00294652"/>
    <w:rsid w:val="00295791"/>
    <w:rsid w:val="00296087"/>
    <w:rsid w:val="00296507"/>
    <w:rsid w:val="00296E69"/>
    <w:rsid w:val="00296EB8"/>
    <w:rsid w:val="00297C82"/>
    <w:rsid w:val="002A014C"/>
    <w:rsid w:val="002A3A59"/>
    <w:rsid w:val="002B2AD5"/>
    <w:rsid w:val="002B2E60"/>
    <w:rsid w:val="002B3F75"/>
    <w:rsid w:val="002B5993"/>
    <w:rsid w:val="002C0599"/>
    <w:rsid w:val="002C05B2"/>
    <w:rsid w:val="002C091E"/>
    <w:rsid w:val="002C0FF5"/>
    <w:rsid w:val="002C1A26"/>
    <w:rsid w:val="002C1E7D"/>
    <w:rsid w:val="002C4E02"/>
    <w:rsid w:val="002C5004"/>
    <w:rsid w:val="002C5CA5"/>
    <w:rsid w:val="002C5E99"/>
    <w:rsid w:val="002C5F86"/>
    <w:rsid w:val="002C63C2"/>
    <w:rsid w:val="002D07F9"/>
    <w:rsid w:val="002D3562"/>
    <w:rsid w:val="002D7CD6"/>
    <w:rsid w:val="002F0E94"/>
    <w:rsid w:val="002F3E6B"/>
    <w:rsid w:val="002F5028"/>
    <w:rsid w:val="002F7129"/>
    <w:rsid w:val="002F7577"/>
    <w:rsid w:val="00301B37"/>
    <w:rsid w:val="00306E73"/>
    <w:rsid w:val="0030791F"/>
    <w:rsid w:val="00310154"/>
    <w:rsid w:val="003127C3"/>
    <w:rsid w:val="0031569F"/>
    <w:rsid w:val="00315807"/>
    <w:rsid w:val="00322EA8"/>
    <w:rsid w:val="00326A8E"/>
    <w:rsid w:val="00326CDF"/>
    <w:rsid w:val="00330F2B"/>
    <w:rsid w:val="003312C3"/>
    <w:rsid w:val="0033265B"/>
    <w:rsid w:val="00335661"/>
    <w:rsid w:val="0034086A"/>
    <w:rsid w:val="00342072"/>
    <w:rsid w:val="00345729"/>
    <w:rsid w:val="00345E7B"/>
    <w:rsid w:val="00346C5A"/>
    <w:rsid w:val="00351441"/>
    <w:rsid w:val="00351F58"/>
    <w:rsid w:val="0035230B"/>
    <w:rsid w:val="00352445"/>
    <w:rsid w:val="003536C2"/>
    <w:rsid w:val="00356531"/>
    <w:rsid w:val="00356801"/>
    <w:rsid w:val="00361735"/>
    <w:rsid w:val="00361A89"/>
    <w:rsid w:val="00370845"/>
    <w:rsid w:val="0037702A"/>
    <w:rsid w:val="00377333"/>
    <w:rsid w:val="003773C3"/>
    <w:rsid w:val="003776D9"/>
    <w:rsid w:val="00382DF3"/>
    <w:rsid w:val="00392249"/>
    <w:rsid w:val="00392317"/>
    <w:rsid w:val="00395733"/>
    <w:rsid w:val="0039576B"/>
    <w:rsid w:val="00395A8B"/>
    <w:rsid w:val="003A0AA9"/>
    <w:rsid w:val="003A126F"/>
    <w:rsid w:val="003A154A"/>
    <w:rsid w:val="003A27E6"/>
    <w:rsid w:val="003B0795"/>
    <w:rsid w:val="003B19B2"/>
    <w:rsid w:val="003B4E81"/>
    <w:rsid w:val="003B5D0E"/>
    <w:rsid w:val="003C03D0"/>
    <w:rsid w:val="003C4881"/>
    <w:rsid w:val="003C49A3"/>
    <w:rsid w:val="003C4FC8"/>
    <w:rsid w:val="003C5763"/>
    <w:rsid w:val="003C7368"/>
    <w:rsid w:val="003C79A2"/>
    <w:rsid w:val="003D006B"/>
    <w:rsid w:val="003D1364"/>
    <w:rsid w:val="003D4621"/>
    <w:rsid w:val="003D5F43"/>
    <w:rsid w:val="003D6247"/>
    <w:rsid w:val="003D6C3E"/>
    <w:rsid w:val="003D7D63"/>
    <w:rsid w:val="003D7FF5"/>
    <w:rsid w:val="003E012E"/>
    <w:rsid w:val="003E2C15"/>
    <w:rsid w:val="003E44F3"/>
    <w:rsid w:val="003E4C54"/>
    <w:rsid w:val="003E60CB"/>
    <w:rsid w:val="003E7B19"/>
    <w:rsid w:val="003F17F4"/>
    <w:rsid w:val="003F2314"/>
    <w:rsid w:val="003F62E1"/>
    <w:rsid w:val="003F7415"/>
    <w:rsid w:val="003F782F"/>
    <w:rsid w:val="00401FD8"/>
    <w:rsid w:val="00404A37"/>
    <w:rsid w:val="00404C18"/>
    <w:rsid w:val="00404FFB"/>
    <w:rsid w:val="004053C2"/>
    <w:rsid w:val="004074CE"/>
    <w:rsid w:val="00411F53"/>
    <w:rsid w:val="00412F21"/>
    <w:rsid w:val="00416BD4"/>
    <w:rsid w:val="004215E9"/>
    <w:rsid w:val="004216F9"/>
    <w:rsid w:val="004219A3"/>
    <w:rsid w:val="0042550E"/>
    <w:rsid w:val="00425922"/>
    <w:rsid w:val="00427003"/>
    <w:rsid w:val="004310E6"/>
    <w:rsid w:val="0043512A"/>
    <w:rsid w:val="00437C64"/>
    <w:rsid w:val="00442192"/>
    <w:rsid w:val="00443068"/>
    <w:rsid w:val="00444EB5"/>
    <w:rsid w:val="00447AC0"/>
    <w:rsid w:val="0045054D"/>
    <w:rsid w:val="00450E20"/>
    <w:rsid w:val="004529FF"/>
    <w:rsid w:val="00452E33"/>
    <w:rsid w:val="00454EDF"/>
    <w:rsid w:val="00455B2A"/>
    <w:rsid w:val="00457866"/>
    <w:rsid w:val="00457EF9"/>
    <w:rsid w:val="004601EB"/>
    <w:rsid w:val="00460FBC"/>
    <w:rsid w:val="00462A5D"/>
    <w:rsid w:val="00466866"/>
    <w:rsid w:val="00470132"/>
    <w:rsid w:val="004727FA"/>
    <w:rsid w:val="0047364D"/>
    <w:rsid w:val="00475127"/>
    <w:rsid w:val="0048029F"/>
    <w:rsid w:val="004809A0"/>
    <w:rsid w:val="00486448"/>
    <w:rsid w:val="00491D41"/>
    <w:rsid w:val="00492AA4"/>
    <w:rsid w:val="004A1330"/>
    <w:rsid w:val="004A26E4"/>
    <w:rsid w:val="004A2A9F"/>
    <w:rsid w:val="004A34C2"/>
    <w:rsid w:val="004A465B"/>
    <w:rsid w:val="004A5404"/>
    <w:rsid w:val="004A665C"/>
    <w:rsid w:val="004A74BF"/>
    <w:rsid w:val="004B2E98"/>
    <w:rsid w:val="004B2F8B"/>
    <w:rsid w:val="004B623C"/>
    <w:rsid w:val="004C132B"/>
    <w:rsid w:val="004C5470"/>
    <w:rsid w:val="004C6724"/>
    <w:rsid w:val="004C693B"/>
    <w:rsid w:val="004C79E4"/>
    <w:rsid w:val="004D119C"/>
    <w:rsid w:val="004D2DCF"/>
    <w:rsid w:val="004D364E"/>
    <w:rsid w:val="004D3CCB"/>
    <w:rsid w:val="004D3F1A"/>
    <w:rsid w:val="004D6543"/>
    <w:rsid w:val="004D75FD"/>
    <w:rsid w:val="004E56A5"/>
    <w:rsid w:val="004E5A19"/>
    <w:rsid w:val="004E62E3"/>
    <w:rsid w:val="004E6B29"/>
    <w:rsid w:val="004F15DA"/>
    <w:rsid w:val="004F55AB"/>
    <w:rsid w:val="004F6F46"/>
    <w:rsid w:val="00501CA1"/>
    <w:rsid w:val="005027D4"/>
    <w:rsid w:val="0050665E"/>
    <w:rsid w:val="00506E23"/>
    <w:rsid w:val="00513139"/>
    <w:rsid w:val="005143F2"/>
    <w:rsid w:val="00515681"/>
    <w:rsid w:val="00521E61"/>
    <w:rsid w:val="005222FC"/>
    <w:rsid w:val="00522E81"/>
    <w:rsid w:val="00524E45"/>
    <w:rsid w:val="00525537"/>
    <w:rsid w:val="00527EEF"/>
    <w:rsid w:val="00527F9C"/>
    <w:rsid w:val="00533EAA"/>
    <w:rsid w:val="00533ECA"/>
    <w:rsid w:val="00534265"/>
    <w:rsid w:val="005357F2"/>
    <w:rsid w:val="00536C69"/>
    <w:rsid w:val="00536F51"/>
    <w:rsid w:val="00541676"/>
    <w:rsid w:val="00541E17"/>
    <w:rsid w:val="005435DC"/>
    <w:rsid w:val="005443A8"/>
    <w:rsid w:val="00545633"/>
    <w:rsid w:val="00545FE2"/>
    <w:rsid w:val="00550AF1"/>
    <w:rsid w:val="00551A9A"/>
    <w:rsid w:val="00552628"/>
    <w:rsid w:val="00553A7B"/>
    <w:rsid w:val="005540D9"/>
    <w:rsid w:val="00554938"/>
    <w:rsid w:val="005555C0"/>
    <w:rsid w:val="005607E1"/>
    <w:rsid w:val="00561057"/>
    <w:rsid w:val="005613D0"/>
    <w:rsid w:val="00561CC3"/>
    <w:rsid w:val="00562223"/>
    <w:rsid w:val="00562A72"/>
    <w:rsid w:val="00562D8A"/>
    <w:rsid w:val="005642D7"/>
    <w:rsid w:val="00566616"/>
    <w:rsid w:val="00566C1C"/>
    <w:rsid w:val="00566CEF"/>
    <w:rsid w:val="00567341"/>
    <w:rsid w:val="0057040F"/>
    <w:rsid w:val="00571F92"/>
    <w:rsid w:val="005733F6"/>
    <w:rsid w:val="005748E1"/>
    <w:rsid w:val="00575313"/>
    <w:rsid w:val="005754B9"/>
    <w:rsid w:val="005757C1"/>
    <w:rsid w:val="005804D7"/>
    <w:rsid w:val="00581B00"/>
    <w:rsid w:val="00582DF4"/>
    <w:rsid w:val="00586599"/>
    <w:rsid w:val="00586BC4"/>
    <w:rsid w:val="00590546"/>
    <w:rsid w:val="00591F91"/>
    <w:rsid w:val="00592B33"/>
    <w:rsid w:val="00592D18"/>
    <w:rsid w:val="00594D28"/>
    <w:rsid w:val="00595E00"/>
    <w:rsid w:val="0059692E"/>
    <w:rsid w:val="005A02EE"/>
    <w:rsid w:val="005A078F"/>
    <w:rsid w:val="005A0C86"/>
    <w:rsid w:val="005A19A7"/>
    <w:rsid w:val="005A2999"/>
    <w:rsid w:val="005A2CA7"/>
    <w:rsid w:val="005A56DC"/>
    <w:rsid w:val="005A5B60"/>
    <w:rsid w:val="005B1E1C"/>
    <w:rsid w:val="005B470E"/>
    <w:rsid w:val="005C0140"/>
    <w:rsid w:val="005C0969"/>
    <w:rsid w:val="005C0DA7"/>
    <w:rsid w:val="005C134C"/>
    <w:rsid w:val="005C184F"/>
    <w:rsid w:val="005C305A"/>
    <w:rsid w:val="005C3EB6"/>
    <w:rsid w:val="005D0554"/>
    <w:rsid w:val="005D25CC"/>
    <w:rsid w:val="005D37C4"/>
    <w:rsid w:val="005D39D6"/>
    <w:rsid w:val="005D4709"/>
    <w:rsid w:val="005D4D3C"/>
    <w:rsid w:val="005D6043"/>
    <w:rsid w:val="005D7FB5"/>
    <w:rsid w:val="005E156F"/>
    <w:rsid w:val="005E21AB"/>
    <w:rsid w:val="005E2F45"/>
    <w:rsid w:val="005E639A"/>
    <w:rsid w:val="005F0C4D"/>
    <w:rsid w:val="005F1CBF"/>
    <w:rsid w:val="005F1F7D"/>
    <w:rsid w:val="005F2DF0"/>
    <w:rsid w:val="005F42D8"/>
    <w:rsid w:val="00601CEA"/>
    <w:rsid w:val="00602FCF"/>
    <w:rsid w:val="006033F6"/>
    <w:rsid w:val="00603DFF"/>
    <w:rsid w:val="00605EF0"/>
    <w:rsid w:val="006079AE"/>
    <w:rsid w:val="00607B6F"/>
    <w:rsid w:val="006102F0"/>
    <w:rsid w:val="00610C64"/>
    <w:rsid w:val="00611389"/>
    <w:rsid w:val="00615A02"/>
    <w:rsid w:val="00615AF0"/>
    <w:rsid w:val="006230D3"/>
    <w:rsid w:val="00623A30"/>
    <w:rsid w:val="006248B3"/>
    <w:rsid w:val="00626185"/>
    <w:rsid w:val="00626642"/>
    <w:rsid w:val="00626B4C"/>
    <w:rsid w:val="00630A7A"/>
    <w:rsid w:val="00630A9D"/>
    <w:rsid w:val="00630DBC"/>
    <w:rsid w:val="00634B97"/>
    <w:rsid w:val="00637E98"/>
    <w:rsid w:val="00641DED"/>
    <w:rsid w:val="00644639"/>
    <w:rsid w:val="0065003C"/>
    <w:rsid w:val="00650553"/>
    <w:rsid w:val="0065341F"/>
    <w:rsid w:val="00654517"/>
    <w:rsid w:val="00656706"/>
    <w:rsid w:val="00661B87"/>
    <w:rsid w:val="00662B9D"/>
    <w:rsid w:val="00662D5F"/>
    <w:rsid w:val="00663917"/>
    <w:rsid w:val="00666237"/>
    <w:rsid w:val="00672D6D"/>
    <w:rsid w:val="00672DDB"/>
    <w:rsid w:val="00673C13"/>
    <w:rsid w:val="00680CFD"/>
    <w:rsid w:val="00683C10"/>
    <w:rsid w:val="0068470C"/>
    <w:rsid w:val="006855A5"/>
    <w:rsid w:val="0069115E"/>
    <w:rsid w:val="00691754"/>
    <w:rsid w:val="0069201E"/>
    <w:rsid w:val="00693334"/>
    <w:rsid w:val="00693E18"/>
    <w:rsid w:val="00697D37"/>
    <w:rsid w:val="006A2B13"/>
    <w:rsid w:val="006A3EB5"/>
    <w:rsid w:val="006B1915"/>
    <w:rsid w:val="006B1EF1"/>
    <w:rsid w:val="006B47B0"/>
    <w:rsid w:val="006B5176"/>
    <w:rsid w:val="006B557F"/>
    <w:rsid w:val="006B59E4"/>
    <w:rsid w:val="006B6B4C"/>
    <w:rsid w:val="006B7725"/>
    <w:rsid w:val="006C143D"/>
    <w:rsid w:val="006C2012"/>
    <w:rsid w:val="006C51E0"/>
    <w:rsid w:val="006C707B"/>
    <w:rsid w:val="006C762A"/>
    <w:rsid w:val="006D1718"/>
    <w:rsid w:val="006D41F3"/>
    <w:rsid w:val="006D4407"/>
    <w:rsid w:val="006D503C"/>
    <w:rsid w:val="006D5391"/>
    <w:rsid w:val="006D5F30"/>
    <w:rsid w:val="006D76B4"/>
    <w:rsid w:val="006E1AD9"/>
    <w:rsid w:val="006E312B"/>
    <w:rsid w:val="006F29B9"/>
    <w:rsid w:val="006F2A71"/>
    <w:rsid w:val="006F6784"/>
    <w:rsid w:val="006F7A0D"/>
    <w:rsid w:val="007011CE"/>
    <w:rsid w:val="00701A9B"/>
    <w:rsid w:val="0070460F"/>
    <w:rsid w:val="00710BAA"/>
    <w:rsid w:val="00710E95"/>
    <w:rsid w:val="007127DF"/>
    <w:rsid w:val="0071344F"/>
    <w:rsid w:val="00714134"/>
    <w:rsid w:val="0071443E"/>
    <w:rsid w:val="00714AB5"/>
    <w:rsid w:val="00715517"/>
    <w:rsid w:val="00715F21"/>
    <w:rsid w:val="00716520"/>
    <w:rsid w:val="0072167A"/>
    <w:rsid w:val="00727FCB"/>
    <w:rsid w:val="00733282"/>
    <w:rsid w:val="00734246"/>
    <w:rsid w:val="00734AF8"/>
    <w:rsid w:val="00734C12"/>
    <w:rsid w:val="00737712"/>
    <w:rsid w:val="0074004C"/>
    <w:rsid w:val="0074130A"/>
    <w:rsid w:val="00745995"/>
    <w:rsid w:val="00745B8D"/>
    <w:rsid w:val="00746E9F"/>
    <w:rsid w:val="007551CB"/>
    <w:rsid w:val="007561D4"/>
    <w:rsid w:val="00756816"/>
    <w:rsid w:val="00756C4D"/>
    <w:rsid w:val="0075709E"/>
    <w:rsid w:val="00763C38"/>
    <w:rsid w:val="007671EB"/>
    <w:rsid w:val="007708DA"/>
    <w:rsid w:val="0077201E"/>
    <w:rsid w:val="00772A1A"/>
    <w:rsid w:val="00772D8D"/>
    <w:rsid w:val="007804B3"/>
    <w:rsid w:val="007844CD"/>
    <w:rsid w:val="00785000"/>
    <w:rsid w:val="007853D8"/>
    <w:rsid w:val="00786715"/>
    <w:rsid w:val="00790130"/>
    <w:rsid w:val="0079280B"/>
    <w:rsid w:val="00793CBD"/>
    <w:rsid w:val="00794714"/>
    <w:rsid w:val="007A1ACE"/>
    <w:rsid w:val="007A1FC4"/>
    <w:rsid w:val="007A2BEC"/>
    <w:rsid w:val="007A3264"/>
    <w:rsid w:val="007A560E"/>
    <w:rsid w:val="007A7940"/>
    <w:rsid w:val="007A7DE9"/>
    <w:rsid w:val="007B1133"/>
    <w:rsid w:val="007B3371"/>
    <w:rsid w:val="007B4F03"/>
    <w:rsid w:val="007B5A2F"/>
    <w:rsid w:val="007C0D02"/>
    <w:rsid w:val="007C0F8F"/>
    <w:rsid w:val="007C16B0"/>
    <w:rsid w:val="007C1E02"/>
    <w:rsid w:val="007C31A7"/>
    <w:rsid w:val="007C3D72"/>
    <w:rsid w:val="007C40D2"/>
    <w:rsid w:val="007C5A97"/>
    <w:rsid w:val="007C6CCF"/>
    <w:rsid w:val="007C7BD7"/>
    <w:rsid w:val="007D0282"/>
    <w:rsid w:val="007D2EBB"/>
    <w:rsid w:val="007D4239"/>
    <w:rsid w:val="007D628E"/>
    <w:rsid w:val="007E139F"/>
    <w:rsid w:val="007E1B0C"/>
    <w:rsid w:val="007E29EE"/>
    <w:rsid w:val="007F14C9"/>
    <w:rsid w:val="007F3FDE"/>
    <w:rsid w:val="007F5097"/>
    <w:rsid w:val="007F59B3"/>
    <w:rsid w:val="007F78E8"/>
    <w:rsid w:val="007F7C64"/>
    <w:rsid w:val="00800BF8"/>
    <w:rsid w:val="00802D8D"/>
    <w:rsid w:val="00804B3F"/>
    <w:rsid w:val="00806CDF"/>
    <w:rsid w:val="00810F4F"/>
    <w:rsid w:val="008134B7"/>
    <w:rsid w:val="008149AB"/>
    <w:rsid w:val="00814B43"/>
    <w:rsid w:val="00815248"/>
    <w:rsid w:val="0081582C"/>
    <w:rsid w:val="00816AC6"/>
    <w:rsid w:val="008171A0"/>
    <w:rsid w:val="008177B7"/>
    <w:rsid w:val="00823125"/>
    <w:rsid w:val="008231BE"/>
    <w:rsid w:val="00823937"/>
    <w:rsid w:val="0082414B"/>
    <w:rsid w:val="008269C8"/>
    <w:rsid w:val="00826EED"/>
    <w:rsid w:val="0082790E"/>
    <w:rsid w:val="00831660"/>
    <w:rsid w:val="00832BD3"/>
    <w:rsid w:val="00833813"/>
    <w:rsid w:val="00835C85"/>
    <w:rsid w:val="0083697D"/>
    <w:rsid w:val="0083748E"/>
    <w:rsid w:val="00837E9C"/>
    <w:rsid w:val="00843EF8"/>
    <w:rsid w:val="0084417F"/>
    <w:rsid w:val="00844289"/>
    <w:rsid w:val="00845A49"/>
    <w:rsid w:val="00846FF2"/>
    <w:rsid w:val="00850DA5"/>
    <w:rsid w:val="00852EE0"/>
    <w:rsid w:val="008572C0"/>
    <w:rsid w:val="008575B9"/>
    <w:rsid w:val="00862696"/>
    <w:rsid w:val="0086296A"/>
    <w:rsid w:val="00865A92"/>
    <w:rsid w:val="008667EF"/>
    <w:rsid w:val="00866FDA"/>
    <w:rsid w:val="00870432"/>
    <w:rsid w:val="00870C44"/>
    <w:rsid w:val="0087301D"/>
    <w:rsid w:val="00874406"/>
    <w:rsid w:val="00875866"/>
    <w:rsid w:val="0087709F"/>
    <w:rsid w:val="008778FD"/>
    <w:rsid w:val="00881C8D"/>
    <w:rsid w:val="00882F07"/>
    <w:rsid w:val="00883265"/>
    <w:rsid w:val="00884C5E"/>
    <w:rsid w:val="0088544B"/>
    <w:rsid w:val="008870C0"/>
    <w:rsid w:val="00891434"/>
    <w:rsid w:val="00891752"/>
    <w:rsid w:val="00893835"/>
    <w:rsid w:val="008940EC"/>
    <w:rsid w:val="008942FB"/>
    <w:rsid w:val="00894EE9"/>
    <w:rsid w:val="00895257"/>
    <w:rsid w:val="00896254"/>
    <w:rsid w:val="00896754"/>
    <w:rsid w:val="00896932"/>
    <w:rsid w:val="008977EF"/>
    <w:rsid w:val="008A2248"/>
    <w:rsid w:val="008A33EA"/>
    <w:rsid w:val="008A42D2"/>
    <w:rsid w:val="008A5CBE"/>
    <w:rsid w:val="008A66CD"/>
    <w:rsid w:val="008A7445"/>
    <w:rsid w:val="008B2306"/>
    <w:rsid w:val="008B2A81"/>
    <w:rsid w:val="008B4F95"/>
    <w:rsid w:val="008B50A0"/>
    <w:rsid w:val="008B63D8"/>
    <w:rsid w:val="008B6F3C"/>
    <w:rsid w:val="008B70A3"/>
    <w:rsid w:val="008B7F00"/>
    <w:rsid w:val="008C17E0"/>
    <w:rsid w:val="008C2594"/>
    <w:rsid w:val="008C3863"/>
    <w:rsid w:val="008C5816"/>
    <w:rsid w:val="008C75C3"/>
    <w:rsid w:val="008C7E31"/>
    <w:rsid w:val="008D1473"/>
    <w:rsid w:val="008D5C1C"/>
    <w:rsid w:val="008E0A1E"/>
    <w:rsid w:val="008E4ECD"/>
    <w:rsid w:val="008E625F"/>
    <w:rsid w:val="008E684C"/>
    <w:rsid w:val="008E6A7D"/>
    <w:rsid w:val="008E70EB"/>
    <w:rsid w:val="008E7521"/>
    <w:rsid w:val="008F10B4"/>
    <w:rsid w:val="008F1826"/>
    <w:rsid w:val="008F1A9D"/>
    <w:rsid w:val="008F21FF"/>
    <w:rsid w:val="008F28C2"/>
    <w:rsid w:val="008F47C5"/>
    <w:rsid w:val="008F4B89"/>
    <w:rsid w:val="008F513C"/>
    <w:rsid w:val="008F6129"/>
    <w:rsid w:val="008F6370"/>
    <w:rsid w:val="008F7DA8"/>
    <w:rsid w:val="0090010D"/>
    <w:rsid w:val="00903A5B"/>
    <w:rsid w:val="00903C27"/>
    <w:rsid w:val="00903F59"/>
    <w:rsid w:val="009048FD"/>
    <w:rsid w:val="00907347"/>
    <w:rsid w:val="00911633"/>
    <w:rsid w:val="00913F90"/>
    <w:rsid w:val="00914552"/>
    <w:rsid w:val="009167C9"/>
    <w:rsid w:val="00916CB8"/>
    <w:rsid w:val="009171C8"/>
    <w:rsid w:val="009209C4"/>
    <w:rsid w:val="00920EF7"/>
    <w:rsid w:val="0092314F"/>
    <w:rsid w:val="0092558F"/>
    <w:rsid w:val="00925B73"/>
    <w:rsid w:val="009312EA"/>
    <w:rsid w:val="009315D5"/>
    <w:rsid w:val="00932C82"/>
    <w:rsid w:val="00934F05"/>
    <w:rsid w:val="0093697A"/>
    <w:rsid w:val="00936AFE"/>
    <w:rsid w:val="009376E7"/>
    <w:rsid w:val="0094356E"/>
    <w:rsid w:val="00943682"/>
    <w:rsid w:val="009451DC"/>
    <w:rsid w:val="00947382"/>
    <w:rsid w:val="00953D6B"/>
    <w:rsid w:val="00955CD2"/>
    <w:rsid w:val="00962F82"/>
    <w:rsid w:val="009636EC"/>
    <w:rsid w:val="00966111"/>
    <w:rsid w:val="00967EAF"/>
    <w:rsid w:val="00970B60"/>
    <w:rsid w:val="00970F0E"/>
    <w:rsid w:val="00972DA2"/>
    <w:rsid w:val="009773A2"/>
    <w:rsid w:val="00980B84"/>
    <w:rsid w:val="00980D7F"/>
    <w:rsid w:val="00981589"/>
    <w:rsid w:val="00982260"/>
    <w:rsid w:val="0098417D"/>
    <w:rsid w:val="009843AA"/>
    <w:rsid w:val="00985EA0"/>
    <w:rsid w:val="00986050"/>
    <w:rsid w:val="00987329"/>
    <w:rsid w:val="00990E77"/>
    <w:rsid w:val="00992F70"/>
    <w:rsid w:val="00995148"/>
    <w:rsid w:val="00995A5C"/>
    <w:rsid w:val="00996BD5"/>
    <w:rsid w:val="0099789B"/>
    <w:rsid w:val="009A53F8"/>
    <w:rsid w:val="009A695F"/>
    <w:rsid w:val="009A76F0"/>
    <w:rsid w:val="009B71CB"/>
    <w:rsid w:val="009C308B"/>
    <w:rsid w:val="009C31A9"/>
    <w:rsid w:val="009C5DF3"/>
    <w:rsid w:val="009D0B79"/>
    <w:rsid w:val="009D0E14"/>
    <w:rsid w:val="009D3A44"/>
    <w:rsid w:val="009D40AB"/>
    <w:rsid w:val="009D4617"/>
    <w:rsid w:val="009D7C89"/>
    <w:rsid w:val="009E028B"/>
    <w:rsid w:val="009E3B0A"/>
    <w:rsid w:val="009E53D2"/>
    <w:rsid w:val="009E6388"/>
    <w:rsid w:val="009E6D1C"/>
    <w:rsid w:val="009F05FD"/>
    <w:rsid w:val="009F0608"/>
    <w:rsid w:val="009F0EF9"/>
    <w:rsid w:val="009F1550"/>
    <w:rsid w:val="009F178B"/>
    <w:rsid w:val="009F3B6E"/>
    <w:rsid w:val="009F45B9"/>
    <w:rsid w:val="009F4932"/>
    <w:rsid w:val="009F7B0E"/>
    <w:rsid w:val="00A0253A"/>
    <w:rsid w:val="00A03817"/>
    <w:rsid w:val="00A042BF"/>
    <w:rsid w:val="00A04811"/>
    <w:rsid w:val="00A05DBE"/>
    <w:rsid w:val="00A06C51"/>
    <w:rsid w:val="00A077C6"/>
    <w:rsid w:val="00A113AB"/>
    <w:rsid w:val="00A115F3"/>
    <w:rsid w:val="00A11CB4"/>
    <w:rsid w:val="00A138F6"/>
    <w:rsid w:val="00A13DC8"/>
    <w:rsid w:val="00A159A8"/>
    <w:rsid w:val="00A163F2"/>
    <w:rsid w:val="00A20A5A"/>
    <w:rsid w:val="00A22BF6"/>
    <w:rsid w:val="00A23327"/>
    <w:rsid w:val="00A237AD"/>
    <w:rsid w:val="00A2573C"/>
    <w:rsid w:val="00A275B5"/>
    <w:rsid w:val="00A30D62"/>
    <w:rsid w:val="00A31A1D"/>
    <w:rsid w:val="00A367C9"/>
    <w:rsid w:val="00A36B40"/>
    <w:rsid w:val="00A410B7"/>
    <w:rsid w:val="00A47D2F"/>
    <w:rsid w:val="00A47D45"/>
    <w:rsid w:val="00A53A26"/>
    <w:rsid w:val="00A56133"/>
    <w:rsid w:val="00A56622"/>
    <w:rsid w:val="00A570A7"/>
    <w:rsid w:val="00A570A9"/>
    <w:rsid w:val="00A60838"/>
    <w:rsid w:val="00A6254A"/>
    <w:rsid w:val="00A626A5"/>
    <w:rsid w:val="00A62720"/>
    <w:rsid w:val="00A671A8"/>
    <w:rsid w:val="00A70545"/>
    <w:rsid w:val="00A72D84"/>
    <w:rsid w:val="00A76956"/>
    <w:rsid w:val="00A7728B"/>
    <w:rsid w:val="00A7737B"/>
    <w:rsid w:val="00A77ADC"/>
    <w:rsid w:val="00A81193"/>
    <w:rsid w:val="00A82F57"/>
    <w:rsid w:val="00A831A0"/>
    <w:rsid w:val="00A84808"/>
    <w:rsid w:val="00A85595"/>
    <w:rsid w:val="00A855E9"/>
    <w:rsid w:val="00A91A4C"/>
    <w:rsid w:val="00A93D2E"/>
    <w:rsid w:val="00A94897"/>
    <w:rsid w:val="00A96C18"/>
    <w:rsid w:val="00AA33D1"/>
    <w:rsid w:val="00AA65EE"/>
    <w:rsid w:val="00AA792D"/>
    <w:rsid w:val="00AA7B42"/>
    <w:rsid w:val="00AB044B"/>
    <w:rsid w:val="00AB1C42"/>
    <w:rsid w:val="00AB1F26"/>
    <w:rsid w:val="00AB2993"/>
    <w:rsid w:val="00AB30D9"/>
    <w:rsid w:val="00AB4829"/>
    <w:rsid w:val="00AB5E3B"/>
    <w:rsid w:val="00AB633F"/>
    <w:rsid w:val="00AC0857"/>
    <w:rsid w:val="00AC18DC"/>
    <w:rsid w:val="00AC2C3A"/>
    <w:rsid w:val="00AC605E"/>
    <w:rsid w:val="00AC7BB1"/>
    <w:rsid w:val="00AC7FBD"/>
    <w:rsid w:val="00AD37B4"/>
    <w:rsid w:val="00AD48D1"/>
    <w:rsid w:val="00AD4C9E"/>
    <w:rsid w:val="00AD5E88"/>
    <w:rsid w:val="00AD7412"/>
    <w:rsid w:val="00AD74DD"/>
    <w:rsid w:val="00AE0309"/>
    <w:rsid w:val="00AE0D67"/>
    <w:rsid w:val="00AE19F6"/>
    <w:rsid w:val="00AE454C"/>
    <w:rsid w:val="00AE58D1"/>
    <w:rsid w:val="00AE6541"/>
    <w:rsid w:val="00AE785A"/>
    <w:rsid w:val="00AF0D85"/>
    <w:rsid w:val="00AF4CCD"/>
    <w:rsid w:val="00AF649F"/>
    <w:rsid w:val="00AF6E30"/>
    <w:rsid w:val="00AF70F5"/>
    <w:rsid w:val="00AF7A86"/>
    <w:rsid w:val="00B019CA"/>
    <w:rsid w:val="00B02DA0"/>
    <w:rsid w:val="00B04D70"/>
    <w:rsid w:val="00B04F66"/>
    <w:rsid w:val="00B07591"/>
    <w:rsid w:val="00B14F21"/>
    <w:rsid w:val="00B15383"/>
    <w:rsid w:val="00B16029"/>
    <w:rsid w:val="00B17259"/>
    <w:rsid w:val="00B17D15"/>
    <w:rsid w:val="00B230CC"/>
    <w:rsid w:val="00B235FD"/>
    <w:rsid w:val="00B31010"/>
    <w:rsid w:val="00B32018"/>
    <w:rsid w:val="00B337BF"/>
    <w:rsid w:val="00B33AED"/>
    <w:rsid w:val="00B34AA4"/>
    <w:rsid w:val="00B36473"/>
    <w:rsid w:val="00B404C1"/>
    <w:rsid w:val="00B43BFA"/>
    <w:rsid w:val="00B4474A"/>
    <w:rsid w:val="00B450A4"/>
    <w:rsid w:val="00B46281"/>
    <w:rsid w:val="00B47FAF"/>
    <w:rsid w:val="00B52BA5"/>
    <w:rsid w:val="00B56527"/>
    <w:rsid w:val="00B578BD"/>
    <w:rsid w:val="00B6054D"/>
    <w:rsid w:val="00B628EB"/>
    <w:rsid w:val="00B62BE2"/>
    <w:rsid w:val="00B63328"/>
    <w:rsid w:val="00B63EAE"/>
    <w:rsid w:val="00B64E56"/>
    <w:rsid w:val="00B655D7"/>
    <w:rsid w:val="00B67E8E"/>
    <w:rsid w:val="00B7270B"/>
    <w:rsid w:val="00B75991"/>
    <w:rsid w:val="00B75DB2"/>
    <w:rsid w:val="00B76435"/>
    <w:rsid w:val="00B775F5"/>
    <w:rsid w:val="00B80F09"/>
    <w:rsid w:val="00B842C9"/>
    <w:rsid w:val="00B85025"/>
    <w:rsid w:val="00B90C7D"/>
    <w:rsid w:val="00B90CC0"/>
    <w:rsid w:val="00B91CE5"/>
    <w:rsid w:val="00B94645"/>
    <w:rsid w:val="00B97B3A"/>
    <w:rsid w:val="00B97BE4"/>
    <w:rsid w:val="00BA0E1D"/>
    <w:rsid w:val="00BA3000"/>
    <w:rsid w:val="00BA6A01"/>
    <w:rsid w:val="00BB0E13"/>
    <w:rsid w:val="00BB121C"/>
    <w:rsid w:val="00BB2324"/>
    <w:rsid w:val="00BB2D6C"/>
    <w:rsid w:val="00BB6CA9"/>
    <w:rsid w:val="00BB7114"/>
    <w:rsid w:val="00BB7348"/>
    <w:rsid w:val="00BC1BC2"/>
    <w:rsid w:val="00BC2414"/>
    <w:rsid w:val="00BC2AC8"/>
    <w:rsid w:val="00BC4599"/>
    <w:rsid w:val="00BC4A05"/>
    <w:rsid w:val="00BC56AA"/>
    <w:rsid w:val="00BC6842"/>
    <w:rsid w:val="00BD00AD"/>
    <w:rsid w:val="00BD02B5"/>
    <w:rsid w:val="00BD1FA9"/>
    <w:rsid w:val="00BD2A7C"/>
    <w:rsid w:val="00BD666C"/>
    <w:rsid w:val="00BD66D9"/>
    <w:rsid w:val="00BD7B05"/>
    <w:rsid w:val="00BD7C57"/>
    <w:rsid w:val="00BE061C"/>
    <w:rsid w:val="00BE0ED6"/>
    <w:rsid w:val="00BE1AF9"/>
    <w:rsid w:val="00BE2304"/>
    <w:rsid w:val="00BE3E50"/>
    <w:rsid w:val="00BE59A0"/>
    <w:rsid w:val="00BE5B97"/>
    <w:rsid w:val="00BE5F74"/>
    <w:rsid w:val="00BE6679"/>
    <w:rsid w:val="00BF15CD"/>
    <w:rsid w:val="00BF1628"/>
    <w:rsid w:val="00BF2615"/>
    <w:rsid w:val="00BF2A44"/>
    <w:rsid w:val="00BF30E2"/>
    <w:rsid w:val="00BF63C4"/>
    <w:rsid w:val="00C01050"/>
    <w:rsid w:val="00C046E3"/>
    <w:rsid w:val="00C07C3E"/>
    <w:rsid w:val="00C07CA1"/>
    <w:rsid w:val="00C16A72"/>
    <w:rsid w:val="00C22CE7"/>
    <w:rsid w:val="00C23E3B"/>
    <w:rsid w:val="00C26203"/>
    <w:rsid w:val="00C26E42"/>
    <w:rsid w:val="00C302EC"/>
    <w:rsid w:val="00C31470"/>
    <w:rsid w:val="00C321EA"/>
    <w:rsid w:val="00C325F7"/>
    <w:rsid w:val="00C32891"/>
    <w:rsid w:val="00C370C6"/>
    <w:rsid w:val="00C373BB"/>
    <w:rsid w:val="00C3781A"/>
    <w:rsid w:val="00C41C06"/>
    <w:rsid w:val="00C42A7E"/>
    <w:rsid w:val="00C42F1B"/>
    <w:rsid w:val="00C44D6A"/>
    <w:rsid w:val="00C466CC"/>
    <w:rsid w:val="00C46FD5"/>
    <w:rsid w:val="00C51EDB"/>
    <w:rsid w:val="00C53EE5"/>
    <w:rsid w:val="00C5417B"/>
    <w:rsid w:val="00C567BA"/>
    <w:rsid w:val="00C57420"/>
    <w:rsid w:val="00C5763F"/>
    <w:rsid w:val="00C61E9D"/>
    <w:rsid w:val="00C651A4"/>
    <w:rsid w:val="00C671AB"/>
    <w:rsid w:val="00C7080C"/>
    <w:rsid w:val="00C754FB"/>
    <w:rsid w:val="00C75969"/>
    <w:rsid w:val="00C8110B"/>
    <w:rsid w:val="00C8160D"/>
    <w:rsid w:val="00C83FDF"/>
    <w:rsid w:val="00C85177"/>
    <w:rsid w:val="00C86D27"/>
    <w:rsid w:val="00C919AC"/>
    <w:rsid w:val="00C91C54"/>
    <w:rsid w:val="00C91EF7"/>
    <w:rsid w:val="00C92D98"/>
    <w:rsid w:val="00C95ABE"/>
    <w:rsid w:val="00CA08B6"/>
    <w:rsid w:val="00CA3CD4"/>
    <w:rsid w:val="00CA3EA2"/>
    <w:rsid w:val="00CA4FB8"/>
    <w:rsid w:val="00CA637F"/>
    <w:rsid w:val="00CA69C5"/>
    <w:rsid w:val="00CA6F8A"/>
    <w:rsid w:val="00CA77C9"/>
    <w:rsid w:val="00CB01E7"/>
    <w:rsid w:val="00CB45C1"/>
    <w:rsid w:val="00CC1948"/>
    <w:rsid w:val="00CC2D83"/>
    <w:rsid w:val="00CC480F"/>
    <w:rsid w:val="00CC5A33"/>
    <w:rsid w:val="00CC6457"/>
    <w:rsid w:val="00CC6A77"/>
    <w:rsid w:val="00CC6B43"/>
    <w:rsid w:val="00CC6BA0"/>
    <w:rsid w:val="00CC722D"/>
    <w:rsid w:val="00CD0938"/>
    <w:rsid w:val="00CD17A1"/>
    <w:rsid w:val="00CD1DF6"/>
    <w:rsid w:val="00CD2613"/>
    <w:rsid w:val="00CD42CF"/>
    <w:rsid w:val="00CD5974"/>
    <w:rsid w:val="00CD6342"/>
    <w:rsid w:val="00CE0417"/>
    <w:rsid w:val="00CE1097"/>
    <w:rsid w:val="00CE179C"/>
    <w:rsid w:val="00CE2D71"/>
    <w:rsid w:val="00CE5F52"/>
    <w:rsid w:val="00CE5FBA"/>
    <w:rsid w:val="00CE7C78"/>
    <w:rsid w:val="00CE7DB8"/>
    <w:rsid w:val="00CF44C2"/>
    <w:rsid w:val="00CF4BFA"/>
    <w:rsid w:val="00CF7F7F"/>
    <w:rsid w:val="00D01610"/>
    <w:rsid w:val="00D02C97"/>
    <w:rsid w:val="00D06DDA"/>
    <w:rsid w:val="00D157AC"/>
    <w:rsid w:val="00D15C9C"/>
    <w:rsid w:val="00D163C5"/>
    <w:rsid w:val="00D16848"/>
    <w:rsid w:val="00D179DC"/>
    <w:rsid w:val="00D17FB6"/>
    <w:rsid w:val="00D20160"/>
    <w:rsid w:val="00D2201F"/>
    <w:rsid w:val="00D22071"/>
    <w:rsid w:val="00D23A4C"/>
    <w:rsid w:val="00D2680A"/>
    <w:rsid w:val="00D3172C"/>
    <w:rsid w:val="00D31A06"/>
    <w:rsid w:val="00D32445"/>
    <w:rsid w:val="00D328DE"/>
    <w:rsid w:val="00D34A6D"/>
    <w:rsid w:val="00D34D42"/>
    <w:rsid w:val="00D363E7"/>
    <w:rsid w:val="00D36E6A"/>
    <w:rsid w:val="00D37716"/>
    <w:rsid w:val="00D43F54"/>
    <w:rsid w:val="00D4457E"/>
    <w:rsid w:val="00D446C4"/>
    <w:rsid w:val="00D44E6B"/>
    <w:rsid w:val="00D46B27"/>
    <w:rsid w:val="00D50833"/>
    <w:rsid w:val="00D52EE7"/>
    <w:rsid w:val="00D53168"/>
    <w:rsid w:val="00D53C37"/>
    <w:rsid w:val="00D54F88"/>
    <w:rsid w:val="00D551DF"/>
    <w:rsid w:val="00D56BFE"/>
    <w:rsid w:val="00D574EC"/>
    <w:rsid w:val="00D60452"/>
    <w:rsid w:val="00D67143"/>
    <w:rsid w:val="00D70420"/>
    <w:rsid w:val="00D70F5B"/>
    <w:rsid w:val="00D73C42"/>
    <w:rsid w:val="00D76245"/>
    <w:rsid w:val="00D77B82"/>
    <w:rsid w:val="00D83DC7"/>
    <w:rsid w:val="00D85418"/>
    <w:rsid w:val="00D857D9"/>
    <w:rsid w:val="00D86AFB"/>
    <w:rsid w:val="00D87633"/>
    <w:rsid w:val="00D90C4C"/>
    <w:rsid w:val="00D90CEF"/>
    <w:rsid w:val="00D91604"/>
    <w:rsid w:val="00D9432B"/>
    <w:rsid w:val="00D94702"/>
    <w:rsid w:val="00D95885"/>
    <w:rsid w:val="00DA0A7A"/>
    <w:rsid w:val="00DA0F58"/>
    <w:rsid w:val="00DA28DE"/>
    <w:rsid w:val="00DA2FDD"/>
    <w:rsid w:val="00DA4DE0"/>
    <w:rsid w:val="00DA6B2B"/>
    <w:rsid w:val="00DB0983"/>
    <w:rsid w:val="00DB1910"/>
    <w:rsid w:val="00DB2A8E"/>
    <w:rsid w:val="00DB323C"/>
    <w:rsid w:val="00DB62A6"/>
    <w:rsid w:val="00DC39DB"/>
    <w:rsid w:val="00DC3B35"/>
    <w:rsid w:val="00DC52E0"/>
    <w:rsid w:val="00DD2190"/>
    <w:rsid w:val="00DD2F42"/>
    <w:rsid w:val="00DD3BBD"/>
    <w:rsid w:val="00DD46DA"/>
    <w:rsid w:val="00DD4FF2"/>
    <w:rsid w:val="00DD53B7"/>
    <w:rsid w:val="00DE2B05"/>
    <w:rsid w:val="00DE4EC3"/>
    <w:rsid w:val="00DE50E9"/>
    <w:rsid w:val="00DE5256"/>
    <w:rsid w:val="00DE5AB2"/>
    <w:rsid w:val="00DE79F5"/>
    <w:rsid w:val="00DF099B"/>
    <w:rsid w:val="00DF0B0C"/>
    <w:rsid w:val="00DF3062"/>
    <w:rsid w:val="00DF422D"/>
    <w:rsid w:val="00DF5AE4"/>
    <w:rsid w:val="00DF73CD"/>
    <w:rsid w:val="00E00664"/>
    <w:rsid w:val="00E025B4"/>
    <w:rsid w:val="00E0368A"/>
    <w:rsid w:val="00E03A7A"/>
    <w:rsid w:val="00E04880"/>
    <w:rsid w:val="00E102FE"/>
    <w:rsid w:val="00E10506"/>
    <w:rsid w:val="00E10CAB"/>
    <w:rsid w:val="00E1367F"/>
    <w:rsid w:val="00E16369"/>
    <w:rsid w:val="00E17EB7"/>
    <w:rsid w:val="00E208D7"/>
    <w:rsid w:val="00E20C6E"/>
    <w:rsid w:val="00E20F74"/>
    <w:rsid w:val="00E221E0"/>
    <w:rsid w:val="00E2283B"/>
    <w:rsid w:val="00E24382"/>
    <w:rsid w:val="00E24D62"/>
    <w:rsid w:val="00E25CFC"/>
    <w:rsid w:val="00E32BE1"/>
    <w:rsid w:val="00E34467"/>
    <w:rsid w:val="00E37020"/>
    <w:rsid w:val="00E37EB1"/>
    <w:rsid w:val="00E40558"/>
    <w:rsid w:val="00E40635"/>
    <w:rsid w:val="00E408E7"/>
    <w:rsid w:val="00E41C8B"/>
    <w:rsid w:val="00E4249D"/>
    <w:rsid w:val="00E42ED0"/>
    <w:rsid w:val="00E42EFB"/>
    <w:rsid w:val="00E44629"/>
    <w:rsid w:val="00E44DA3"/>
    <w:rsid w:val="00E45C25"/>
    <w:rsid w:val="00E466B1"/>
    <w:rsid w:val="00E51BE6"/>
    <w:rsid w:val="00E535C8"/>
    <w:rsid w:val="00E55B4F"/>
    <w:rsid w:val="00E60F53"/>
    <w:rsid w:val="00E61136"/>
    <w:rsid w:val="00E619D7"/>
    <w:rsid w:val="00E62D33"/>
    <w:rsid w:val="00E62ED7"/>
    <w:rsid w:val="00E671C6"/>
    <w:rsid w:val="00E70155"/>
    <w:rsid w:val="00E719D0"/>
    <w:rsid w:val="00E72998"/>
    <w:rsid w:val="00E811AD"/>
    <w:rsid w:val="00E85EBE"/>
    <w:rsid w:val="00E871FB"/>
    <w:rsid w:val="00E90643"/>
    <w:rsid w:val="00E94666"/>
    <w:rsid w:val="00E958A2"/>
    <w:rsid w:val="00E96CD3"/>
    <w:rsid w:val="00E97027"/>
    <w:rsid w:val="00EA1652"/>
    <w:rsid w:val="00EA1838"/>
    <w:rsid w:val="00EA3542"/>
    <w:rsid w:val="00EA419F"/>
    <w:rsid w:val="00EA4302"/>
    <w:rsid w:val="00EA4F28"/>
    <w:rsid w:val="00EA5566"/>
    <w:rsid w:val="00EA7592"/>
    <w:rsid w:val="00EB2800"/>
    <w:rsid w:val="00EB3118"/>
    <w:rsid w:val="00EC42F2"/>
    <w:rsid w:val="00EC770E"/>
    <w:rsid w:val="00ED3739"/>
    <w:rsid w:val="00ED5DCA"/>
    <w:rsid w:val="00ED79C5"/>
    <w:rsid w:val="00EE0154"/>
    <w:rsid w:val="00EE17DD"/>
    <w:rsid w:val="00EE7122"/>
    <w:rsid w:val="00EE73A7"/>
    <w:rsid w:val="00EF1C12"/>
    <w:rsid w:val="00F02162"/>
    <w:rsid w:val="00F0332B"/>
    <w:rsid w:val="00F04270"/>
    <w:rsid w:val="00F05A24"/>
    <w:rsid w:val="00F110DD"/>
    <w:rsid w:val="00F1138E"/>
    <w:rsid w:val="00F11BCB"/>
    <w:rsid w:val="00F12297"/>
    <w:rsid w:val="00F122D0"/>
    <w:rsid w:val="00F128D0"/>
    <w:rsid w:val="00F13CE7"/>
    <w:rsid w:val="00F14126"/>
    <w:rsid w:val="00F141CB"/>
    <w:rsid w:val="00F1447B"/>
    <w:rsid w:val="00F160F1"/>
    <w:rsid w:val="00F16543"/>
    <w:rsid w:val="00F16775"/>
    <w:rsid w:val="00F22412"/>
    <w:rsid w:val="00F22F61"/>
    <w:rsid w:val="00F23175"/>
    <w:rsid w:val="00F24267"/>
    <w:rsid w:val="00F25B63"/>
    <w:rsid w:val="00F26E7F"/>
    <w:rsid w:val="00F308F1"/>
    <w:rsid w:val="00F31DAA"/>
    <w:rsid w:val="00F361D5"/>
    <w:rsid w:val="00F3748C"/>
    <w:rsid w:val="00F40B82"/>
    <w:rsid w:val="00F427CA"/>
    <w:rsid w:val="00F430D2"/>
    <w:rsid w:val="00F439CD"/>
    <w:rsid w:val="00F445F7"/>
    <w:rsid w:val="00F45F17"/>
    <w:rsid w:val="00F4769B"/>
    <w:rsid w:val="00F47B6B"/>
    <w:rsid w:val="00F51CF5"/>
    <w:rsid w:val="00F572E7"/>
    <w:rsid w:val="00F605E6"/>
    <w:rsid w:val="00F619C6"/>
    <w:rsid w:val="00F64276"/>
    <w:rsid w:val="00F646DC"/>
    <w:rsid w:val="00F6638E"/>
    <w:rsid w:val="00F6745E"/>
    <w:rsid w:val="00F676B8"/>
    <w:rsid w:val="00F752FE"/>
    <w:rsid w:val="00F80C4A"/>
    <w:rsid w:val="00F81828"/>
    <w:rsid w:val="00F8280D"/>
    <w:rsid w:val="00F90FE8"/>
    <w:rsid w:val="00F93931"/>
    <w:rsid w:val="00F94A77"/>
    <w:rsid w:val="00F94ACA"/>
    <w:rsid w:val="00F95A62"/>
    <w:rsid w:val="00F96489"/>
    <w:rsid w:val="00FA003A"/>
    <w:rsid w:val="00FA0C03"/>
    <w:rsid w:val="00FA1067"/>
    <w:rsid w:val="00FA1BF9"/>
    <w:rsid w:val="00FA2AE4"/>
    <w:rsid w:val="00FA2C90"/>
    <w:rsid w:val="00FA3080"/>
    <w:rsid w:val="00FA311C"/>
    <w:rsid w:val="00FA37B3"/>
    <w:rsid w:val="00FA7678"/>
    <w:rsid w:val="00FB2DF7"/>
    <w:rsid w:val="00FB616C"/>
    <w:rsid w:val="00FB6DCF"/>
    <w:rsid w:val="00FC404F"/>
    <w:rsid w:val="00FC4348"/>
    <w:rsid w:val="00FC4DAC"/>
    <w:rsid w:val="00FC6B82"/>
    <w:rsid w:val="00FC6F92"/>
    <w:rsid w:val="00FD0698"/>
    <w:rsid w:val="00FD07C4"/>
    <w:rsid w:val="00FD1A7A"/>
    <w:rsid w:val="00FD25C6"/>
    <w:rsid w:val="00FD3D48"/>
    <w:rsid w:val="00FD3D4B"/>
    <w:rsid w:val="00FD4216"/>
    <w:rsid w:val="00FD6E11"/>
    <w:rsid w:val="00FD6FEB"/>
    <w:rsid w:val="00FE1A64"/>
    <w:rsid w:val="00FE2B66"/>
    <w:rsid w:val="00FE3BAD"/>
    <w:rsid w:val="00FE5DC4"/>
    <w:rsid w:val="00FE7726"/>
    <w:rsid w:val="00FE79D1"/>
    <w:rsid w:val="00FF19A5"/>
    <w:rsid w:val="00FF39C2"/>
    <w:rsid w:val="00FF4468"/>
    <w:rsid w:val="00FF53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1"/>
    <o:shapelayout v:ext="edit">
      <o:idmap v:ext="edit" data="1"/>
    </o:shapelayout>
  </w:shapeDefaults>
  <w:decimalSymbol w:val="."/>
  <w:listSeparator w:val=","/>
  <w14:docId w14:val="3076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948"/>
    <w:pPr>
      <w:ind w:left="1080"/>
    </w:pPr>
    <w:rPr>
      <w:lang w:eastAsia="en-US"/>
    </w:rPr>
  </w:style>
  <w:style w:type="paragraph" w:styleId="Heading1">
    <w:name w:val="heading 1"/>
    <w:basedOn w:val="HeadingBase"/>
    <w:next w:val="BodyText"/>
    <w:link w:val="Heading1Char"/>
    <w:uiPriority w:val="99"/>
    <w:qFormat/>
    <w:rsid w:val="00701A9B"/>
    <w:pPr>
      <w:numPr>
        <w:numId w:val="2"/>
      </w:numPr>
      <w:shd w:val="pct10" w:color="auto" w:fill="auto"/>
      <w:spacing w:before="220" w:after="220" w:line="280" w:lineRule="atLeast"/>
      <w:outlineLvl w:val="0"/>
    </w:pPr>
    <w:rPr>
      <w:rFonts w:ascii="Times New Roman" w:hAnsi="Times New Roman"/>
      <w:b/>
      <w:spacing w:val="-10"/>
      <w:sz w:val="24"/>
    </w:rPr>
  </w:style>
  <w:style w:type="paragraph" w:styleId="Heading2">
    <w:name w:val="heading 2"/>
    <w:basedOn w:val="HeadingBase"/>
    <w:next w:val="BodyText"/>
    <w:link w:val="Heading2Char"/>
    <w:uiPriority w:val="99"/>
    <w:qFormat/>
    <w:rsid w:val="00701A9B"/>
    <w:pPr>
      <w:numPr>
        <w:ilvl w:val="1"/>
        <w:numId w:val="2"/>
      </w:numPr>
      <w:spacing w:after="100"/>
      <w:outlineLvl w:val="1"/>
    </w:pPr>
    <w:rPr>
      <w:rFonts w:ascii="Times New Roman" w:hAnsi="Times New Roman"/>
      <w:b/>
    </w:rPr>
  </w:style>
  <w:style w:type="paragraph" w:styleId="Heading3">
    <w:name w:val="heading 3"/>
    <w:basedOn w:val="HeadingBase"/>
    <w:next w:val="BodyText"/>
    <w:link w:val="Heading3Char"/>
    <w:uiPriority w:val="99"/>
    <w:qFormat/>
    <w:rsid w:val="00701A9B"/>
    <w:pPr>
      <w:numPr>
        <w:ilvl w:val="2"/>
        <w:numId w:val="2"/>
      </w:numPr>
      <w:outlineLvl w:val="2"/>
    </w:pPr>
    <w:rPr>
      <w:rFonts w:ascii="Times New Roman" w:hAnsi="Times New Roman"/>
      <w:b/>
      <w:bCs/>
    </w:rPr>
  </w:style>
  <w:style w:type="paragraph" w:styleId="Heading4">
    <w:name w:val="heading 4"/>
    <w:basedOn w:val="HeadingBase"/>
    <w:next w:val="BodyText"/>
    <w:link w:val="Heading4Char"/>
    <w:uiPriority w:val="99"/>
    <w:qFormat/>
    <w:rsid w:val="00701A9B"/>
    <w:pPr>
      <w:numPr>
        <w:ilvl w:val="3"/>
        <w:numId w:val="2"/>
      </w:numPr>
      <w:spacing w:after="60"/>
      <w:outlineLvl w:val="3"/>
    </w:pPr>
    <w:rPr>
      <w:rFonts w:ascii="Times New Roman" w:hAnsi="Times New Roman"/>
      <w:b/>
      <w:sz w:val="20"/>
    </w:rPr>
  </w:style>
  <w:style w:type="paragraph" w:styleId="Heading5">
    <w:name w:val="heading 5"/>
    <w:basedOn w:val="HeadingBase"/>
    <w:next w:val="BodyText"/>
    <w:link w:val="Heading5Char"/>
    <w:uiPriority w:val="99"/>
    <w:qFormat/>
    <w:rsid w:val="00701A9B"/>
    <w:pPr>
      <w:numPr>
        <w:ilvl w:val="4"/>
        <w:numId w:val="2"/>
      </w:numPr>
      <w:spacing w:before="220" w:after="220"/>
      <w:outlineLvl w:val="4"/>
    </w:pPr>
    <w:rPr>
      <w:rFonts w:ascii="Times New Roman" w:hAnsi="Times New Roman"/>
      <w:i/>
      <w:sz w:val="20"/>
    </w:rPr>
  </w:style>
  <w:style w:type="paragraph" w:styleId="Heading6">
    <w:name w:val="heading 6"/>
    <w:basedOn w:val="HeadingBase"/>
    <w:next w:val="BodyText"/>
    <w:link w:val="Heading6Char"/>
    <w:uiPriority w:val="99"/>
    <w:qFormat/>
    <w:rsid w:val="00701A9B"/>
    <w:pPr>
      <w:numPr>
        <w:ilvl w:val="5"/>
        <w:numId w:val="2"/>
      </w:numPr>
      <w:outlineLvl w:val="5"/>
    </w:pPr>
    <w:rPr>
      <w:rFonts w:ascii="Times New Roman" w:hAnsi="Times New Roman"/>
      <w:i/>
      <w:sz w:val="20"/>
    </w:rPr>
  </w:style>
  <w:style w:type="paragraph" w:styleId="Heading7">
    <w:name w:val="heading 7"/>
    <w:basedOn w:val="HeadingBase"/>
    <w:next w:val="BodyText"/>
    <w:link w:val="Heading7Char"/>
    <w:uiPriority w:val="99"/>
    <w:qFormat/>
    <w:rsid w:val="00701A9B"/>
    <w:pPr>
      <w:numPr>
        <w:ilvl w:val="6"/>
        <w:numId w:val="2"/>
      </w:numPr>
      <w:outlineLvl w:val="6"/>
    </w:pPr>
    <w:rPr>
      <w:rFonts w:ascii="Times New Roman" w:hAnsi="Times New Roman"/>
      <w:sz w:val="20"/>
    </w:rPr>
  </w:style>
  <w:style w:type="paragraph" w:styleId="Heading8">
    <w:name w:val="heading 8"/>
    <w:basedOn w:val="HeadingBase"/>
    <w:next w:val="BodyText"/>
    <w:link w:val="Heading8Char"/>
    <w:uiPriority w:val="99"/>
    <w:qFormat/>
    <w:rsid w:val="00701A9B"/>
    <w:pPr>
      <w:numPr>
        <w:ilvl w:val="7"/>
        <w:numId w:val="2"/>
      </w:numPr>
      <w:outlineLvl w:val="7"/>
    </w:pPr>
    <w:rPr>
      <w:i/>
      <w:sz w:val="18"/>
    </w:rPr>
  </w:style>
  <w:style w:type="paragraph" w:styleId="Heading9">
    <w:name w:val="heading 9"/>
    <w:basedOn w:val="HeadingBase"/>
    <w:next w:val="BodyText"/>
    <w:link w:val="Heading9Char"/>
    <w:uiPriority w:val="99"/>
    <w:qFormat/>
    <w:rsid w:val="00701A9B"/>
    <w:pPr>
      <w:numPr>
        <w:ilvl w:val="8"/>
        <w:numId w:val="2"/>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01A9B"/>
    <w:rPr>
      <w:b/>
      <w:spacing w:val="-10"/>
      <w:kern w:val="28"/>
      <w:sz w:val="24"/>
      <w:shd w:val="pct10" w:color="auto" w:fill="auto"/>
      <w:lang w:eastAsia="en-US"/>
    </w:rPr>
  </w:style>
  <w:style w:type="character" w:customStyle="1" w:styleId="Heading2Char">
    <w:name w:val="Heading 2 Char"/>
    <w:basedOn w:val="DefaultParagraphFont"/>
    <w:link w:val="Heading2"/>
    <w:uiPriority w:val="99"/>
    <w:rsid w:val="00701A9B"/>
    <w:rPr>
      <w:b/>
      <w:spacing w:val="-4"/>
      <w:kern w:val="28"/>
      <w:sz w:val="22"/>
      <w:lang w:eastAsia="en-US"/>
    </w:rPr>
  </w:style>
  <w:style w:type="character" w:customStyle="1" w:styleId="Heading3Char">
    <w:name w:val="Heading 3 Char"/>
    <w:basedOn w:val="DefaultParagraphFont"/>
    <w:link w:val="Heading3"/>
    <w:uiPriority w:val="99"/>
    <w:rsid w:val="00701A9B"/>
    <w:rPr>
      <w:b/>
      <w:bCs/>
      <w:spacing w:val="-4"/>
      <w:kern w:val="28"/>
      <w:sz w:val="22"/>
      <w:lang w:eastAsia="en-US"/>
    </w:rPr>
  </w:style>
  <w:style w:type="character" w:customStyle="1" w:styleId="Heading4Char">
    <w:name w:val="Heading 4 Char"/>
    <w:basedOn w:val="DefaultParagraphFont"/>
    <w:link w:val="Heading4"/>
    <w:uiPriority w:val="99"/>
    <w:rsid w:val="00701A9B"/>
    <w:rPr>
      <w:b/>
      <w:spacing w:val="-4"/>
      <w:kern w:val="28"/>
      <w:lang w:eastAsia="en-US"/>
    </w:rPr>
  </w:style>
  <w:style w:type="character" w:customStyle="1" w:styleId="Heading5Char">
    <w:name w:val="Heading 5 Char"/>
    <w:basedOn w:val="DefaultParagraphFont"/>
    <w:link w:val="Heading5"/>
    <w:uiPriority w:val="99"/>
    <w:rsid w:val="00701A9B"/>
    <w:rPr>
      <w:i/>
      <w:spacing w:val="-4"/>
      <w:kern w:val="28"/>
      <w:lang w:eastAsia="en-US"/>
    </w:rPr>
  </w:style>
  <w:style w:type="character" w:customStyle="1" w:styleId="Heading6Char">
    <w:name w:val="Heading 6 Char"/>
    <w:basedOn w:val="DefaultParagraphFont"/>
    <w:link w:val="Heading6"/>
    <w:uiPriority w:val="99"/>
    <w:rsid w:val="00701A9B"/>
    <w:rPr>
      <w:i/>
      <w:spacing w:val="-4"/>
      <w:kern w:val="28"/>
      <w:lang w:eastAsia="en-US"/>
    </w:rPr>
  </w:style>
  <w:style w:type="character" w:customStyle="1" w:styleId="Heading7Char">
    <w:name w:val="Heading 7 Char"/>
    <w:basedOn w:val="DefaultParagraphFont"/>
    <w:link w:val="Heading7"/>
    <w:uiPriority w:val="99"/>
    <w:rsid w:val="00701A9B"/>
    <w:rPr>
      <w:spacing w:val="-4"/>
      <w:kern w:val="28"/>
      <w:lang w:eastAsia="en-US"/>
    </w:rPr>
  </w:style>
  <w:style w:type="character" w:customStyle="1" w:styleId="Heading8Char">
    <w:name w:val="Heading 8 Char"/>
    <w:basedOn w:val="DefaultParagraphFont"/>
    <w:link w:val="Heading8"/>
    <w:uiPriority w:val="99"/>
    <w:rsid w:val="00701A9B"/>
    <w:rPr>
      <w:rFonts w:ascii="Arial" w:hAnsi="Arial"/>
      <w:i/>
      <w:spacing w:val="-4"/>
      <w:kern w:val="28"/>
      <w:sz w:val="18"/>
      <w:lang w:eastAsia="en-US"/>
    </w:rPr>
  </w:style>
  <w:style w:type="character" w:customStyle="1" w:styleId="Heading9Char">
    <w:name w:val="Heading 9 Char"/>
    <w:basedOn w:val="DefaultParagraphFont"/>
    <w:link w:val="Heading9"/>
    <w:uiPriority w:val="99"/>
    <w:rsid w:val="00701A9B"/>
    <w:rPr>
      <w:rFonts w:ascii="Arial" w:hAnsi="Arial"/>
      <w:spacing w:val="-4"/>
      <w:kern w:val="28"/>
      <w:sz w:val="18"/>
      <w:lang w:eastAsia="en-US"/>
    </w:rPr>
  </w:style>
  <w:style w:type="paragraph" w:customStyle="1" w:styleId="HeadingBase">
    <w:name w:val="Heading Base"/>
    <w:basedOn w:val="Normal"/>
    <w:next w:val="BodyText"/>
    <w:uiPriority w:val="99"/>
    <w:rsid w:val="00701A9B"/>
    <w:pPr>
      <w:keepNext/>
      <w:keepLines/>
      <w:spacing w:before="140" w:line="220" w:lineRule="atLeast"/>
    </w:pPr>
    <w:rPr>
      <w:rFonts w:ascii="Arial" w:hAnsi="Arial"/>
      <w:spacing w:val="-4"/>
      <w:kern w:val="28"/>
      <w:sz w:val="22"/>
    </w:rPr>
  </w:style>
  <w:style w:type="paragraph" w:styleId="BodyText">
    <w:name w:val="Body Text"/>
    <w:basedOn w:val="Normal"/>
    <w:link w:val="BodyTextChar"/>
    <w:uiPriority w:val="99"/>
    <w:rsid w:val="00701A9B"/>
    <w:pPr>
      <w:spacing w:after="220" w:line="220" w:lineRule="atLeast"/>
    </w:pPr>
  </w:style>
  <w:style w:type="character" w:customStyle="1" w:styleId="BodyTextChar">
    <w:name w:val="Body Text Char"/>
    <w:basedOn w:val="DefaultParagraphFont"/>
    <w:link w:val="BodyText"/>
    <w:uiPriority w:val="99"/>
    <w:rsid w:val="00701A9B"/>
    <w:rPr>
      <w:sz w:val="20"/>
      <w:szCs w:val="20"/>
      <w:lang w:eastAsia="en-US"/>
    </w:rPr>
  </w:style>
  <w:style w:type="paragraph" w:customStyle="1" w:styleId="FootnoteBase">
    <w:name w:val="Footnote Base"/>
    <w:basedOn w:val="Normal"/>
    <w:uiPriority w:val="99"/>
    <w:rsid w:val="00701A9B"/>
    <w:pPr>
      <w:keepLines/>
      <w:spacing w:line="220" w:lineRule="atLeast"/>
    </w:pPr>
    <w:rPr>
      <w:sz w:val="18"/>
    </w:rPr>
  </w:style>
  <w:style w:type="paragraph" w:customStyle="1" w:styleId="BlockQuotation">
    <w:name w:val="Block Quotation"/>
    <w:basedOn w:val="BodyText"/>
    <w:uiPriority w:val="99"/>
    <w:rsid w:val="00701A9B"/>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uiPriority w:val="99"/>
    <w:rsid w:val="00701A9B"/>
    <w:pPr>
      <w:keepNext/>
    </w:pPr>
  </w:style>
  <w:style w:type="paragraph" w:styleId="Caption">
    <w:name w:val="caption"/>
    <w:basedOn w:val="Picture"/>
    <w:next w:val="BodyText"/>
    <w:autoRedefine/>
    <w:uiPriority w:val="99"/>
    <w:qFormat/>
    <w:rsid w:val="00C23E3B"/>
    <w:pPr>
      <w:spacing w:before="120" w:after="60" w:line="220" w:lineRule="atLeast"/>
      <w:ind w:left="0"/>
    </w:pPr>
    <w:rPr>
      <w:rFonts w:ascii="Arial" w:hAnsi="Arial"/>
    </w:rPr>
  </w:style>
  <w:style w:type="paragraph" w:customStyle="1" w:styleId="Picture">
    <w:name w:val="Picture"/>
    <w:basedOn w:val="Normal"/>
    <w:next w:val="Caption"/>
    <w:uiPriority w:val="99"/>
    <w:rsid w:val="00701A9B"/>
    <w:pPr>
      <w:keepNext/>
    </w:pPr>
  </w:style>
  <w:style w:type="paragraph" w:customStyle="1" w:styleId="DocumentLabel">
    <w:name w:val="Document Label"/>
    <w:basedOn w:val="HeadingBase"/>
    <w:next w:val="BodyText"/>
    <w:uiPriority w:val="99"/>
    <w:rsid w:val="00701A9B"/>
    <w:pPr>
      <w:spacing w:before="160"/>
    </w:pPr>
    <w:rPr>
      <w:rFonts w:ascii="Times New Roman" w:hAnsi="Times New Roman"/>
      <w:spacing w:val="-30"/>
      <w:sz w:val="60"/>
    </w:rPr>
  </w:style>
  <w:style w:type="character" w:styleId="EndnoteReference">
    <w:name w:val="endnote reference"/>
    <w:basedOn w:val="DefaultParagraphFont"/>
    <w:uiPriority w:val="99"/>
    <w:semiHidden/>
    <w:rsid w:val="00701A9B"/>
    <w:rPr>
      <w:rFonts w:cs="Times New Roman"/>
      <w:b/>
      <w:vertAlign w:val="superscript"/>
    </w:rPr>
  </w:style>
  <w:style w:type="paragraph" w:styleId="EndnoteText">
    <w:name w:val="endnote text"/>
    <w:basedOn w:val="FootnoteBase"/>
    <w:link w:val="EndnoteTextChar"/>
    <w:rsid w:val="00701A9B"/>
  </w:style>
  <w:style w:type="character" w:customStyle="1" w:styleId="EndnoteTextChar">
    <w:name w:val="Endnote Text Char"/>
    <w:basedOn w:val="DefaultParagraphFont"/>
    <w:link w:val="EndnoteText"/>
    <w:uiPriority w:val="99"/>
    <w:semiHidden/>
    <w:rsid w:val="00701A9B"/>
    <w:rPr>
      <w:sz w:val="20"/>
      <w:szCs w:val="20"/>
      <w:lang w:eastAsia="en-US"/>
    </w:rPr>
  </w:style>
  <w:style w:type="paragraph" w:styleId="Footer">
    <w:name w:val="footer"/>
    <w:basedOn w:val="HeaderBase"/>
    <w:link w:val="FooterChar"/>
    <w:uiPriority w:val="99"/>
    <w:rsid w:val="00701A9B"/>
  </w:style>
  <w:style w:type="character" w:customStyle="1" w:styleId="FooterChar">
    <w:name w:val="Footer Char"/>
    <w:basedOn w:val="DefaultParagraphFont"/>
    <w:link w:val="Footer"/>
    <w:uiPriority w:val="99"/>
    <w:semiHidden/>
    <w:rsid w:val="00701A9B"/>
    <w:rPr>
      <w:sz w:val="20"/>
      <w:szCs w:val="20"/>
      <w:lang w:eastAsia="en-US"/>
    </w:rPr>
  </w:style>
  <w:style w:type="paragraph" w:customStyle="1" w:styleId="HeaderBase">
    <w:name w:val="Header Base"/>
    <w:basedOn w:val="Normal"/>
    <w:uiPriority w:val="99"/>
    <w:rsid w:val="00701A9B"/>
    <w:pPr>
      <w:keepLines/>
      <w:tabs>
        <w:tab w:val="center" w:pos="4320"/>
        <w:tab w:val="right" w:pos="8640"/>
      </w:tabs>
      <w:ind w:left="0"/>
    </w:pPr>
    <w:rPr>
      <w:rFonts w:ascii="Arial" w:hAnsi="Arial"/>
      <w:spacing w:val="-4"/>
    </w:rPr>
  </w:style>
  <w:style w:type="character" w:styleId="FootnoteReference">
    <w:name w:val="footnote reference"/>
    <w:basedOn w:val="DefaultParagraphFont"/>
    <w:uiPriority w:val="99"/>
    <w:semiHidden/>
    <w:rsid w:val="00701A9B"/>
    <w:rPr>
      <w:rFonts w:cs="Times New Roman"/>
      <w:vertAlign w:val="superscript"/>
    </w:rPr>
  </w:style>
  <w:style w:type="paragraph" w:styleId="FootnoteText">
    <w:name w:val="footnote text"/>
    <w:basedOn w:val="FootnoteBase"/>
    <w:link w:val="FootnoteTextChar"/>
    <w:uiPriority w:val="99"/>
    <w:semiHidden/>
    <w:rsid w:val="00701A9B"/>
  </w:style>
  <w:style w:type="character" w:customStyle="1" w:styleId="FootnoteTextChar">
    <w:name w:val="Footnote Text Char"/>
    <w:basedOn w:val="DefaultParagraphFont"/>
    <w:link w:val="FootnoteText"/>
    <w:uiPriority w:val="99"/>
    <w:semiHidden/>
    <w:rsid w:val="00701A9B"/>
    <w:rPr>
      <w:sz w:val="20"/>
      <w:szCs w:val="20"/>
      <w:lang w:eastAsia="en-US"/>
    </w:rPr>
  </w:style>
  <w:style w:type="paragraph" w:styleId="Header">
    <w:name w:val="header"/>
    <w:basedOn w:val="HeaderBase"/>
    <w:link w:val="HeaderChar"/>
    <w:autoRedefine/>
    <w:uiPriority w:val="99"/>
    <w:rsid w:val="00701A9B"/>
    <w:pPr>
      <w:jc w:val="center"/>
    </w:pPr>
    <w:rPr>
      <w:rFonts w:ascii="Times New Roman Bold" w:hAnsi="Times New Roman Bold"/>
      <w:b/>
    </w:rPr>
  </w:style>
  <w:style w:type="character" w:customStyle="1" w:styleId="HeaderChar">
    <w:name w:val="Header Char"/>
    <w:basedOn w:val="DefaultParagraphFont"/>
    <w:link w:val="Header"/>
    <w:uiPriority w:val="99"/>
    <w:semiHidden/>
    <w:rsid w:val="00701A9B"/>
    <w:rPr>
      <w:sz w:val="20"/>
      <w:szCs w:val="20"/>
      <w:lang w:eastAsia="en-US"/>
    </w:rPr>
  </w:style>
  <w:style w:type="paragraph" w:styleId="Index1">
    <w:name w:val="index 1"/>
    <w:basedOn w:val="IndexBase"/>
    <w:uiPriority w:val="99"/>
    <w:semiHidden/>
    <w:rsid w:val="00701A9B"/>
    <w:pPr>
      <w:tabs>
        <w:tab w:val="right" w:pos="4080"/>
      </w:tabs>
      <w:ind w:hanging="360"/>
    </w:pPr>
  </w:style>
  <w:style w:type="paragraph" w:customStyle="1" w:styleId="IndexBase">
    <w:name w:val="Index Base"/>
    <w:basedOn w:val="Normal"/>
    <w:uiPriority w:val="99"/>
    <w:rsid w:val="00701A9B"/>
    <w:pPr>
      <w:spacing w:line="220" w:lineRule="atLeast"/>
      <w:ind w:left="360"/>
    </w:pPr>
  </w:style>
  <w:style w:type="paragraph" w:styleId="Index2">
    <w:name w:val="index 2"/>
    <w:basedOn w:val="IndexBase"/>
    <w:uiPriority w:val="99"/>
    <w:semiHidden/>
    <w:rsid w:val="00701A9B"/>
    <w:pPr>
      <w:tabs>
        <w:tab w:val="right" w:pos="4080"/>
      </w:tabs>
      <w:ind w:left="720" w:hanging="360"/>
    </w:pPr>
  </w:style>
  <w:style w:type="paragraph" w:styleId="Index3">
    <w:name w:val="index 3"/>
    <w:basedOn w:val="IndexBase"/>
    <w:uiPriority w:val="99"/>
    <w:semiHidden/>
    <w:rsid w:val="00701A9B"/>
    <w:pPr>
      <w:tabs>
        <w:tab w:val="right" w:pos="4080"/>
      </w:tabs>
      <w:ind w:left="720" w:hanging="360"/>
    </w:pPr>
  </w:style>
  <w:style w:type="paragraph" w:styleId="Index4">
    <w:name w:val="index 4"/>
    <w:basedOn w:val="IndexBase"/>
    <w:uiPriority w:val="99"/>
    <w:semiHidden/>
    <w:rsid w:val="00701A9B"/>
    <w:pPr>
      <w:tabs>
        <w:tab w:val="right" w:pos="4080"/>
      </w:tabs>
      <w:ind w:left="720" w:hanging="360"/>
    </w:pPr>
  </w:style>
  <w:style w:type="paragraph" w:styleId="Index5">
    <w:name w:val="index 5"/>
    <w:basedOn w:val="IndexBase"/>
    <w:uiPriority w:val="99"/>
    <w:semiHidden/>
    <w:rsid w:val="00701A9B"/>
    <w:pPr>
      <w:tabs>
        <w:tab w:val="right" w:pos="4080"/>
      </w:tabs>
      <w:ind w:left="720" w:hanging="360"/>
    </w:pPr>
  </w:style>
  <w:style w:type="paragraph" w:styleId="IndexHeading">
    <w:name w:val="index heading"/>
    <w:basedOn w:val="HeadingBase"/>
    <w:next w:val="Index1"/>
    <w:uiPriority w:val="99"/>
    <w:semiHidden/>
    <w:rsid w:val="00701A9B"/>
    <w:pPr>
      <w:keepLines w:val="0"/>
      <w:spacing w:before="440"/>
      <w:ind w:left="0"/>
    </w:pPr>
    <w:rPr>
      <w:b/>
      <w:caps/>
      <w:spacing w:val="0"/>
      <w:kern w:val="0"/>
      <w:sz w:val="24"/>
    </w:rPr>
  </w:style>
  <w:style w:type="paragraph" w:customStyle="1" w:styleId="SectionHeading">
    <w:name w:val="Section Heading"/>
    <w:basedOn w:val="Heading1"/>
    <w:uiPriority w:val="99"/>
    <w:rsid w:val="00701A9B"/>
  </w:style>
  <w:style w:type="character" w:customStyle="1" w:styleId="Lead-inEmphasis">
    <w:name w:val="Lead-in Emphasis"/>
    <w:uiPriority w:val="99"/>
    <w:rsid w:val="00701A9B"/>
    <w:rPr>
      <w:rFonts w:ascii="Arial" w:hAnsi="Arial"/>
      <w:b/>
      <w:spacing w:val="-4"/>
    </w:rPr>
  </w:style>
  <w:style w:type="character" w:styleId="LineNumber">
    <w:name w:val="line number"/>
    <w:basedOn w:val="DefaultParagraphFont"/>
    <w:uiPriority w:val="99"/>
    <w:rsid w:val="00701A9B"/>
    <w:rPr>
      <w:rFonts w:cs="Times New Roman"/>
      <w:sz w:val="18"/>
    </w:rPr>
  </w:style>
  <w:style w:type="paragraph" w:styleId="List">
    <w:name w:val="List"/>
    <w:basedOn w:val="BodyText"/>
    <w:uiPriority w:val="99"/>
    <w:rsid w:val="00701A9B"/>
    <w:pPr>
      <w:ind w:left="1440" w:hanging="360"/>
    </w:pPr>
  </w:style>
  <w:style w:type="paragraph" w:styleId="ListBullet">
    <w:name w:val="List Bullet"/>
    <w:basedOn w:val="List"/>
    <w:uiPriority w:val="99"/>
    <w:rsid w:val="00701A9B"/>
    <w:pPr>
      <w:numPr>
        <w:numId w:val="1"/>
      </w:numPr>
      <w:ind w:right="720"/>
    </w:pPr>
  </w:style>
  <w:style w:type="paragraph" w:styleId="ListNumber">
    <w:name w:val="List Number"/>
    <w:basedOn w:val="List"/>
    <w:uiPriority w:val="99"/>
    <w:rsid w:val="00701A9B"/>
    <w:pPr>
      <w:spacing w:before="120" w:after="0"/>
      <w:ind w:left="0" w:right="720" w:firstLine="0"/>
    </w:pPr>
  </w:style>
  <w:style w:type="paragraph" w:styleId="MacroText">
    <w:name w:val="macro"/>
    <w:basedOn w:val="Normal"/>
    <w:link w:val="MacroTextChar"/>
    <w:uiPriority w:val="99"/>
    <w:semiHidden/>
    <w:rsid w:val="00701A9B"/>
    <w:rPr>
      <w:rFonts w:ascii="Courier New" w:hAnsi="Courier New"/>
    </w:rPr>
  </w:style>
  <w:style w:type="character" w:customStyle="1" w:styleId="MacroTextChar">
    <w:name w:val="Macro Text Char"/>
    <w:basedOn w:val="DefaultParagraphFont"/>
    <w:link w:val="MacroText"/>
    <w:uiPriority w:val="99"/>
    <w:semiHidden/>
    <w:rsid w:val="00701A9B"/>
    <w:rPr>
      <w:rFonts w:ascii="Courier New" w:hAnsi="Courier New" w:cs="Courier New"/>
      <w:sz w:val="20"/>
      <w:szCs w:val="20"/>
      <w:lang w:eastAsia="en-US"/>
    </w:rPr>
  </w:style>
  <w:style w:type="character" w:styleId="PageNumber">
    <w:name w:val="page number"/>
    <w:basedOn w:val="DefaultParagraphFont"/>
    <w:uiPriority w:val="99"/>
    <w:rsid w:val="00701A9B"/>
    <w:rPr>
      <w:rFonts w:ascii="Arial" w:hAnsi="Arial" w:cs="Times New Roman"/>
      <w:b/>
      <w:sz w:val="18"/>
    </w:rPr>
  </w:style>
  <w:style w:type="paragraph" w:customStyle="1" w:styleId="SubtitleCover">
    <w:name w:val="Subtitle Cover"/>
    <w:basedOn w:val="TitleCover"/>
    <w:next w:val="BodyText"/>
    <w:uiPriority w:val="99"/>
    <w:rsid w:val="00701A9B"/>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uiPriority w:val="99"/>
    <w:rsid w:val="00701A9B"/>
    <w:pPr>
      <w:spacing w:before="1800" w:line="240" w:lineRule="atLeast"/>
    </w:pPr>
    <w:rPr>
      <w:b/>
      <w:spacing w:val="-48"/>
      <w:sz w:val="72"/>
    </w:rPr>
  </w:style>
  <w:style w:type="character" w:customStyle="1" w:styleId="Superscript">
    <w:name w:val="Superscript"/>
    <w:uiPriority w:val="99"/>
    <w:rsid w:val="00701A9B"/>
    <w:rPr>
      <w:b/>
      <w:vertAlign w:val="superscript"/>
    </w:rPr>
  </w:style>
  <w:style w:type="paragraph" w:customStyle="1" w:styleId="TOCBase">
    <w:name w:val="TOC Base"/>
    <w:basedOn w:val="Normal"/>
    <w:autoRedefine/>
    <w:uiPriority w:val="99"/>
    <w:rsid w:val="00701A9B"/>
    <w:pPr>
      <w:tabs>
        <w:tab w:val="right" w:leader="dot" w:pos="6480"/>
      </w:tabs>
      <w:spacing w:after="220" w:line="220" w:lineRule="atLeast"/>
      <w:ind w:left="0"/>
    </w:pPr>
  </w:style>
  <w:style w:type="paragraph" w:styleId="TableofFigures">
    <w:name w:val="table of figures"/>
    <w:basedOn w:val="TOCBase"/>
    <w:uiPriority w:val="99"/>
    <w:rsid w:val="00701A9B"/>
    <w:pPr>
      <w:spacing w:after="0" w:line="360" w:lineRule="auto"/>
      <w:ind w:left="1434" w:hanging="357"/>
    </w:pPr>
  </w:style>
  <w:style w:type="paragraph" w:styleId="TOC1">
    <w:name w:val="toc 1"/>
    <w:basedOn w:val="TOCBase"/>
    <w:autoRedefine/>
    <w:uiPriority w:val="39"/>
    <w:qFormat/>
    <w:rsid w:val="004F6F46"/>
    <w:pPr>
      <w:tabs>
        <w:tab w:val="clear" w:pos="6480"/>
        <w:tab w:val="left" w:pos="400"/>
        <w:tab w:val="right" w:leader="dot" w:pos="8297"/>
      </w:tabs>
      <w:spacing w:before="240" w:after="120" w:line="240" w:lineRule="auto"/>
    </w:pPr>
    <w:rPr>
      <w:b/>
      <w:bCs/>
    </w:rPr>
  </w:style>
  <w:style w:type="paragraph" w:styleId="TOC2">
    <w:name w:val="toc 2"/>
    <w:basedOn w:val="TOCBase"/>
    <w:autoRedefine/>
    <w:uiPriority w:val="39"/>
    <w:semiHidden/>
    <w:qFormat/>
    <w:rsid w:val="00701A9B"/>
    <w:pPr>
      <w:tabs>
        <w:tab w:val="clear" w:pos="6480"/>
      </w:tabs>
      <w:spacing w:before="120" w:after="0" w:line="240" w:lineRule="auto"/>
      <w:ind w:left="200"/>
    </w:pPr>
    <w:rPr>
      <w:i/>
      <w:iCs/>
    </w:rPr>
  </w:style>
  <w:style w:type="paragraph" w:styleId="TOC3">
    <w:name w:val="toc 3"/>
    <w:basedOn w:val="TOCBase"/>
    <w:autoRedefine/>
    <w:uiPriority w:val="39"/>
    <w:semiHidden/>
    <w:qFormat/>
    <w:rsid w:val="00701A9B"/>
    <w:pPr>
      <w:tabs>
        <w:tab w:val="clear" w:pos="6480"/>
      </w:tabs>
      <w:spacing w:after="0" w:line="240" w:lineRule="auto"/>
      <w:ind w:left="400"/>
    </w:pPr>
  </w:style>
  <w:style w:type="paragraph" w:styleId="TOC4">
    <w:name w:val="toc 4"/>
    <w:basedOn w:val="TOCBase"/>
    <w:autoRedefine/>
    <w:uiPriority w:val="99"/>
    <w:semiHidden/>
    <w:rsid w:val="00701A9B"/>
    <w:pPr>
      <w:tabs>
        <w:tab w:val="clear" w:pos="6480"/>
      </w:tabs>
      <w:spacing w:after="0" w:line="240" w:lineRule="auto"/>
      <w:ind w:left="600"/>
    </w:pPr>
  </w:style>
  <w:style w:type="paragraph" w:styleId="TOC5">
    <w:name w:val="toc 5"/>
    <w:basedOn w:val="TOCBase"/>
    <w:autoRedefine/>
    <w:uiPriority w:val="99"/>
    <w:semiHidden/>
    <w:rsid w:val="00701A9B"/>
    <w:pPr>
      <w:tabs>
        <w:tab w:val="clear" w:pos="6480"/>
      </w:tabs>
      <w:spacing w:after="0" w:line="240" w:lineRule="auto"/>
      <w:ind w:left="800"/>
    </w:pPr>
  </w:style>
  <w:style w:type="paragraph" w:customStyle="1" w:styleId="SectionLabel">
    <w:name w:val="Section Label"/>
    <w:basedOn w:val="HeadingBase"/>
    <w:next w:val="BodyText"/>
    <w:uiPriority w:val="99"/>
    <w:rsid w:val="00701A9B"/>
    <w:pPr>
      <w:spacing w:before="400" w:after="440"/>
    </w:pPr>
    <w:rPr>
      <w:rFonts w:ascii="Times New Roman" w:hAnsi="Times New Roman"/>
      <w:spacing w:val="-30"/>
      <w:sz w:val="60"/>
    </w:rPr>
  </w:style>
  <w:style w:type="paragraph" w:customStyle="1" w:styleId="FooterFirst">
    <w:name w:val="Footer First"/>
    <w:basedOn w:val="Footer"/>
    <w:uiPriority w:val="99"/>
    <w:rsid w:val="00701A9B"/>
    <w:pPr>
      <w:pBdr>
        <w:bottom w:val="single" w:sz="6" w:space="1" w:color="auto"/>
      </w:pBdr>
      <w:spacing w:before="600"/>
    </w:pPr>
    <w:rPr>
      <w:b/>
    </w:rPr>
  </w:style>
  <w:style w:type="paragraph" w:customStyle="1" w:styleId="FooterEven">
    <w:name w:val="Footer Even"/>
    <w:basedOn w:val="Footer"/>
    <w:uiPriority w:val="99"/>
    <w:rsid w:val="00701A9B"/>
    <w:pPr>
      <w:pBdr>
        <w:bottom w:val="single" w:sz="6" w:space="1" w:color="auto"/>
      </w:pBdr>
      <w:spacing w:before="600"/>
    </w:pPr>
    <w:rPr>
      <w:b/>
    </w:rPr>
  </w:style>
  <w:style w:type="paragraph" w:customStyle="1" w:styleId="FooterOdd">
    <w:name w:val="Footer Odd"/>
    <w:basedOn w:val="Footer"/>
    <w:uiPriority w:val="99"/>
    <w:rsid w:val="00701A9B"/>
    <w:pPr>
      <w:pBdr>
        <w:bottom w:val="single" w:sz="6" w:space="1" w:color="auto"/>
      </w:pBdr>
      <w:spacing w:before="600"/>
    </w:pPr>
    <w:rPr>
      <w:b/>
    </w:rPr>
  </w:style>
  <w:style w:type="paragraph" w:customStyle="1" w:styleId="HeaderFirst">
    <w:name w:val="Header First"/>
    <w:basedOn w:val="Header"/>
    <w:uiPriority w:val="99"/>
    <w:rsid w:val="00701A9B"/>
  </w:style>
  <w:style w:type="paragraph" w:customStyle="1" w:styleId="HeaderEven">
    <w:name w:val="Header Even"/>
    <w:basedOn w:val="Header"/>
    <w:uiPriority w:val="99"/>
    <w:rsid w:val="00701A9B"/>
  </w:style>
  <w:style w:type="paragraph" w:customStyle="1" w:styleId="HeaderOdd">
    <w:name w:val="Header Odd"/>
    <w:basedOn w:val="Header"/>
    <w:uiPriority w:val="99"/>
    <w:rsid w:val="00701A9B"/>
  </w:style>
  <w:style w:type="paragraph" w:customStyle="1" w:styleId="ChapterLabel">
    <w:name w:val="Chapter Label"/>
    <w:basedOn w:val="HeadingBase"/>
    <w:next w:val="ChapterTitle"/>
    <w:uiPriority w:val="99"/>
    <w:rsid w:val="00701A9B"/>
    <w:pPr>
      <w:spacing w:before="770" w:after="440"/>
    </w:pPr>
    <w:rPr>
      <w:rFonts w:ascii="Times New Roman" w:hAnsi="Times New Roman"/>
      <w:spacing w:val="-30"/>
      <w:sz w:val="60"/>
    </w:rPr>
  </w:style>
  <w:style w:type="paragraph" w:customStyle="1" w:styleId="ChapterTitle">
    <w:name w:val="Chapter Title"/>
    <w:basedOn w:val="HeadingBase"/>
    <w:next w:val="ChapterSubtitle"/>
    <w:uiPriority w:val="99"/>
    <w:rsid w:val="00701A9B"/>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uiPriority w:val="99"/>
    <w:rsid w:val="00701A9B"/>
    <w:pPr>
      <w:spacing w:before="0" w:line="400" w:lineRule="atLeast"/>
    </w:pPr>
    <w:rPr>
      <w:i/>
      <w:spacing w:val="-14"/>
      <w:sz w:val="34"/>
    </w:rPr>
  </w:style>
  <w:style w:type="paragraph" w:styleId="BodyTextIndent">
    <w:name w:val="Body Text Indent"/>
    <w:basedOn w:val="BodyText"/>
    <w:link w:val="BodyTextIndentChar"/>
    <w:uiPriority w:val="99"/>
    <w:rsid w:val="00701A9B"/>
    <w:pPr>
      <w:ind w:left="1440"/>
    </w:pPr>
  </w:style>
  <w:style w:type="character" w:customStyle="1" w:styleId="BodyTextIndentChar">
    <w:name w:val="Body Text Indent Char"/>
    <w:basedOn w:val="DefaultParagraphFont"/>
    <w:link w:val="BodyTextIndent"/>
    <w:uiPriority w:val="99"/>
    <w:semiHidden/>
    <w:rsid w:val="00701A9B"/>
    <w:rPr>
      <w:sz w:val="20"/>
      <w:szCs w:val="20"/>
      <w:lang w:eastAsia="en-US"/>
    </w:rPr>
  </w:style>
  <w:style w:type="paragraph" w:styleId="Subtitle">
    <w:name w:val="Subtitle"/>
    <w:basedOn w:val="Title"/>
    <w:next w:val="BodyText"/>
    <w:link w:val="SubtitleChar"/>
    <w:uiPriority w:val="99"/>
    <w:qFormat/>
    <w:rsid w:val="00701A9B"/>
    <w:pPr>
      <w:spacing w:before="0" w:after="160" w:line="400" w:lineRule="atLeast"/>
    </w:pPr>
    <w:rPr>
      <w:i/>
      <w:spacing w:val="-14"/>
      <w:sz w:val="34"/>
    </w:rPr>
  </w:style>
  <w:style w:type="character" w:customStyle="1" w:styleId="SubtitleChar">
    <w:name w:val="Subtitle Char"/>
    <w:basedOn w:val="DefaultParagraphFont"/>
    <w:link w:val="Subtitle"/>
    <w:uiPriority w:val="11"/>
    <w:rsid w:val="00701A9B"/>
    <w:rPr>
      <w:rFonts w:ascii="Cambria" w:eastAsia="Times New Roman" w:hAnsi="Cambria" w:cs="Times New Roman"/>
      <w:sz w:val="24"/>
      <w:szCs w:val="24"/>
      <w:lang w:eastAsia="en-US"/>
    </w:rPr>
  </w:style>
  <w:style w:type="paragraph" w:styleId="Title">
    <w:name w:val="Title"/>
    <w:basedOn w:val="HeadingBase"/>
    <w:next w:val="Subtitle"/>
    <w:link w:val="TitleChar"/>
    <w:uiPriority w:val="99"/>
    <w:qFormat/>
    <w:rsid w:val="00701A9B"/>
    <w:pPr>
      <w:spacing w:before="660" w:after="400" w:line="540" w:lineRule="atLeast"/>
      <w:ind w:right="2160"/>
    </w:pPr>
    <w:rPr>
      <w:rFonts w:ascii="Times New Roman" w:hAnsi="Times New Roman"/>
      <w:spacing w:val="-40"/>
      <w:sz w:val="60"/>
    </w:rPr>
  </w:style>
  <w:style w:type="character" w:customStyle="1" w:styleId="TitleChar">
    <w:name w:val="Title Char"/>
    <w:basedOn w:val="DefaultParagraphFont"/>
    <w:link w:val="Title"/>
    <w:uiPriority w:val="10"/>
    <w:rsid w:val="00701A9B"/>
    <w:rPr>
      <w:rFonts w:ascii="Cambria" w:eastAsia="Times New Roman" w:hAnsi="Cambria" w:cs="Times New Roman"/>
      <w:b/>
      <w:bCs/>
      <w:kern w:val="28"/>
      <w:sz w:val="32"/>
      <w:szCs w:val="32"/>
      <w:lang w:eastAsia="en-US"/>
    </w:rPr>
  </w:style>
  <w:style w:type="paragraph" w:styleId="ListNumber5">
    <w:name w:val="List Number 5"/>
    <w:basedOn w:val="ListNumber"/>
    <w:uiPriority w:val="99"/>
    <w:rsid w:val="00701A9B"/>
    <w:pPr>
      <w:ind w:left="3240"/>
    </w:pPr>
  </w:style>
  <w:style w:type="paragraph" w:styleId="ListNumber4">
    <w:name w:val="List Number 4"/>
    <w:basedOn w:val="ListNumber"/>
    <w:uiPriority w:val="99"/>
    <w:rsid w:val="00701A9B"/>
    <w:pPr>
      <w:ind w:left="2880"/>
    </w:pPr>
  </w:style>
  <w:style w:type="paragraph" w:styleId="ListNumber3">
    <w:name w:val="List Number 3"/>
    <w:basedOn w:val="ListNumber"/>
    <w:uiPriority w:val="99"/>
    <w:rsid w:val="00701A9B"/>
    <w:pPr>
      <w:ind w:left="2520"/>
    </w:pPr>
  </w:style>
  <w:style w:type="paragraph" w:styleId="ListBullet5">
    <w:name w:val="List Bullet 5"/>
    <w:basedOn w:val="ListBullet"/>
    <w:uiPriority w:val="99"/>
    <w:rsid w:val="00701A9B"/>
    <w:pPr>
      <w:ind w:left="3240"/>
    </w:pPr>
  </w:style>
  <w:style w:type="paragraph" w:styleId="ListBullet4">
    <w:name w:val="List Bullet 4"/>
    <w:basedOn w:val="ListBullet"/>
    <w:uiPriority w:val="99"/>
    <w:rsid w:val="00701A9B"/>
    <w:pPr>
      <w:ind w:left="2880"/>
    </w:pPr>
  </w:style>
  <w:style w:type="paragraph" w:styleId="ListBullet3">
    <w:name w:val="List Bullet 3"/>
    <w:basedOn w:val="ListBullet"/>
    <w:uiPriority w:val="99"/>
    <w:rsid w:val="00701A9B"/>
    <w:pPr>
      <w:ind w:left="2520"/>
    </w:pPr>
  </w:style>
  <w:style w:type="paragraph" w:styleId="ListBullet2">
    <w:name w:val="List Bullet 2"/>
    <w:basedOn w:val="ListBullet"/>
    <w:uiPriority w:val="99"/>
    <w:rsid w:val="00701A9B"/>
    <w:pPr>
      <w:ind w:left="2160"/>
    </w:pPr>
  </w:style>
  <w:style w:type="paragraph" w:styleId="List5">
    <w:name w:val="List 5"/>
    <w:basedOn w:val="List"/>
    <w:uiPriority w:val="99"/>
    <w:rsid w:val="00701A9B"/>
    <w:pPr>
      <w:ind w:left="2880"/>
    </w:pPr>
  </w:style>
  <w:style w:type="paragraph" w:styleId="List4">
    <w:name w:val="List 4"/>
    <w:basedOn w:val="List"/>
    <w:uiPriority w:val="99"/>
    <w:rsid w:val="00701A9B"/>
    <w:pPr>
      <w:ind w:left="2520"/>
    </w:pPr>
  </w:style>
  <w:style w:type="paragraph" w:styleId="List3">
    <w:name w:val="List 3"/>
    <w:basedOn w:val="List"/>
    <w:uiPriority w:val="99"/>
    <w:rsid w:val="00701A9B"/>
    <w:pPr>
      <w:ind w:left="2160"/>
    </w:pPr>
  </w:style>
  <w:style w:type="paragraph" w:styleId="List2">
    <w:name w:val="List 2"/>
    <w:basedOn w:val="List"/>
    <w:uiPriority w:val="99"/>
    <w:rsid w:val="00701A9B"/>
    <w:pPr>
      <w:ind w:left="1800"/>
    </w:pPr>
  </w:style>
  <w:style w:type="character" w:styleId="Emphasis">
    <w:name w:val="Emphasis"/>
    <w:basedOn w:val="DefaultParagraphFont"/>
    <w:uiPriority w:val="99"/>
    <w:qFormat/>
    <w:rsid w:val="00701A9B"/>
    <w:rPr>
      <w:rFonts w:ascii="Arial" w:hAnsi="Arial" w:cs="Times New Roman"/>
      <w:b/>
      <w:spacing w:val="-4"/>
    </w:rPr>
  </w:style>
  <w:style w:type="character" w:styleId="CommentReference">
    <w:name w:val="annotation reference"/>
    <w:basedOn w:val="DefaultParagraphFont"/>
    <w:uiPriority w:val="99"/>
    <w:semiHidden/>
    <w:rsid w:val="00701A9B"/>
    <w:rPr>
      <w:rFonts w:cs="Times New Roman"/>
      <w:sz w:val="16"/>
    </w:rPr>
  </w:style>
  <w:style w:type="paragraph" w:styleId="CommentText">
    <w:name w:val="annotation text"/>
    <w:basedOn w:val="FootnoteBase"/>
    <w:link w:val="CommentTextChar"/>
    <w:uiPriority w:val="99"/>
    <w:semiHidden/>
    <w:rsid w:val="00701A9B"/>
  </w:style>
  <w:style w:type="character" w:customStyle="1" w:styleId="CommentTextChar">
    <w:name w:val="Comment Text Char"/>
    <w:basedOn w:val="DefaultParagraphFont"/>
    <w:link w:val="CommentText"/>
    <w:uiPriority w:val="99"/>
    <w:semiHidden/>
    <w:rsid w:val="00701A9B"/>
    <w:rPr>
      <w:sz w:val="20"/>
      <w:szCs w:val="20"/>
      <w:lang w:eastAsia="en-US"/>
    </w:rPr>
  </w:style>
  <w:style w:type="paragraph" w:styleId="ListNumber2">
    <w:name w:val="List Number 2"/>
    <w:basedOn w:val="ListNumber"/>
    <w:uiPriority w:val="99"/>
    <w:rsid w:val="00701A9B"/>
    <w:pPr>
      <w:ind w:left="2160"/>
    </w:pPr>
  </w:style>
  <w:style w:type="paragraph" w:styleId="ListContinue">
    <w:name w:val="List Continue"/>
    <w:basedOn w:val="List"/>
    <w:uiPriority w:val="99"/>
    <w:rsid w:val="00701A9B"/>
    <w:pPr>
      <w:ind w:left="1800" w:firstLine="0"/>
    </w:pPr>
  </w:style>
  <w:style w:type="paragraph" w:styleId="ListContinue2">
    <w:name w:val="List Continue 2"/>
    <w:basedOn w:val="ListContinue"/>
    <w:uiPriority w:val="99"/>
    <w:rsid w:val="00701A9B"/>
    <w:pPr>
      <w:ind w:left="2160"/>
    </w:pPr>
  </w:style>
  <w:style w:type="paragraph" w:styleId="ListContinue3">
    <w:name w:val="List Continue 3"/>
    <w:basedOn w:val="ListContinue"/>
    <w:uiPriority w:val="99"/>
    <w:rsid w:val="00701A9B"/>
    <w:pPr>
      <w:ind w:left="2520"/>
    </w:pPr>
  </w:style>
  <w:style w:type="paragraph" w:styleId="ListContinue4">
    <w:name w:val="List Continue 4"/>
    <w:basedOn w:val="ListContinue"/>
    <w:uiPriority w:val="99"/>
    <w:rsid w:val="00701A9B"/>
    <w:pPr>
      <w:ind w:left="2880"/>
    </w:pPr>
  </w:style>
  <w:style w:type="paragraph" w:styleId="ListContinue5">
    <w:name w:val="List Continue 5"/>
    <w:basedOn w:val="ListContinue"/>
    <w:uiPriority w:val="99"/>
    <w:rsid w:val="00701A9B"/>
    <w:pPr>
      <w:ind w:left="3240"/>
    </w:pPr>
  </w:style>
  <w:style w:type="paragraph" w:styleId="NormalIndent">
    <w:name w:val="Normal Indent"/>
    <w:basedOn w:val="Normal"/>
    <w:uiPriority w:val="99"/>
    <w:rsid w:val="00701A9B"/>
    <w:pPr>
      <w:ind w:left="1440"/>
    </w:pPr>
  </w:style>
  <w:style w:type="paragraph" w:customStyle="1" w:styleId="ReturnAddress">
    <w:name w:val="Return Address"/>
    <w:basedOn w:val="Normal"/>
    <w:uiPriority w:val="99"/>
    <w:rsid w:val="00701A9B"/>
    <w:pPr>
      <w:keepLines/>
      <w:framePr w:w="2160" w:h="1195" w:wrap="notBeside" w:vAnchor="page" w:hAnchor="margin" w:xAlign="right" w:y="678" w:anchorLock="1"/>
      <w:spacing w:line="220" w:lineRule="atLeast"/>
      <w:ind w:left="0"/>
    </w:pPr>
    <w:rPr>
      <w:sz w:val="16"/>
    </w:rPr>
  </w:style>
  <w:style w:type="character" w:customStyle="1" w:styleId="Slogan">
    <w:name w:val="Slogan"/>
    <w:basedOn w:val="DefaultParagraphFont"/>
    <w:uiPriority w:val="99"/>
    <w:rsid w:val="00701A9B"/>
    <w:rPr>
      <w:rFonts w:cs="Times New Roman"/>
      <w:i/>
      <w:spacing w:val="-6"/>
      <w:sz w:val="24"/>
    </w:rPr>
  </w:style>
  <w:style w:type="paragraph" w:customStyle="1" w:styleId="CompanyName">
    <w:name w:val="Company Name"/>
    <w:basedOn w:val="DocumentLabel"/>
    <w:uiPriority w:val="99"/>
    <w:rsid w:val="00701A9B"/>
    <w:pPr>
      <w:spacing w:before="0"/>
    </w:pPr>
  </w:style>
  <w:style w:type="paragraph" w:customStyle="1" w:styleId="PartLabel">
    <w:name w:val="Part Label"/>
    <w:basedOn w:val="HeadingBase"/>
    <w:next w:val="Normal"/>
    <w:uiPriority w:val="99"/>
    <w:rsid w:val="00701A9B"/>
    <w:pPr>
      <w:spacing w:before="400" w:after="440"/>
    </w:pPr>
    <w:rPr>
      <w:rFonts w:ascii="Times New Roman" w:hAnsi="Times New Roman"/>
      <w:spacing w:val="-30"/>
      <w:sz w:val="60"/>
    </w:rPr>
  </w:style>
  <w:style w:type="paragraph" w:customStyle="1" w:styleId="PartSubtitle">
    <w:name w:val="Part Subtitle"/>
    <w:basedOn w:val="Normal"/>
    <w:next w:val="BodyText"/>
    <w:uiPriority w:val="99"/>
    <w:rsid w:val="00701A9B"/>
    <w:pPr>
      <w:keepNext/>
      <w:keepLines/>
      <w:spacing w:after="160" w:line="400" w:lineRule="atLeast"/>
      <w:ind w:right="2160"/>
    </w:pPr>
    <w:rPr>
      <w:i/>
      <w:spacing w:val="-14"/>
      <w:kern w:val="28"/>
      <w:sz w:val="34"/>
    </w:rPr>
  </w:style>
  <w:style w:type="paragraph" w:customStyle="1" w:styleId="PartTitle">
    <w:name w:val="Part Title"/>
    <w:basedOn w:val="HeadingBase"/>
    <w:next w:val="PartSubtitle"/>
    <w:uiPriority w:val="99"/>
    <w:rsid w:val="00701A9B"/>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uiPriority w:val="99"/>
    <w:semiHidden/>
    <w:rsid w:val="00701A9B"/>
    <w:pPr>
      <w:tabs>
        <w:tab w:val="right" w:leader="dot" w:pos="7560"/>
      </w:tabs>
      <w:ind w:left="1440" w:hanging="360"/>
    </w:pPr>
  </w:style>
  <w:style w:type="paragraph" w:styleId="TOAHeading">
    <w:name w:val="toa heading"/>
    <w:basedOn w:val="Normal"/>
    <w:next w:val="TableofAuthorities"/>
    <w:uiPriority w:val="99"/>
    <w:semiHidden/>
    <w:rsid w:val="00701A9B"/>
    <w:pPr>
      <w:keepNext/>
      <w:spacing w:before="240" w:after="120" w:line="360" w:lineRule="exact"/>
    </w:pPr>
    <w:rPr>
      <w:rFonts w:ascii="Arial" w:hAnsi="Arial"/>
      <w:b/>
      <w:kern w:val="28"/>
      <w:sz w:val="28"/>
    </w:rPr>
  </w:style>
  <w:style w:type="paragraph" w:styleId="MessageHeader">
    <w:name w:val="Message Header"/>
    <w:basedOn w:val="BodyText"/>
    <w:link w:val="MessageHeaderChar"/>
    <w:uiPriority w:val="99"/>
    <w:rsid w:val="00701A9B"/>
    <w:pPr>
      <w:keepLines/>
      <w:tabs>
        <w:tab w:val="left" w:pos="3600"/>
        <w:tab w:val="left" w:pos="4680"/>
      </w:tabs>
      <w:spacing w:after="120" w:line="280" w:lineRule="exact"/>
      <w:ind w:right="2160" w:hanging="1080"/>
    </w:pPr>
    <w:rPr>
      <w:rFonts w:ascii="Arial" w:hAnsi="Arial"/>
      <w:sz w:val="22"/>
    </w:rPr>
  </w:style>
  <w:style w:type="character" w:customStyle="1" w:styleId="MessageHeaderChar">
    <w:name w:val="Message Header Char"/>
    <w:basedOn w:val="DefaultParagraphFont"/>
    <w:link w:val="MessageHeader"/>
    <w:uiPriority w:val="99"/>
    <w:semiHidden/>
    <w:rsid w:val="00701A9B"/>
    <w:rPr>
      <w:rFonts w:ascii="Cambria" w:eastAsia="Times New Roman" w:hAnsi="Cambria" w:cs="Times New Roman"/>
      <w:sz w:val="24"/>
      <w:szCs w:val="24"/>
      <w:shd w:val="pct20" w:color="auto" w:fill="auto"/>
      <w:lang w:eastAsia="en-US"/>
    </w:rPr>
  </w:style>
  <w:style w:type="paragraph" w:styleId="Signature">
    <w:name w:val="Signature"/>
    <w:basedOn w:val="Normal"/>
    <w:link w:val="SignatureChar"/>
    <w:uiPriority w:val="99"/>
    <w:rsid w:val="00701A9B"/>
    <w:pPr>
      <w:tabs>
        <w:tab w:val="left" w:pos="8505"/>
      </w:tabs>
      <w:ind w:left="0"/>
    </w:pPr>
    <w:rPr>
      <w:rFonts w:ascii="Times" w:hAnsi="Times"/>
      <w:iCs/>
      <w:sz w:val="22"/>
    </w:rPr>
  </w:style>
  <w:style w:type="character" w:customStyle="1" w:styleId="SignatureChar">
    <w:name w:val="Signature Char"/>
    <w:basedOn w:val="DefaultParagraphFont"/>
    <w:link w:val="Signature"/>
    <w:uiPriority w:val="99"/>
    <w:semiHidden/>
    <w:rsid w:val="00701A9B"/>
    <w:rPr>
      <w:sz w:val="20"/>
      <w:szCs w:val="20"/>
      <w:lang w:eastAsia="en-US"/>
    </w:rPr>
  </w:style>
  <w:style w:type="character" w:styleId="Hyperlink">
    <w:name w:val="Hyperlink"/>
    <w:basedOn w:val="DefaultParagraphFont"/>
    <w:uiPriority w:val="99"/>
    <w:rsid w:val="00701A9B"/>
    <w:rPr>
      <w:rFonts w:cs="Times New Roman"/>
      <w:color w:val="0000FF"/>
      <w:u w:val="single"/>
    </w:rPr>
  </w:style>
  <w:style w:type="paragraph" w:styleId="BlockText">
    <w:name w:val="Block Text"/>
    <w:basedOn w:val="Normal"/>
    <w:uiPriority w:val="99"/>
    <w:rsid w:val="00701A9B"/>
    <w:pPr>
      <w:pBdr>
        <w:top w:val="single" w:sz="12" w:space="1" w:color="auto"/>
        <w:left w:val="single" w:sz="12" w:space="0" w:color="auto"/>
        <w:bottom w:val="single" w:sz="12" w:space="1" w:color="auto"/>
        <w:right w:val="single" w:sz="12" w:space="0" w:color="auto"/>
      </w:pBdr>
      <w:shd w:val="pct15" w:color="auto" w:fill="FFFFFF"/>
      <w:ind w:left="1701" w:right="566"/>
      <w:jc w:val="center"/>
    </w:pPr>
    <w:rPr>
      <w:rFonts w:ascii="Times New Roman Bold" w:hAnsi="Times New Roman Bold"/>
      <w:b/>
      <w:i/>
      <w:iCs/>
      <w:sz w:val="22"/>
    </w:rPr>
  </w:style>
  <w:style w:type="paragraph" w:styleId="NormalWeb">
    <w:name w:val="Normal (Web)"/>
    <w:basedOn w:val="Normal"/>
    <w:uiPriority w:val="99"/>
    <w:rsid w:val="00701A9B"/>
    <w:pPr>
      <w:spacing w:before="100" w:beforeAutospacing="1" w:after="100" w:afterAutospacing="1"/>
      <w:ind w:left="0"/>
    </w:pPr>
    <w:rPr>
      <w:color w:val="000000"/>
      <w:sz w:val="24"/>
      <w:szCs w:val="24"/>
    </w:rPr>
  </w:style>
  <w:style w:type="paragraph" w:styleId="BodyTextIndent2">
    <w:name w:val="Body Text Indent 2"/>
    <w:basedOn w:val="Normal"/>
    <w:link w:val="BodyTextIndent2Char"/>
    <w:uiPriority w:val="99"/>
    <w:rsid w:val="00701A9B"/>
    <w:pPr>
      <w:ind w:left="1418" w:hanging="1418"/>
    </w:pPr>
    <w:rPr>
      <w:sz w:val="22"/>
    </w:rPr>
  </w:style>
  <w:style w:type="character" w:customStyle="1" w:styleId="BodyTextIndent2Char">
    <w:name w:val="Body Text Indent 2 Char"/>
    <w:basedOn w:val="DefaultParagraphFont"/>
    <w:link w:val="BodyTextIndent2"/>
    <w:uiPriority w:val="99"/>
    <w:semiHidden/>
    <w:rsid w:val="00701A9B"/>
    <w:rPr>
      <w:sz w:val="20"/>
      <w:szCs w:val="20"/>
      <w:lang w:eastAsia="en-US"/>
    </w:rPr>
  </w:style>
  <w:style w:type="paragraph" w:customStyle="1" w:styleId="PSPara">
    <w:name w:val="PS Para"/>
    <w:basedOn w:val="Normal"/>
    <w:uiPriority w:val="99"/>
    <w:rsid w:val="00701A9B"/>
    <w:pPr>
      <w:spacing w:before="120" w:after="120" w:line="360" w:lineRule="auto"/>
      <w:ind w:left="0"/>
    </w:pPr>
    <w:rPr>
      <w:rFonts w:ascii="Times" w:hAnsi="Times"/>
      <w:iCs/>
      <w:sz w:val="24"/>
    </w:rPr>
  </w:style>
  <w:style w:type="paragraph" w:styleId="BodyText2">
    <w:name w:val="Body Text 2"/>
    <w:basedOn w:val="Normal"/>
    <w:link w:val="BodyText2Char"/>
    <w:uiPriority w:val="99"/>
    <w:rsid w:val="00701A9B"/>
    <w:pPr>
      <w:ind w:left="0"/>
      <w:jc w:val="both"/>
    </w:pPr>
    <w:rPr>
      <w:rFonts w:ascii="Times" w:hAnsi="Times"/>
      <w:iCs/>
      <w:sz w:val="24"/>
    </w:rPr>
  </w:style>
  <w:style w:type="character" w:customStyle="1" w:styleId="BodyText2Char">
    <w:name w:val="Body Text 2 Char"/>
    <w:basedOn w:val="DefaultParagraphFont"/>
    <w:link w:val="BodyText2"/>
    <w:uiPriority w:val="99"/>
    <w:semiHidden/>
    <w:rsid w:val="00701A9B"/>
    <w:rPr>
      <w:sz w:val="20"/>
      <w:szCs w:val="20"/>
      <w:lang w:eastAsia="en-US"/>
    </w:rPr>
  </w:style>
  <w:style w:type="paragraph" w:customStyle="1" w:styleId="zreportname">
    <w:name w:val="zreport name"/>
    <w:basedOn w:val="Normal"/>
    <w:uiPriority w:val="99"/>
    <w:rsid w:val="00701A9B"/>
    <w:pPr>
      <w:keepLines/>
      <w:framePr w:w="4536" w:wrap="around" w:vAnchor="page" w:hAnchor="page" w:xAlign="center" w:y="3993"/>
      <w:spacing w:line="440" w:lineRule="exact"/>
      <w:ind w:left="0"/>
      <w:jc w:val="center"/>
    </w:pPr>
    <w:rPr>
      <w:rFonts w:ascii="Times" w:hAnsi="Times"/>
      <w:iCs/>
      <w:noProof/>
      <w:sz w:val="36"/>
    </w:rPr>
  </w:style>
  <w:style w:type="paragraph" w:customStyle="1" w:styleId="zcontents">
    <w:name w:val="zcontents"/>
    <w:basedOn w:val="Normal"/>
    <w:uiPriority w:val="99"/>
    <w:rsid w:val="00701A9B"/>
    <w:pPr>
      <w:spacing w:after="260"/>
      <w:ind w:left="0"/>
    </w:pPr>
    <w:rPr>
      <w:rFonts w:ascii="Times" w:hAnsi="Times"/>
      <w:iCs/>
      <w:sz w:val="32"/>
    </w:rPr>
  </w:style>
  <w:style w:type="paragraph" w:customStyle="1" w:styleId="zcompanyname">
    <w:name w:val="zcompany name"/>
    <w:basedOn w:val="Normal"/>
    <w:uiPriority w:val="99"/>
    <w:rsid w:val="00701A9B"/>
    <w:pPr>
      <w:framePr w:w="4536" w:wrap="around" w:vAnchor="page" w:hAnchor="page" w:xAlign="center" w:y="3993"/>
      <w:spacing w:after="400"/>
      <w:ind w:left="0"/>
      <w:jc w:val="center"/>
    </w:pPr>
    <w:rPr>
      <w:rFonts w:ascii="Times" w:hAnsi="Times"/>
      <w:b/>
      <w:iCs/>
      <w:sz w:val="26"/>
    </w:rPr>
  </w:style>
  <w:style w:type="paragraph" w:customStyle="1" w:styleId="zreportsubtitle">
    <w:name w:val="zreport subtitle"/>
    <w:basedOn w:val="zreportname"/>
    <w:uiPriority w:val="99"/>
    <w:rsid w:val="00701A9B"/>
    <w:pPr>
      <w:framePr w:wrap="around"/>
      <w:spacing w:line="360" w:lineRule="exact"/>
    </w:pPr>
    <w:rPr>
      <w:sz w:val="32"/>
    </w:rPr>
  </w:style>
  <w:style w:type="paragraph" w:customStyle="1" w:styleId="Graphic">
    <w:name w:val="Graphic"/>
    <w:basedOn w:val="Signature"/>
    <w:uiPriority w:val="99"/>
    <w:rsid w:val="00701A9B"/>
    <w:pPr>
      <w:pBdr>
        <w:top w:val="single" w:sz="6" w:space="1" w:color="auto"/>
        <w:left w:val="single" w:sz="6" w:space="1" w:color="auto"/>
        <w:bottom w:val="single" w:sz="6" w:space="1" w:color="auto"/>
        <w:right w:val="single" w:sz="6" w:space="1" w:color="auto"/>
      </w:pBdr>
      <w:jc w:val="center"/>
    </w:pPr>
  </w:style>
  <w:style w:type="paragraph" w:customStyle="1" w:styleId="zreportaddinfo">
    <w:name w:val="zreport addinfo"/>
    <w:basedOn w:val="Normal"/>
    <w:uiPriority w:val="99"/>
    <w:rsid w:val="00701A9B"/>
    <w:pPr>
      <w:framePr w:wrap="around" w:hAnchor="page" w:xAlign="center" w:yAlign="bottom"/>
      <w:spacing w:line="260" w:lineRule="atLeast"/>
      <w:ind w:left="0"/>
      <w:jc w:val="center"/>
    </w:pPr>
    <w:rPr>
      <w:rFonts w:ascii="Times" w:hAnsi="Times"/>
      <w:iCs/>
      <w:noProof/>
      <w:sz w:val="22"/>
    </w:rPr>
  </w:style>
  <w:style w:type="paragraph" w:customStyle="1" w:styleId="zreportaddinfoit">
    <w:name w:val="zreport addinfoit"/>
    <w:basedOn w:val="Normal"/>
    <w:uiPriority w:val="99"/>
    <w:rsid w:val="00701A9B"/>
    <w:pPr>
      <w:framePr w:wrap="around" w:hAnchor="page" w:xAlign="center" w:yAlign="bottom"/>
      <w:spacing w:line="260" w:lineRule="atLeast"/>
      <w:ind w:left="0"/>
      <w:jc w:val="center"/>
    </w:pPr>
    <w:rPr>
      <w:rFonts w:ascii="Times" w:hAnsi="Times"/>
      <w:i/>
      <w:iCs/>
      <w:sz w:val="22"/>
    </w:rPr>
  </w:style>
  <w:style w:type="paragraph" w:customStyle="1" w:styleId="AppendixHeading">
    <w:name w:val="Appendix Heading"/>
    <w:basedOn w:val="Heading1"/>
    <w:next w:val="BodyText"/>
    <w:uiPriority w:val="99"/>
    <w:rsid w:val="00701A9B"/>
    <w:pPr>
      <w:keepLines w:val="0"/>
      <w:pageBreakBefore/>
      <w:shd w:val="clear" w:color="auto" w:fill="auto"/>
      <w:spacing w:before="0" w:after="140" w:line="360" w:lineRule="exact"/>
      <w:ind w:firstLine="0"/>
      <w:outlineLvl w:val="9"/>
    </w:pPr>
    <w:rPr>
      <w:iCs/>
      <w:spacing w:val="0"/>
      <w:kern w:val="0"/>
      <w:sz w:val="32"/>
    </w:rPr>
  </w:style>
  <w:style w:type="paragraph" w:styleId="BodyText3">
    <w:name w:val="Body Text 3"/>
    <w:basedOn w:val="Normal"/>
    <w:link w:val="BodyText3Char"/>
    <w:uiPriority w:val="99"/>
    <w:rsid w:val="00701A9B"/>
    <w:pPr>
      <w:ind w:left="0"/>
      <w:jc w:val="center"/>
    </w:pPr>
    <w:rPr>
      <w:rFonts w:ascii="Times" w:hAnsi="Times"/>
      <w:b/>
      <w:iCs/>
      <w:sz w:val="28"/>
    </w:rPr>
  </w:style>
  <w:style w:type="character" w:customStyle="1" w:styleId="BodyText3Char">
    <w:name w:val="Body Text 3 Char"/>
    <w:basedOn w:val="DefaultParagraphFont"/>
    <w:link w:val="BodyText3"/>
    <w:uiPriority w:val="99"/>
    <w:semiHidden/>
    <w:rsid w:val="00701A9B"/>
    <w:rPr>
      <w:sz w:val="16"/>
      <w:szCs w:val="16"/>
      <w:lang w:eastAsia="en-US"/>
    </w:rPr>
  </w:style>
  <w:style w:type="paragraph" w:styleId="PlainText">
    <w:name w:val="Plain Text"/>
    <w:basedOn w:val="Normal"/>
    <w:link w:val="PlainTextChar"/>
    <w:uiPriority w:val="99"/>
    <w:rsid w:val="00701A9B"/>
    <w:pPr>
      <w:ind w:left="0"/>
    </w:pPr>
    <w:rPr>
      <w:rFonts w:ascii="Courier New" w:hAnsi="Courier New"/>
      <w:iCs/>
      <w:sz w:val="22"/>
    </w:rPr>
  </w:style>
  <w:style w:type="character" w:customStyle="1" w:styleId="PlainTextChar">
    <w:name w:val="Plain Text Char"/>
    <w:basedOn w:val="DefaultParagraphFont"/>
    <w:link w:val="PlainText"/>
    <w:uiPriority w:val="99"/>
    <w:semiHidden/>
    <w:rsid w:val="00701A9B"/>
    <w:rPr>
      <w:rFonts w:ascii="Courier New" w:hAnsi="Courier New" w:cs="Courier New"/>
      <w:sz w:val="20"/>
      <w:szCs w:val="20"/>
      <w:lang w:eastAsia="en-US"/>
    </w:rPr>
  </w:style>
  <w:style w:type="paragraph" w:styleId="BodyTextIndent3">
    <w:name w:val="Body Text Indent 3"/>
    <w:basedOn w:val="Normal"/>
    <w:link w:val="BodyTextIndent3Char"/>
    <w:uiPriority w:val="99"/>
    <w:rsid w:val="00701A9B"/>
    <w:pPr>
      <w:ind w:left="1418"/>
      <w:jc w:val="both"/>
    </w:pPr>
    <w:rPr>
      <w:rFonts w:ascii="Times" w:hAnsi="Times"/>
      <w:iCs/>
      <w:sz w:val="22"/>
    </w:rPr>
  </w:style>
  <w:style w:type="character" w:customStyle="1" w:styleId="BodyTextIndent3Char">
    <w:name w:val="Body Text Indent 3 Char"/>
    <w:basedOn w:val="DefaultParagraphFont"/>
    <w:link w:val="BodyTextIndent3"/>
    <w:uiPriority w:val="99"/>
    <w:semiHidden/>
    <w:rsid w:val="00701A9B"/>
    <w:rPr>
      <w:sz w:val="16"/>
      <w:szCs w:val="16"/>
      <w:lang w:eastAsia="en-US"/>
    </w:rPr>
  </w:style>
  <w:style w:type="paragraph" w:customStyle="1" w:styleId="Verticalgap">
    <w:name w:val="Vertical gap"/>
    <w:basedOn w:val="Normal"/>
    <w:uiPriority w:val="99"/>
    <w:rsid w:val="00701A9B"/>
    <w:pPr>
      <w:spacing w:before="120" w:after="120"/>
      <w:ind w:left="0"/>
    </w:pPr>
    <w:rPr>
      <w:rFonts w:ascii="Times" w:hAnsi="Times"/>
      <w:iCs/>
      <w:sz w:val="22"/>
    </w:rPr>
  </w:style>
  <w:style w:type="paragraph" w:styleId="DocumentMap">
    <w:name w:val="Document Map"/>
    <w:basedOn w:val="Normal"/>
    <w:link w:val="DocumentMapChar"/>
    <w:uiPriority w:val="99"/>
    <w:semiHidden/>
    <w:rsid w:val="00701A9B"/>
    <w:pPr>
      <w:shd w:val="clear" w:color="auto" w:fill="000080"/>
      <w:ind w:left="0"/>
    </w:pPr>
    <w:rPr>
      <w:rFonts w:ascii="Tahoma" w:hAnsi="Tahoma"/>
      <w:iCs/>
      <w:sz w:val="22"/>
    </w:rPr>
  </w:style>
  <w:style w:type="character" w:customStyle="1" w:styleId="DocumentMapChar">
    <w:name w:val="Document Map Char"/>
    <w:basedOn w:val="DefaultParagraphFont"/>
    <w:link w:val="DocumentMap"/>
    <w:uiPriority w:val="99"/>
    <w:semiHidden/>
    <w:rsid w:val="00701A9B"/>
    <w:rPr>
      <w:rFonts w:ascii="Tahoma" w:hAnsi="Tahoma" w:cs="Tahoma"/>
      <w:sz w:val="16"/>
      <w:szCs w:val="16"/>
      <w:lang w:eastAsia="en-US"/>
    </w:rPr>
  </w:style>
  <w:style w:type="character" w:styleId="FollowedHyperlink">
    <w:name w:val="FollowedHyperlink"/>
    <w:basedOn w:val="DefaultParagraphFont"/>
    <w:uiPriority w:val="99"/>
    <w:rsid w:val="00701A9B"/>
    <w:rPr>
      <w:rFonts w:cs="Times New Roman"/>
      <w:color w:val="800080"/>
      <w:u w:val="single"/>
    </w:rPr>
  </w:style>
  <w:style w:type="paragraph" w:customStyle="1" w:styleId="Style1">
    <w:name w:val="Style1"/>
    <w:basedOn w:val="Normal"/>
    <w:uiPriority w:val="99"/>
    <w:rsid w:val="00701A9B"/>
    <w:pPr>
      <w:ind w:left="0"/>
    </w:pPr>
    <w:rPr>
      <w:rFonts w:ascii="Times" w:hAnsi="Times"/>
      <w:iCs/>
      <w:color w:val="0000FF"/>
      <w:sz w:val="24"/>
    </w:rPr>
  </w:style>
  <w:style w:type="character" w:customStyle="1" w:styleId="norm1">
    <w:name w:val="norm1"/>
    <w:basedOn w:val="DefaultParagraphFont"/>
    <w:uiPriority w:val="99"/>
    <w:rsid w:val="00701A9B"/>
    <w:rPr>
      <w:rFonts w:ascii="Times New Roman" w:hAnsi="Times New Roman" w:cs="Times New Roman"/>
      <w:color w:val="000000"/>
    </w:rPr>
  </w:style>
  <w:style w:type="paragraph" w:customStyle="1" w:styleId="tablecontribute">
    <w:name w:val="tablecontribute"/>
    <w:basedOn w:val="Normal"/>
    <w:uiPriority w:val="99"/>
    <w:rsid w:val="00701A9B"/>
    <w:pPr>
      <w:shd w:val="clear" w:color="auto" w:fill="FFFFFF"/>
      <w:spacing w:before="100" w:beforeAutospacing="1" w:after="100" w:afterAutospacing="1"/>
      <w:ind w:left="0"/>
    </w:pPr>
    <w:rPr>
      <w:rFonts w:ascii="Arial" w:hAnsi="Arial" w:cs="Arial"/>
      <w:iCs/>
      <w:color w:val="000000"/>
      <w:sz w:val="12"/>
      <w:szCs w:val="12"/>
    </w:rPr>
  </w:style>
  <w:style w:type="paragraph" w:styleId="TOC6">
    <w:name w:val="toc 6"/>
    <w:basedOn w:val="Normal"/>
    <w:next w:val="Normal"/>
    <w:autoRedefine/>
    <w:uiPriority w:val="99"/>
    <w:semiHidden/>
    <w:rsid w:val="00701A9B"/>
    <w:pPr>
      <w:ind w:left="1000"/>
    </w:pPr>
  </w:style>
  <w:style w:type="paragraph" w:styleId="TOC7">
    <w:name w:val="toc 7"/>
    <w:basedOn w:val="Normal"/>
    <w:next w:val="Normal"/>
    <w:autoRedefine/>
    <w:uiPriority w:val="99"/>
    <w:semiHidden/>
    <w:rsid w:val="00701A9B"/>
    <w:pPr>
      <w:ind w:left="1200"/>
    </w:pPr>
  </w:style>
  <w:style w:type="paragraph" w:styleId="TOC8">
    <w:name w:val="toc 8"/>
    <w:basedOn w:val="Normal"/>
    <w:next w:val="Normal"/>
    <w:autoRedefine/>
    <w:uiPriority w:val="99"/>
    <w:semiHidden/>
    <w:rsid w:val="00701A9B"/>
    <w:pPr>
      <w:ind w:left="1400"/>
    </w:pPr>
  </w:style>
  <w:style w:type="paragraph" w:styleId="TOC9">
    <w:name w:val="toc 9"/>
    <w:basedOn w:val="Normal"/>
    <w:next w:val="Normal"/>
    <w:autoRedefine/>
    <w:uiPriority w:val="99"/>
    <w:semiHidden/>
    <w:rsid w:val="00701A9B"/>
    <w:pPr>
      <w:ind w:left="1600"/>
    </w:pPr>
  </w:style>
  <w:style w:type="character" w:styleId="Strong">
    <w:name w:val="Strong"/>
    <w:basedOn w:val="DefaultParagraphFont"/>
    <w:uiPriority w:val="99"/>
    <w:qFormat/>
    <w:rsid w:val="00701A9B"/>
    <w:rPr>
      <w:rFonts w:cs="Times New Roman"/>
      <w:b/>
      <w:bCs/>
    </w:rPr>
  </w:style>
  <w:style w:type="paragraph" w:customStyle="1" w:styleId="Tablecolumnheading">
    <w:name w:val="Table column heading"/>
    <w:basedOn w:val="Tabletext"/>
    <w:uiPriority w:val="99"/>
    <w:rsid w:val="00701A9B"/>
    <w:pPr>
      <w:ind w:left="113" w:right="0"/>
      <w:jc w:val="center"/>
    </w:pPr>
    <w:rPr>
      <w:lang w:val="en-US"/>
    </w:rPr>
  </w:style>
  <w:style w:type="paragraph" w:customStyle="1" w:styleId="Tabletext">
    <w:name w:val="Table text"/>
    <w:basedOn w:val="Normal"/>
    <w:uiPriority w:val="99"/>
    <w:rsid w:val="00701A9B"/>
    <w:pPr>
      <w:spacing w:line="260" w:lineRule="atLeast"/>
      <w:ind w:left="0" w:right="113"/>
      <w:jc w:val="right"/>
    </w:pPr>
    <w:rPr>
      <w:color w:val="000000"/>
    </w:rPr>
  </w:style>
  <w:style w:type="paragraph" w:customStyle="1" w:styleId="Body">
    <w:name w:val="Body"/>
    <w:uiPriority w:val="99"/>
    <w:rsid w:val="00701A9B"/>
    <w:pPr>
      <w:autoSpaceDE w:val="0"/>
      <w:autoSpaceDN w:val="0"/>
      <w:adjustRightInd w:val="0"/>
      <w:spacing w:after="170" w:line="300" w:lineRule="atLeast"/>
    </w:pPr>
    <w:rPr>
      <w:rFonts w:ascii="HelveticaNeue LightCond" w:hAnsi="HelveticaNeue LightCond"/>
      <w:color w:val="000000"/>
      <w:sz w:val="21"/>
      <w:szCs w:val="21"/>
      <w:lang w:val="en-US" w:eastAsia="en-US"/>
    </w:rPr>
  </w:style>
  <w:style w:type="paragraph" w:customStyle="1" w:styleId="Normal2">
    <w:name w:val="Normal2"/>
    <w:basedOn w:val="Normal"/>
    <w:autoRedefine/>
    <w:uiPriority w:val="99"/>
    <w:rsid w:val="00701A9B"/>
    <w:pPr>
      <w:ind w:left="0"/>
    </w:pPr>
    <w:rPr>
      <w:sz w:val="24"/>
      <w:szCs w:val="24"/>
    </w:rPr>
  </w:style>
  <w:style w:type="paragraph" w:customStyle="1" w:styleId="Footnotes">
    <w:name w:val="Footnotes"/>
    <w:basedOn w:val="Normal"/>
    <w:uiPriority w:val="99"/>
    <w:rsid w:val="00701A9B"/>
    <w:pPr>
      <w:spacing w:before="120" w:line="260" w:lineRule="atLeast"/>
      <w:ind w:left="0"/>
      <w:jc w:val="both"/>
    </w:pPr>
    <w:rPr>
      <w:rFonts w:ascii="Arial" w:hAnsi="Arial"/>
      <w:sz w:val="18"/>
    </w:rPr>
  </w:style>
  <w:style w:type="paragraph" w:styleId="BalloonText">
    <w:name w:val="Balloon Text"/>
    <w:basedOn w:val="Normal"/>
    <w:link w:val="BalloonTextChar"/>
    <w:uiPriority w:val="99"/>
    <w:semiHidden/>
    <w:rsid w:val="00701A9B"/>
    <w:rPr>
      <w:rFonts w:ascii="Tahoma" w:hAnsi="Tahoma" w:cs="Tahoma"/>
      <w:sz w:val="16"/>
      <w:szCs w:val="16"/>
    </w:rPr>
  </w:style>
  <w:style w:type="character" w:customStyle="1" w:styleId="BalloonTextChar">
    <w:name w:val="Balloon Text Char"/>
    <w:basedOn w:val="DefaultParagraphFont"/>
    <w:link w:val="BalloonText"/>
    <w:uiPriority w:val="99"/>
    <w:semiHidden/>
    <w:rsid w:val="00701A9B"/>
    <w:rPr>
      <w:rFonts w:ascii="Tahoma" w:hAnsi="Tahoma" w:cs="Tahoma"/>
      <w:sz w:val="16"/>
      <w:szCs w:val="16"/>
      <w:lang w:eastAsia="en-US"/>
    </w:rPr>
  </w:style>
  <w:style w:type="table" w:styleId="TableGrid">
    <w:name w:val="Table Grid"/>
    <w:basedOn w:val="TableNormal"/>
    <w:uiPriority w:val="99"/>
    <w:rsid w:val="00701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uiPriority w:val="99"/>
    <w:rsid w:val="00701A9B"/>
    <w:pPr>
      <w:tabs>
        <w:tab w:val="left" w:pos="180"/>
      </w:tabs>
      <w:spacing w:before="60" w:line="312" w:lineRule="auto"/>
      <w:ind w:left="0"/>
    </w:pPr>
    <w:rPr>
      <w:rFonts w:ascii="Arial" w:hAnsi="Arial" w:cs="Arial"/>
      <w:sz w:val="16"/>
    </w:rPr>
  </w:style>
  <w:style w:type="paragraph" w:customStyle="1" w:styleId="TableNote">
    <w:name w:val="TableNote"/>
    <w:basedOn w:val="Table"/>
    <w:uiPriority w:val="99"/>
    <w:rsid w:val="00701A9B"/>
    <w:pPr>
      <w:spacing w:before="0"/>
    </w:pPr>
  </w:style>
  <w:style w:type="paragraph" w:customStyle="1" w:styleId="TableCentre">
    <w:name w:val="TableCentre"/>
    <w:basedOn w:val="Table"/>
    <w:uiPriority w:val="99"/>
    <w:rsid w:val="00701A9B"/>
    <w:pPr>
      <w:jc w:val="center"/>
    </w:pPr>
  </w:style>
  <w:style w:type="character" w:customStyle="1" w:styleId="Subscript">
    <w:name w:val="Subscript"/>
    <w:rsid w:val="00701A9B"/>
    <w:rPr>
      <w:color w:val="auto"/>
      <w:sz w:val="20"/>
      <w:vertAlign w:val="subscript"/>
    </w:rPr>
  </w:style>
  <w:style w:type="paragraph" w:customStyle="1" w:styleId="Text">
    <w:name w:val="Text"/>
    <w:link w:val="TextChar"/>
    <w:rsid w:val="00701A9B"/>
    <w:pPr>
      <w:spacing w:before="240" w:line="312" w:lineRule="auto"/>
    </w:pPr>
    <w:rPr>
      <w:lang w:eastAsia="en-US"/>
    </w:rPr>
  </w:style>
  <w:style w:type="paragraph" w:customStyle="1" w:styleId="Tablebullets">
    <w:name w:val="Table_bullets"/>
    <w:basedOn w:val="Table"/>
    <w:uiPriority w:val="99"/>
    <w:rsid w:val="00F752FE"/>
    <w:pPr>
      <w:numPr>
        <w:numId w:val="8"/>
      </w:numPr>
      <w:tabs>
        <w:tab w:val="clear" w:pos="720"/>
      </w:tabs>
      <w:spacing w:before="0"/>
      <w:ind w:left="181" w:hanging="181"/>
    </w:pPr>
  </w:style>
  <w:style w:type="paragraph" w:customStyle="1" w:styleId="TableText0">
    <w:name w:val="Table Text"/>
    <w:basedOn w:val="Normal"/>
    <w:uiPriority w:val="99"/>
    <w:rsid w:val="00701A9B"/>
    <w:pPr>
      <w:ind w:left="0"/>
    </w:pPr>
    <w:rPr>
      <w:sz w:val="16"/>
      <w:szCs w:val="16"/>
      <w:lang w:val="en-GB" w:eastAsia="zh-CN"/>
    </w:rPr>
  </w:style>
  <w:style w:type="paragraph" w:customStyle="1" w:styleId="Equation">
    <w:name w:val="Equation"/>
    <w:basedOn w:val="Text"/>
    <w:link w:val="EquationChar"/>
    <w:uiPriority w:val="99"/>
    <w:rsid w:val="00701A9B"/>
    <w:pPr>
      <w:tabs>
        <w:tab w:val="right" w:leader="dot" w:pos="9000"/>
      </w:tabs>
    </w:pPr>
    <w:rPr>
      <w:rFonts w:ascii="Arial" w:hAnsi="Arial" w:cs="Arial"/>
    </w:rPr>
  </w:style>
  <w:style w:type="paragraph" w:customStyle="1" w:styleId="EquationNote">
    <w:name w:val="EquationNote"/>
    <w:basedOn w:val="Equation"/>
    <w:link w:val="EquationNoteChar"/>
    <w:uiPriority w:val="99"/>
    <w:rsid w:val="00701A9B"/>
    <w:pPr>
      <w:tabs>
        <w:tab w:val="right" w:pos="9000"/>
      </w:tabs>
      <w:spacing w:before="60" w:line="240" w:lineRule="auto"/>
      <w:ind w:left="360" w:hanging="360"/>
    </w:pPr>
    <w:rPr>
      <w:iCs/>
      <w:sz w:val="18"/>
    </w:rPr>
  </w:style>
  <w:style w:type="paragraph" w:styleId="CommentSubject">
    <w:name w:val="annotation subject"/>
    <w:basedOn w:val="CommentText"/>
    <w:next w:val="CommentText"/>
    <w:link w:val="CommentSubjectChar"/>
    <w:uiPriority w:val="99"/>
    <w:semiHidden/>
    <w:rsid w:val="00701A9B"/>
    <w:pPr>
      <w:keepLines w:val="0"/>
      <w:spacing w:line="240" w:lineRule="auto"/>
    </w:pPr>
    <w:rPr>
      <w:b/>
      <w:bCs/>
      <w:sz w:val="20"/>
    </w:rPr>
  </w:style>
  <w:style w:type="character" w:customStyle="1" w:styleId="CommentSubjectChar">
    <w:name w:val="Comment Subject Char"/>
    <w:basedOn w:val="CommentTextChar"/>
    <w:link w:val="CommentSubject"/>
    <w:uiPriority w:val="99"/>
    <w:semiHidden/>
    <w:rsid w:val="00701A9B"/>
    <w:rPr>
      <w:b/>
      <w:bCs/>
      <w:sz w:val="20"/>
      <w:szCs w:val="20"/>
      <w:lang w:eastAsia="en-US"/>
    </w:rPr>
  </w:style>
  <w:style w:type="paragraph" w:customStyle="1" w:styleId="definition">
    <w:name w:val="definition"/>
    <w:basedOn w:val="Normal"/>
    <w:rsid w:val="00701A9B"/>
    <w:pPr>
      <w:spacing w:before="80" w:line="260" w:lineRule="exact"/>
      <w:ind w:left="964"/>
      <w:jc w:val="both"/>
    </w:pPr>
    <w:rPr>
      <w:sz w:val="24"/>
      <w:szCs w:val="24"/>
      <w:lang w:eastAsia="en-AU"/>
    </w:rPr>
  </w:style>
  <w:style w:type="paragraph" w:customStyle="1" w:styleId="Formula">
    <w:name w:val="Formula"/>
    <w:basedOn w:val="Normal"/>
    <w:next w:val="Normal"/>
    <w:rsid w:val="00701A9B"/>
    <w:pPr>
      <w:spacing w:before="180" w:after="180"/>
      <w:ind w:left="0"/>
      <w:jc w:val="center"/>
    </w:pPr>
    <w:rPr>
      <w:sz w:val="24"/>
      <w:szCs w:val="24"/>
      <w:lang w:eastAsia="en-AU"/>
    </w:rPr>
  </w:style>
  <w:style w:type="paragraph" w:customStyle="1" w:styleId="HR">
    <w:name w:val="HR"/>
    <w:aliases w:val="Regulation Heading"/>
    <w:basedOn w:val="Normal"/>
    <w:next w:val="R1"/>
    <w:uiPriority w:val="99"/>
    <w:rsid w:val="00701A9B"/>
    <w:pPr>
      <w:keepNext/>
      <w:keepLines/>
      <w:spacing w:before="360"/>
      <w:ind w:left="964" w:hanging="964"/>
    </w:pPr>
    <w:rPr>
      <w:rFonts w:ascii="Arial" w:hAnsi="Arial"/>
      <w:b/>
      <w:sz w:val="24"/>
      <w:szCs w:val="24"/>
      <w:lang w:eastAsia="en-AU"/>
    </w:rPr>
  </w:style>
  <w:style w:type="paragraph" w:customStyle="1" w:styleId="P1">
    <w:name w:val="P1"/>
    <w:aliases w:val="(a)"/>
    <w:basedOn w:val="Normal"/>
    <w:link w:val="P1Char"/>
    <w:rsid w:val="00701A9B"/>
    <w:pPr>
      <w:keepLines/>
      <w:tabs>
        <w:tab w:val="right" w:pos="1191"/>
      </w:tabs>
      <w:spacing w:before="60" w:line="260" w:lineRule="exact"/>
      <w:ind w:left="1418" w:hanging="1418"/>
      <w:jc w:val="both"/>
    </w:pPr>
    <w:rPr>
      <w:sz w:val="24"/>
      <w:szCs w:val="24"/>
      <w:lang w:eastAsia="en-AU"/>
    </w:rPr>
  </w:style>
  <w:style w:type="paragraph" w:customStyle="1" w:styleId="R1">
    <w:name w:val="R1"/>
    <w:aliases w:val="1. or 1.(1)"/>
    <w:basedOn w:val="Normal"/>
    <w:next w:val="Normal"/>
    <w:uiPriority w:val="99"/>
    <w:rsid w:val="00701A9B"/>
    <w:pPr>
      <w:keepLines/>
      <w:tabs>
        <w:tab w:val="right" w:pos="794"/>
      </w:tabs>
      <w:spacing w:before="120" w:line="260" w:lineRule="exact"/>
      <w:ind w:left="964" w:hanging="964"/>
      <w:jc w:val="both"/>
    </w:pPr>
    <w:rPr>
      <w:sz w:val="24"/>
      <w:szCs w:val="24"/>
      <w:lang w:eastAsia="en-AU"/>
    </w:rPr>
  </w:style>
  <w:style w:type="paragraph" w:customStyle="1" w:styleId="Rc">
    <w:name w:val="Rc"/>
    <w:aliases w:val="Rn continued"/>
    <w:basedOn w:val="Normal"/>
    <w:next w:val="Normal"/>
    <w:uiPriority w:val="99"/>
    <w:rsid w:val="00701A9B"/>
    <w:pPr>
      <w:spacing w:before="60" w:line="260" w:lineRule="exact"/>
      <w:ind w:left="964"/>
      <w:jc w:val="both"/>
    </w:pPr>
    <w:rPr>
      <w:sz w:val="24"/>
      <w:szCs w:val="24"/>
      <w:lang w:eastAsia="en-AU"/>
    </w:rPr>
  </w:style>
  <w:style w:type="paragraph" w:customStyle="1" w:styleId="Note">
    <w:name w:val="Note"/>
    <w:basedOn w:val="Normal"/>
    <w:uiPriority w:val="99"/>
    <w:rsid w:val="00701A9B"/>
    <w:pPr>
      <w:keepLines/>
      <w:spacing w:before="120" w:line="220" w:lineRule="exact"/>
      <w:ind w:left="964"/>
      <w:jc w:val="both"/>
    </w:pPr>
    <w:rPr>
      <w:szCs w:val="24"/>
      <w:lang w:eastAsia="en-AU"/>
    </w:rPr>
  </w:style>
  <w:style w:type="paragraph" w:customStyle="1" w:styleId="Notepara">
    <w:name w:val="Note para"/>
    <w:basedOn w:val="Normal"/>
    <w:uiPriority w:val="99"/>
    <w:rsid w:val="00701A9B"/>
    <w:pPr>
      <w:keepLines/>
      <w:spacing w:before="60" w:line="220" w:lineRule="exact"/>
      <w:ind w:left="1304" w:hanging="340"/>
      <w:jc w:val="both"/>
    </w:pPr>
    <w:rPr>
      <w:szCs w:val="24"/>
      <w:lang w:eastAsia="en-AU"/>
    </w:rPr>
  </w:style>
  <w:style w:type="paragraph" w:customStyle="1" w:styleId="TableP1a">
    <w:name w:val="TableP1(a)"/>
    <w:basedOn w:val="Normal"/>
    <w:rsid w:val="00701A9B"/>
    <w:pPr>
      <w:tabs>
        <w:tab w:val="right" w:pos="408"/>
      </w:tabs>
      <w:spacing w:after="60" w:line="240" w:lineRule="exact"/>
      <w:ind w:left="533" w:hanging="533"/>
    </w:pPr>
    <w:rPr>
      <w:sz w:val="22"/>
      <w:szCs w:val="24"/>
      <w:lang w:eastAsia="en-AU"/>
    </w:rPr>
  </w:style>
  <w:style w:type="paragraph" w:customStyle="1" w:styleId="TableText1">
    <w:name w:val="TableText"/>
    <w:basedOn w:val="Normal"/>
    <w:rsid w:val="00701A9B"/>
    <w:pPr>
      <w:spacing w:before="60" w:after="60" w:line="240" w:lineRule="exact"/>
      <w:ind w:left="0"/>
    </w:pPr>
    <w:rPr>
      <w:sz w:val="22"/>
      <w:szCs w:val="24"/>
      <w:lang w:eastAsia="en-AU"/>
    </w:rPr>
  </w:style>
  <w:style w:type="character" w:customStyle="1" w:styleId="CharDivText">
    <w:name w:val="CharDivText"/>
    <w:basedOn w:val="DefaultParagraphFont"/>
    <w:uiPriority w:val="99"/>
    <w:rsid w:val="00701A9B"/>
    <w:rPr>
      <w:rFonts w:cs="Times New Roman"/>
    </w:rPr>
  </w:style>
  <w:style w:type="paragraph" w:customStyle="1" w:styleId="R2">
    <w:name w:val="R2"/>
    <w:aliases w:val="(2)"/>
    <w:basedOn w:val="Normal"/>
    <w:uiPriority w:val="99"/>
    <w:rsid w:val="00701A9B"/>
    <w:pPr>
      <w:keepLines/>
      <w:tabs>
        <w:tab w:val="right" w:pos="794"/>
      </w:tabs>
      <w:spacing w:before="180" w:line="260" w:lineRule="exact"/>
      <w:ind w:left="964" w:hanging="964"/>
      <w:jc w:val="both"/>
    </w:pPr>
    <w:rPr>
      <w:sz w:val="24"/>
      <w:szCs w:val="24"/>
      <w:lang w:eastAsia="en-AU"/>
    </w:rPr>
  </w:style>
  <w:style w:type="character" w:customStyle="1" w:styleId="CharPartText">
    <w:name w:val="CharPartText"/>
    <w:basedOn w:val="DefaultParagraphFont"/>
    <w:uiPriority w:val="99"/>
    <w:rsid w:val="00701A9B"/>
    <w:rPr>
      <w:rFonts w:cs="Times New Roman"/>
    </w:rPr>
  </w:style>
  <w:style w:type="paragraph" w:customStyle="1" w:styleId="TableColHead">
    <w:name w:val="TableColHead"/>
    <w:basedOn w:val="Normal"/>
    <w:rsid w:val="00701A9B"/>
    <w:pPr>
      <w:keepNext/>
      <w:spacing w:before="120" w:after="60" w:line="200" w:lineRule="exact"/>
      <w:ind w:left="0"/>
    </w:pPr>
    <w:rPr>
      <w:rFonts w:ascii="Arial" w:hAnsi="Arial"/>
      <w:b/>
      <w:sz w:val="18"/>
      <w:szCs w:val="24"/>
      <w:lang w:eastAsia="en-AU"/>
    </w:rPr>
  </w:style>
  <w:style w:type="paragraph" w:customStyle="1" w:styleId="TableHeading3">
    <w:name w:val="Table: Heading 3"/>
    <w:basedOn w:val="Normal"/>
    <w:next w:val="Normal"/>
    <w:uiPriority w:val="99"/>
    <w:rsid w:val="00701A9B"/>
    <w:pPr>
      <w:keepNext/>
      <w:keepLines/>
      <w:spacing w:before="60" w:line="240" w:lineRule="atLeast"/>
      <w:ind w:left="0"/>
    </w:pPr>
    <w:rPr>
      <w:rFonts w:ascii="Arial" w:hAnsi="Arial" w:cs="Arial"/>
      <w:b/>
      <w:i/>
      <w:szCs w:val="24"/>
      <w:lang w:eastAsia="en-AU"/>
    </w:rPr>
  </w:style>
  <w:style w:type="character" w:customStyle="1" w:styleId="CharSectno">
    <w:name w:val="CharSectno"/>
    <w:basedOn w:val="DefaultParagraphFont"/>
    <w:rsid w:val="00701A9B"/>
    <w:rPr>
      <w:rFonts w:cs="Times New Roman"/>
    </w:rPr>
  </w:style>
  <w:style w:type="paragraph" w:customStyle="1" w:styleId="ZR1">
    <w:name w:val="ZR1"/>
    <w:basedOn w:val="R1"/>
    <w:rsid w:val="00701A9B"/>
    <w:pPr>
      <w:keepNext/>
    </w:pPr>
  </w:style>
  <w:style w:type="paragraph" w:customStyle="1" w:styleId="HD">
    <w:name w:val="HD"/>
    <w:aliases w:val="Division Heading"/>
    <w:basedOn w:val="Normal"/>
    <w:next w:val="HR"/>
    <w:uiPriority w:val="99"/>
    <w:rsid w:val="00701A9B"/>
    <w:pPr>
      <w:keepNext/>
      <w:keepLines/>
      <w:spacing w:before="360"/>
      <w:ind w:left="2410" w:hanging="2410"/>
    </w:pPr>
    <w:rPr>
      <w:rFonts w:ascii="Arial" w:hAnsi="Arial"/>
      <w:b/>
      <w:sz w:val="28"/>
      <w:szCs w:val="24"/>
      <w:lang w:eastAsia="en-AU"/>
    </w:rPr>
  </w:style>
  <w:style w:type="paragraph" w:customStyle="1" w:styleId="HP">
    <w:name w:val="HP"/>
    <w:aliases w:val="Part Heading"/>
    <w:basedOn w:val="Normal"/>
    <w:next w:val="HD"/>
    <w:uiPriority w:val="99"/>
    <w:rsid w:val="00701A9B"/>
    <w:pPr>
      <w:keepNext/>
      <w:keepLines/>
      <w:spacing w:before="360"/>
      <w:ind w:left="2410" w:hanging="2410"/>
    </w:pPr>
    <w:rPr>
      <w:rFonts w:ascii="Arial" w:hAnsi="Arial"/>
      <w:b/>
      <w:sz w:val="32"/>
      <w:szCs w:val="24"/>
      <w:lang w:eastAsia="en-AU"/>
    </w:rPr>
  </w:style>
  <w:style w:type="paragraph" w:customStyle="1" w:styleId="P2">
    <w:name w:val="P2"/>
    <w:aliases w:val="(i)"/>
    <w:basedOn w:val="Normal"/>
    <w:rsid w:val="00701A9B"/>
    <w:pPr>
      <w:keepLines/>
      <w:tabs>
        <w:tab w:val="right" w:pos="1758"/>
        <w:tab w:val="left" w:pos="2155"/>
      </w:tabs>
      <w:spacing w:before="60" w:line="260" w:lineRule="exact"/>
      <w:ind w:left="1985" w:hanging="1985"/>
      <w:jc w:val="both"/>
    </w:pPr>
    <w:rPr>
      <w:sz w:val="24"/>
      <w:szCs w:val="24"/>
      <w:lang w:eastAsia="en-AU"/>
    </w:rPr>
  </w:style>
  <w:style w:type="paragraph" w:customStyle="1" w:styleId="ZR2">
    <w:name w:val="ZR2"/>
    <w:basedOn w:val="R2"/>
    <w:uiPriority w:val="99"/>
    <w:rsid w:val="00701A9B"/>
    <w:pPr>
      <w:keepNext/>
    </w:pPr>
  </w:style>
  <w:style w:type="paragraph" w:customStyle="1" w:styleId="HS">
    <w:name w:val="HS"/>
    <w:aliases w:val="Subdiv Heading"/>
    <w:basedOn w:val="Normal"/>
    <w:next w:val="HR"/>
    <w:uiPriority w:val="99"/>
    <w:rsid w:val="00701A9B"/>
    <w:pPr>
      <w:keepNext/>
      <w:keepLines/>
      <w:spacing w:before="360"/>
      <w:ind w:left="2410" w:hanging="2410"/>
    </w:pPr>
    <w:rPr>
      <w:rFonts w:ascii="Arial" w:hAnsi="Arial"/>
      <w:b/>
      <w:sz w:val="24"/>
      <w:szCs w:val="24"/>
      <w:lang w:eastAsia="en-AU"/>
    </w:rPr>
  </w:style>
  <w:style w:type="paragraph" w:customStyle="1" w:styleId="Zdefinition">
    <w:name w:val="Zdefinition"/>
    <w:basedOn w:val="definition"/>
    <w:rsid w:val="00701A9B"/>
    <w:pPr>
      <w:keepNext/>
    </w:pPr>
  </w:style>
  <w:style w:type="paragraph" w:customStyle="1" w:styleId="ZRcN">
    <w:name w:val="ZRcN"/>
    <w:basedOn w:val="Rc"/>
    <w:rsid w:val="00701A9B"/>
    <w:pPr>
      <w:keepNext/>
    </w:pPr>
  </w:style>
  <w:style w:type="paragraph" w:customStyle="1" w:styleId="HeaderBoldOdd">
    <w:name w:val="HeaderBoldOdd"/>
    <w:basedOn w:val="Normal"/>
    <w:uiPriority w:val="99"/>
    <w:rsid w:val="00701A9B"/>
    <w:pPr>
      <w:spacing w:before="120" w:after="60"/>
      <w:ind w:left="0"/>
      <w:jc w:val="right"/>
    </w:pPr>
    <w:rPr>
      <w:rFonts w:ascii="Arial" w:hAnsi="Arial"/>
      <w:b/>
      <w:szCs w:val="24"/>
      <w:lang w:eastAsia="en-AU"/>
    </w:rPr>
  </w:style>
  <w:style w:type="paragraph" w:styleId="HTMLPreformatted">
    <w:name w:val="HTML Preformatted"/>
    <w:basedOn w:val="Normal"/>
    <w:link w:val="HTMLPreformattedChar"/>
    <w:uiPriority w:val="99"/>
    <w:rsid w:val="00701A9B"/>
    <w:pPr>
      <w:ind w:left="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semiHidden/>
    <w:rsid w:val="00701A9B"/>
    <w:rPr>
      <w:rFonts w:ascii="Courier New" w:hAnsi="Courier New" w:cs="Courier New"/>
      <w:sz w:val="20"/>
      <w:szCs w:val="20"/>
      <w:lang w:eastAsia="en-US"/>
    </w:rPr>
  </w:style>
  <w:style w:type="character" w:styleId="HTMLVariable">
    <w:name w:val="HTML Variable"/>
    <w:basedOn w:val="DefaultParagraphFont"/>
    <w:uiPriority w:val="99"/>
    <w:rsid w:val="00701A9B"/>
    <w:rPr>
      <w:rFonts w:cs="Times New Roman"/>
      <w:i/>
      <w:iCs/>
    </w:rPr>
  </w:style>
  <w:style w:type="character" w:customStyle="1" w:styleId="CharSchPTNo">
    <w:name w:val="CharSchPTNo"/>
    <w:basedOn w:val="DefaultParagraphFont"/>
    <w:uiPriority w:val="99"/>
    <w:rsid w:val="00701A9B"/>
    <w:rPr>
      <w:rFonts w:cs="Times New Roman"/>
    </w:rPr>
  </w:style>
  <w:style w:type="character" w:customStyle="1" w:styleId="CharSchPTText">
    <w:name w:val="CharSchPTText"/>
    <w:basedOn w:val="DefaultParagraphFont"/>
    <w:uiPriority w:val="99"/>
    <w:rsid w:val="00701A9B"/>
    <w:rPr>
      <w:rFonts w:cs="Times New Roman"/>
    </w:rPr>
  </w:style>
  <w:style w:type="paragraph" w:customStyle="1" w:styleId="Schedulepart">
    <w:name w:val="Schedule part"/>
    <w:basedOn w:val="Normal"/>
    <w:uiPriority w:val="99"/>
    <w:rsid w:val="00701A9B"/>
    <w:pPr>
      <w:keepNext/>
      <w:keepLines/>
      <w:spacing w:before="360"/>
      <w:ind w:left="1559" w:hanging="1559"/>
    </w:pPr>
    <w:rPr>
      <w:rFonts w:ascii="Arial" w:hAnsi="Arial"/>
      <w:b/>
      <w:sz w:val="28"/>
      <w:szCs w:val="24"/>
      <w:lang w:eastAsia="en-AU"/>
    </w:rPr>
  </w:style>
  <w:style w:type="paragraph" w:customStyle="1" w:styleId="Heading1Like">
    <w:name w:val="Heading1Like"/>
    <w:basedOn w:val="Heading1"/>
    <w:uiPriority w:val="99"/>
    <w:rsid w:val="00701A9B"/>
    <w:pPr>
      <w:keepLines w:val="0"/>
      <w:numPr>
        <w:numId w:val="0"/>
      </w:numPr>
      <w:shd w:val="clear" w:color="auto" w:fill="auto"/>
      <w:spacing w:before="0" w:after="480" w:line="240" w:lineRule="auto"/>
      <w:outlineLvl w:val="9"/>
    </w:pPr>
    <w:rPr>
      <w:rFonts w:ascii="Arial Bold" w:hAnsi="Arial Bold" w:cs="Arial"/>
      <w:bCs/>
      <w:caps/>
      <w:spacing w:val="0"/>
      <w:kern w:val="32"/>
      <w:sz w:val="40"/>
      <w:szCs w:val="32"/>
      <w:lang w:val="en-GB"/>
    </w:rPr>
  </w:style>
  <w:style w:type="paragraph" w:styleId="BodyTextFirstIndent">
    <w:name w:val="Body Text First Indent"/>
    <w:basedOn w:val="BodyText"/>
    <w:link w:val="BodyTextFirstIndentChar"/>
    <w:uiPriority w:val="99"/>
    <w:rsid w:val="00701A9B"/>
    <w:pPr>
      <w:spacing w:after="120" w:line="240" w:lineRule="auto"/>
      <w:ind w:left="0" w:firstLine="210"/>
    </w:pPr>
    <w:rPr>
      <w:sz w:val="24"/>
      <w:szCs w:val="24"/>
      <w:lang w:eastAsia="en-AU"/>
    </w:rPr>
  </w:style>
  <w:style w:type="character" w:customStyle="1" w:styleId="BodyTextFirstIndentChar">
    <w:name w:val="Body Text First Indent Char"/>
    <w:basedOn w:val="BodyTextChar"/>
    <w:link w:val="BodyTextFirstIndent"/>
    <w:uiPriority w:val="99"/>
    <w:semiHidden/>
    <w:rsid w:val="00701A9B"/>
    <w:rPr>
      <w:sz w:val="20"/>
      <w:szCs w:val="20"/>
      <w:lang w:eastAsia="en-US"/>
    </w:rPr>
  </w:style>
  <w:style w:type="character" w:customStyle="1" w:styleId="CharDivNo">
    <w:name w:val="CharDivNo"/>
    <w:basedOn w:val="DefaultParagraphFont"/>
    <w:uiPriority w:val="99"/>
    <w:rsid w:val="00701A9B"/>
    <w:rPr>
      <w:rFonts w:cs="Times New Roman"/>
    </w:rPr>
  </w:style>
  <w:style w:type="character" w:customStyle="1" w:styleId="TextChar">
    <w:name w:val="Text Char"/>
    <w:basedOn w:val="DefaultParagraphFont"/>
    <w:link w:val="Text"/>
    <w:locked/>
    <w:rsid w:val="00701A9B"/>
    <w:rPr>
      <w:lang w:val="en-AU" w:eastAsia="en-US" w:bidi="ar-SA"/>
    </w:rPr>
  </w:style>
  <w:style w:type="character" w:customStyle="1" w:styleId="EquationChar">
    <w:name w:val="Equation Char"/>
    <w:basedOn w:val="TextChar"/>
    <w:link w:val="Equation"/>
    <w:uiPriority w:val="99"/>
    <w:locked/>
    <w:rsid w:val="00701A9B"/>
    <w:rPr>
      <w:rFonts w:ascii="Arial" w:hAnsi="Arial" w:cs="Arial"/>
      <w:lang w:val="en-AU" w:eastAsia="en-US" w:bidi="ar-SA"/>
    </w:rPr>
  </w:style>
  <w:style w:type="character" w:customStyle="1" w:styleId="EquationNoteChar">
    <w:name w:val="EquationNote Char"/>
    <w:basedOn w:val="EquationChar"/>
    <w:link w:val="EquationNote"/>
    <w:uiPriority w:val="99"/>
    <w:locked/>
    <w:rsid w:val="00701A9B"/>
    <w:rPr>
      <w:rFonts w:ascii="Arial" w:hAnsi="Arial" w:cs="Arial"/>
      <w:iCs/>
      <w:sz w:val="18"/>
      <w:lang w:val="en-AU" w:eastAsia="en-US" w:bidi="ar-SA"/>
    </w:rPr>
  </w:style>
  <w:style w:type="character" w:customStyle="1" w:styleId="CharAmSchText">
    <w:name w:val="CharAmSchText"/>
    <w:basedOn w:val="DefaultParagraphFont"/>
    <w:uiPriority w:val="99"/>
    <w:rsid w:val="00701A9B"/>
    <w:rPr>
      <w:rFonts w:cs="Times New Roman"/>
    </w:rPr>
  </w:style>
  <w:style w:type="paragraph" w:customStyle="1" w:styleId="NotesSectionBreak">
    <w:name w:val="NotesSectionBreak"/>
    <w:basedOn w:val="Normal"/>
    <w:next w:val="Normal"/>
    <w:uiPriority w:val="99"/>
    <w:rsid w:val="00701A9B"/>
    <w:pPr>
      <w:ind w:left="0"/>
    </w:pPr>
    <w:rPr>
      <w:sz w:val="24"/>
      <w:szCs w:val="24"/>
      <w:lang w:eastAsia="en-AU"/>
    </w:rPr>
  </w:style>
  <w:style w:type="paragraph" w:customStyle="1" w:styleId="OutlineNumbered1">
    <w:name w:val="Outline Numbered 1"/>
    <w:basedOn w:val="Normal"/>
    <w:uiPriority w:val="99"/>
    <w:rsid w:val="00701A9B"/>
    <w:pPr>
      <w:numPr>
        <w:numId w:val="14"/>
      </w:numPr>
      <w:tabs>
        <w:tab w:val="left" w:pos="0"/>
        <w:tab w:val="left" w:pos="2250"/>
      </w:tabs>
      <w:spacing w:before="120" w:line="312" w:lineRule="auto"/>
      <w:ind w:right="-1758"/>
      <w:jc w:val="both"/>
    </w:pPr>
    <w:rPr>
      <w:rFonts w:ascii="Arial" w:hAnsi="Arial" w:cs="Arial"/>
    </w:rPr>
  </w:style>
  <w:style w:type="paragraph" w:customStyle="1" w:styleId="OutlineNumbered2">
    <w:name w:val="Outline Numbered 2"/>
    <w:basedOn w:val="Normal"/>
    <w:uiPriority w:val="99"/>
    <w:rsid w:val="00701A9B"/>
    <w:pPr>
      <w:numPr>
        <w:ilvl w:val="1"/>
        <w:numId w:val="14"/>
      </w:numPr>
      <w:tabs>
        <w:tab w:val="left" w:pos="0"/>
        <w:tab w:val="left" w:pos="2250"/>
      </w:tabs>
      <w:spacing w:before="120" w:line="312" w:lineRule="auto"/>
      <w:ind w:right="-1758"/>
      <w:jc w:val="both"/>
    </w:pPr>
    <w:rPr>
      <w:rFonts w:ascii="Arial" w:hAnsi="Arial" w:cs="Arial"/>
    </w:rPr>
  </w:style>
  <w:style w:type="paragraph" w:customStyle="1" w:styleId="OutlineNumbered3">
    <w:name w:val="Outline Numbered 3"/>
    <w:basedOn w:val="Normal"/>
    <w:uiPriority w:val="99"/>
    <w:rsid w:val="00701A9B"/>
    <w:pPr>
      <w:numPr>
        <w:ilvl w:val="2"/>
        <w:numId w:val="14"/>
      </w:numPr>
      <w:tabs>
        <w:tab w:val="left" w:pos="0"/>
        <w:tab w:val="left" w:pos="2250"/>
      </w:tabs>
      <w:spacing w:before="120" w:line="312" w:lineRule="auto"/>
      <w:ind w:right="-1758"/>
      <w:jc w:val="both"/>
    </w:pPr>
    <w:rPr>
      <w:rFonts w:ascii="Arial" w:hAnsi="Arial" w:cs="Arial"/>
    </w:rPr>
  </w:style>
  <w:style w:type="paragraph" w:customStyle="1" w:styleId="Bullet">
    <w:name w:val="Bullet"/>
    <w:basedOn w:val="Normal"/>
    <w:link w:val="BulletChar"/>
    <w:rsid w:val="00FE7726"/>
    <w:pPr>
      <w:numPr>
        <w:numId w:val="15"/>
      </w:numPr>
      <w:spacing w:before="120" w:line="312" w:lineRule="auto"/>
    </w:pPr>
    <w:rPr>
      <w:rFonts w:ascii="Arial" w:hAnsi="Arial" w:cs="Arial"/>
    </w:rPr>
  </w:style>
  <w:style w:type="character" w:customStyle="1" w:styleId="BulletChar">
    <w:name w:val="Bullet Char"/>
    <w:basedOn w:val="BodyTextChar"/>
    <w:link w:val="Bullet"/>
    <w:rsid w:val="00FE7726"/>
    <w:rPr>
      <w:rFonts w:ascii="Arial" w:hAnsi="Arial" w:cs="Arial"/>
      <w:sz w:val="20"/>
      <w:szCs w:val="20"/>
      <w:lang w:eastAsia="en-US"/>
    </w:rPr>
  </w:style>
  <w:style w:type="paragraph" w:customStyle="1" w:styleId="Dash">
    <w:name w:val="Dash"/>
    <w:basedOn w:val="Normal"/>
    <w:link w:val="DashChar"/>
    <w:rsid w:val="00FE7726"/>
    <w:pPr>
      <w:numPr>
        <w:ilvl w:val="1"/>
        <w:numId w:val="15"/>
      </w:numPr>
      <w:spacing w:before="120" w:line="312" w:lineRule="auto"/>
    </w:pPr>
    <w:rPr>
      <w:rFonts w:ascii="Arial" w:hAnsi="Arial" w:cs="Arial"/>
    </w:rPr>
  </w:style>
  <w:style w:type="character" w:customStyle="1" w:styleId="DashChar">
    <w:name w:val="Dash Char"/>
    <w:basedOn w:val="BodyTextChar"/>
    <w:link w:val="Dash"/>
    <w:rsid w:val="00FE7726"/>
    <w:rPr>
      <w:rFonts w:ascii="Arial" w:hAnsi="Arial" w:cs="Arial"/>
      <w:sz w:val="20"/>
      <w:szCs w:val="20"/>
      <w:lang w:eastAsia="en-US"/>
    </w:rPr>
  </w:style>
  <w:style w:type="paragraph" w:customStyle="1" w:styleId="DoubleDot">
    <w:name w:val="Double Dot"/>
    <w:basedOn w:val="Normal"/>
    <w:link w:val="DoubleDotChar"/>
    <w:rsid w:val="00FE7726"/>
    <w:pPr>
      <w:numPr>
        <w:ilvl w:val="2"/>
        <w:numId w:val="15"/>
      </w:numPr>
      <w:spacing w:before="120" w:line="312" w:lineRule="auto"/>
    </w:pPr>
    <w:rPr>
      <w:rFonts w:ascii="Arial" w:hAnsi="Arial" w:cs="Arial"/>
    </w:rPr>
  </w:style>
  <w:style w:type="character" w:customStyle="1" w:styleId="DoubleDotChar">
    <w:name w:val="Double Dot Char"/>
    <w:basedOn w:val="BodyTextChar"/>
    <w:link w:val="DoubleDot"/>
    <w:rsid w:val="00FE7726"/>
    <w:rPr>
      <w:rFonts w:ascii="Arial" w:hAnsi="Arial" w:cs="Arial"/>
      <w:sz w:val="20"/>
      <w:szCs w:val="20"/>
      <w:lang w:eastAsia="en-US"/>
    </w:rPr>
  </w:style>
  <w:style w:type="paragraph" w:customStyle="1" w:styleId="Default">
    <w:name w:val="Default"/>
    <w:rsid w:val="00C07CA1"/>
    <w:pPr>
      <w:widowControl w:val="0"/>
      <w:autoSpaceDE w:val="0"/>
      <w:autoSpaceDN w:val="0"/>
      <w:adjustRightInd w:val="0"/>
    </w:pPr>
    <w:rPr>
      <w:rFonts w:ascii="TimesNewRomanPS" w:hAnsi="TimesNewRomanPS" w:cs="TimesNewRomanPS"/>
      <w:color w:val="000000"/>
      <w:sz w:val="24"/>
      <w:szCs w:val="24"/>
    </w:rPr>
  </w:style>
  <w:style w:type="paragraph" w:customStyle="1" w:styleId="ZP1">
    <w:name w:val="ZP1"/>
    <w:basedOn w:val="P1"/>
    <w:rsid w:val="00603DFF"/>
    <w:pPr>
      <w:keepNext/>
    </w:pPr>
  </w:style>
  <w:style w:type="character" w:customStyle="1" w:styleId="P1Char">
    <w:name w:val="P1 Char"/>
    <w:aliases w:val="(a) Char"/>
    <w:basedOn w:val="DefaultParagraphFont"/>
    <w:link w:val="P1"/>
    <w:rsid w:val="00B04F66"/>
    <w:rPr>
      <w:sz w:val="24"/>
      <w:szCs w:val="24"/>
    </w:rPr>
  </w:style>
  <w:style w:type="paragraph" w:styleId="ListParagraph">
    <w:name w:val="List Paragraph"/>
    <w:basedOn w:val="Normal"/>
    <w:uiPriority w:val="34"/>
    <w:qFormat/>
    <w:rsid w:val="00553A7B"/>
    <w:pPr>
      <w:ind w:left="720"/>
      <w:contextualSpacing/>
    </w:pPr>
  </w:style>
  <w:style w:type="paragraph" w:customStyle="1" w:styleId="References">
    <w:name w:val="References"/>
    <w:basedOn w:val="Text"/>
    <w:uiPriority w:val="99"/>
    <w:rsid w:val="00EC770E"/>
    <w:pPr>
      <w:spacing w:before="120"/>
      <w:ind w:left="539" w:hanging="539"/>
    </w:pPr>
    <w:rPr>
      <w:sz w:val="22"/>
    </w:rPr>
  </w:style>
  <w:style w:type="paragraph" w:customStyle="1" w:styleId="Covertitle">
    <w:name w:val="Cover title"/>
    <w:basedOn w:val="Normal"/>
    <w:uiPriority w:val="99"/>
    <w:rsid w:val="00B6054D"/>
    <w:pPr>
      <w:suppressAutoHyphens/>
      <w:autoSpaceDE w:val="0"/>
      <w:autoSpaceDN w:val="0"/>
      <w:adjustRightInd w:val="0"/>
      <w:spacing w:line="660" w:lineRule="atLeast"/>
      <w:ind w:left="0"/>
      <w:textAlignment w:val="center"/>
    </w:pPr>
    <w:rPr>
      <w:rFonts w:ascii="Myriad Pro" w:eastAsiaTheme="minorHAnsi" w:hAnsi="Myriad Pro" w:cs="Myriad Pro"/>
      <w:color w:val="0035C4"/>
      <w:sz w:val="58"/>
      <w:szCs w:val="58"/>
      <w:lang w:val="en-GB"/>
    </w:rPr>
  </w:style>
  <w:style w:type="paragraph" w:customStyle="1" w:styleId="Coversubtitle">
    <w:name w:val="Cover subtitle"/>
    <w:basedOn w:val="Normal"/>
    <w:uiPriority w:val="99"/>
    <w:rsid w:val="00B6054D"/>
    <w:pPr>
      <w:suppressAutoHyphens/>
      <w:autoSpaceDE w:val="0"/>
      <w:autoSpaceDN w:val="0"/>
      <w:adjustRightInd w:val="0"/>
      <w:spacing w:before="340" w:line="288" w:lineRule="auto"/>
      <w:ind w:left="0"/>
      <w:textAlignment w:val="center"/>
    </w:pPr>
    <w:rPr>
      <w:rFonts w:ascii="Myriad Pro" w:eastAsiaTheme="minorHAnsi" w:hAnsi="Myriad Pro" w:cs="Myriad Pro"/>
      <w:color w:val="000000"/>
      <w:sz w:val="30"/>
      <w:szCs w:val="30"/>
      <w:lang w:val="en-GB"/>
    </w:rPr>
  </w:style>
  <w:style w:type="paragraph" w:customStyle="1" w:styleId="Coverdate">
    <w:name w:val="Cover date"/>
    <w:basedOn w:val="Normal"/>
    <w:uiPriority w:val="99"/>
    <w:rsid w:val="00B6054D"/>
    <w:pPr>
      <w:suppressAutoHyphens/>
      <w:autoSpaceDE w:val="0"/>
      <w:autoSpaceDN w:val="0"/>
      <w:adjustRightInd w:val="0"/>
      <w:spacing w:before="340" w:line="288" w:lineRule="auto"/>
      <w:ind w:left="0"/>
      <w:textAlignment w:val="center"/>
    </w:pPr>
    <w:rPr>
      <w:rFonts w:ascii="Myriad Pro" w:eastAsiaTheme="minorHAnsi" w:hAnsi="Myriad Pro" w:cs="Myriad Pro"/>
      <w:color w:val="000000"/>
      <w:sz w:val="28"/>
      <w:szCs w:val="28"/>
      <w:lang w:val="en-GB"/>
    </w:rPr>
  </w:style>
  <w:style w:type="paragraph" w:styleId="Revision">
    <w:name w:val="Revision"/>
    <w:hidden/>
    <w:uiPriority w:val="99"/>
    <w:semiHidden/>
    <w:rsid w:val="00F752FE"/>
    <w:rPr>
      <w:lang w:eastAsia="en-US"/>
    </w:rPr>
  </w:style>
  <w:style w:type="paragraph" w:customStyle="1" w:styleId="Normal1">
    <w:name w:val="Normal1"/>
    <w:basedOn w:val="Normal"/>
    <w:link w:val="NormalChar"/>
    <w:qFormat/>
    <w:rsid w:val="00586BC4"/>
    <w:pPr>
      <w:spacing w:before="240" w:line="312" w:lineRule="auto"/>
      <w:ind w:left="0"/>
    </w:pPr>
    <w:rPr>
      <w:sz w:val="22"/>
    </w:rPr>
  </w:style>
  <w:style w:type="character" w:customStyle="1" w:styleId="NormalChar">
    <w:name w:val="Normal Char"/>
    <w:link w:val="Normal1"/>
    <w:rsid w:val="00586BC4"/>
    <w:rPr>
      <w:sz w:val="22"/>
      <w:lang w:eastAsia="en-US"/>
    </w:rPr>
  </w:style>
  <w:style w:type="paragraph" w:styleId="TOCHeading">
    <w:name w:val="TOC Heading"/>
    <w:basedOn w:val="Heading1"/>
    <w:next w:val="Normal"/>
    <w:uiPriority w:val="39"/>
    <w:semiHidden/>
    <w:unhideWhenUsed/>
    <w:qFormat/>
    <w:rsid w:val="000C3793"/>
    <w:pPr>
      <w:numPr>
        <w:numId w:val="0"/>
      </w:numPr>
      <w:shd w:val="clear" w:color="auto" w:fill="auto"/>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5863">
      <w:bodyDiv w:val="1"/>
      <w:marLeft w:val="0"/>
      <w:marRight w:val="0"/>
      <w:marTop w:val="0"/>
      <w:marBottom w:val="0"/>
      <w:divBdr>
        <w:top w:val="none" w:sz="0" w:space="0" w:color="auto"/>
        <w:left w:val="none" w:sz="0" w:space="0" w:color="auto"/>
        <w:bottom w:val="none" w:sz="0" w:space="0" w:color="auto"/>
        <w:right w:val="none" w:sz="0" w:space="0" w:color="auto"/>
      </w:divBdr>
    </w:div>
    <w:div w:id="225728257">
      <w:bodyDiv w:val="1"/>
      <w:marLeft w:val="0"/>
      <w:marRight w:val="0"/>
      <w:marTop w:val="0"/>
      <w:marBottom w:val="0"/>
      <w:divBdr>
        <w:top w:val="none" w:sz="0" w:space="0" w:color="auto"/>
        <w:left w:val="none" w:sz="0" w:space="0" w:color="auto"/>
        <w:bottom w:val="none" w:sz="0" w:space="0" w:color="auto"/>
        <w:right w:val="none" w:sz="0" w:space="0" w:color="auto"/>
      </w:divBdr>
    </w:div>
    <w:div w:id="231045366">
      <w:bodyDiv w:val="1"/>
      <w:marLeft w:val="0"/>
      <w:marRight w:val="0"/>
      <w:marTop w:val="0"/>
      <w:marBottom w:val="0"/>
      <w:divBdr>
        <w:top w:val="none" w:sz="0" w:space="0" w:color="auto"/>
        <w:left w:val="none" w:sz="0" w:space="0" w:color="auto"/>
        <w:bottom w:val="none" w:sz="0" w:space="0" w:color="auto"/>
        <w:right w:val="none" w:sz="0" w:space="0" w:color="auto"/>
      </w:divBdr>
    </w:div>
    <w:div w:id="278756432">
      <w:bodyDiv w:val="1"/>
      <w:marLeft w:val="0"/>
      <w:marRight w:val="0"/>
      <w:marTop w:val="0"/>
      <w:marBottom w:val="0"/>
      <w:divBdr>
        <w:top w:val="none" w:sz="0" w:space="0" w:color="auto"/>
        <w:left w:val="none" w:sz="0" w:space="0" w:color="auto"/>
        <w:bottom w:val="none" w:sz="0" w:space="0" w:color="auto"/>
        <w:right w:val="none" w:sz="0" w:space="0" w:color="auto"/>
      </w:divBdr>
    </w:div>
    <w:div w:id="352457046">
      <w:bodyDiv w:val="1"/>
      <w:marLeft w:val="0"/>
      <w:marRight w:val="0"/>
      <w:marTop w:val="0"/>
      <w:marBottom w:val="0"/>
      <w:divBdr>
        <w:top w:val="none" w:sz="0" w:space="0" w:color="auto"/>
        <w:left w:val="none" w:sz="0" w:space="0" w:color="auto"/>
        <w:bottom w:val="none" w:sz="0" w:space="0" w:color="auto"/>
        <w:right w:val="none" w:sz="0" w:space="0" w:color="auto"/>
      </w:divBdr>
    </w:div>
    <w:div w:id="379015940">
      <w:bodyDiv w:val="1"/>
      <w:marLeft w:val="0"/>
      <w:marRight w:val="0"/>
      <w:marTop w:val="0"/>
      <w:marBottom w:val="0"/>
      <w:divBdr>
        <w:top w:val="none" w:sz="0" w:space="0" w:color="auto"/>
        <w:left w:val="none" w:sz="0" w:space="0" w:color="auto"/>
        <w:bottom w:val="none" w:sz="0" w:space="0" w:color="auto"/>
        <w:right w:val="none" w:sz="0" w:space="0" w:color="auto"/>
      </w:divBdr>
    </w:div>
    <w:div w:id="481117364">
      <w:bodyDiv w:val="1"/>
      <w:marLeft w:val="0"/>
      <w:marRight w:val="0"/>
      <w:marTop w:val="0"/>
      <w:marBottom w:val="0"/>
      <w:divBdr>
        <w:top w:val="none" w:sz="0" w:space="0" w:color="auto"/>
        <w:left w:val="none" w:sz="0" w:space="0" w:color="auto"/>
        <w:bottom w:val="none" w:sz="0" w:space="0" w:color="auto"/>
        <w:right w:val="none" w:sz="0" w:space="0" w:color="auto"/>
      </w:divBdr>
    </w:div>
    <w:div w:id="575827399">
      <w:bodyDiv w:val="1"/>
      <w:marLeft w:val="0"/>
      <w:marRight w:val="0"/>
      <w:marTop w:val="0"/>
      <w:marBottom w:val="0"/>
      <w:divBdr>
        <w:top w:val="none" w:sz="0" w:space="0" w:color="auto"/>
        <w:left w:val="none" w:sz="0" w:space="0" w:color="auto"/>
        <w:bottom w:val="none" w:sz="0" w:space="0" w:color="auto"/>
        <w:right w:val="none" w:sz="0" w:space="0" w:color="auto"/>
      </w:divBdr>
    </w:div>
    <w:div w:id="622461345">
      <w:bodyDiv w:val="1"/>
      <w:marLeft w:val="0"/>
      <w:marRight w:val="0"/>
      <w:marTop w:val="0"/>
      <w:marBottom w:val="0"/>
      <w:divBdr>
        <w:top w:val="none" w:sz="0" w:space="0" w:color="auto"/>
        <w:left w:val="none" w:sz="0" w:space="0" w:color="auto"/>
        <w:bottom w:val="none" w:sz="0" w:space="0" w:color="auto"/>
        <w:right w:val="none" w:sz="0" w:space="0" w:color="auto"/>
      </w:divBdr>
    </w:div>
    <w:div w:id="646667569">
      <w:bodyDiv w:val="1"/>
      <w:marLeft w:val="0"/>
      <w:marRight w:val="0"/>
      <w:marTop w:val="0"/>
      <w:marBottom w:val="0"/>
      <w:divBdr>
        <w:top w:val="none" w:sz="0" w:space="0" w:color="auto"/>
        <w:left w:val="none" w:sz="0" w:space="0" w:color="auto"/>
        <w:bottom w:val="none" w:sz="0" w:space="0" w:color="auto"/>
        <w:right w:val="none" w:sz="0" w:space="0" w:color="auto"/>
      </w:divBdr>
    </w:div>
    <w:div w:id="961762066">
      <w:bodyDiv w:val="1"/>
      <w:marLeft w:val="0"/>
      <w:marRight w:val="0"/>
      <w:marTop w:val="0"/>
      <w:marBottom w:val="0"/>
      <w:divBdr>
        <w:top w:val="none" w:sz="0" w:space="0" w:color="auto"/>
        <w:left w:val="none" w:sz="0" w:space="0" w:color="auto"/>
        <w:bottom w:val="none" w:sz="0" w:space="0" w:color="auto"/>
        <w:right w:val="none" w:sz="0" w:space="0" w:color="auto"/>
      </w:divBdr>
    </w:div>
    <w:div w:id="1023675417">
      <w:bodyDiv w:val="1"/>
      <w:marLeft w:val="0"/>
      <w:marRight w:val="0"/>
      <w:marTop w:val="0"/>
      <w:marBottom w:val="0"/>
      <w:divBdr>
        <w:top w:val="none" w:sz="0" w:space="0" w:color="auto"/>
        <w:left w:val="none" w:sz="0" w:space="0" w:color="auto"/>
        <w:bottom w:val="none" w:sz="0" w:space="0" w:color="auto"/>
        <w:right w:val="none" w:sz="0" w:space="0" w:color="auto"/>
      </w:divBdr>
    </w:div>
    <w:div w:id="1129208567">
      <w:bodyDiv w:val="1"/>
      <w:marLeft w:val="0"/>
      <w:marRight w:val="0"/>
      <w:marTop w:val="0"/>
      <w:marBottom w:val="0"/>
      <w:divBdr>
        <w:top w:val="none" w:sz="0" w:space="0" w:color="auto"/>
        <w:left w:val="none" w:sz="0" w:space="0" w:color="auto"/>
        <w:bottom w:val="none" w:sz="0" w:space="0" w:color="auto"/>
        <w:right w:val="none" w:sz="0" w:space="0" w:color="auto"/>
      </w:divBdr>
    </w:div>
    <w:div w:id="1138575873">
      <w:bodyDiv w:val="1"/>
      <w:marLeft w:val="0"/>
      <w:marRight w:val="0"/>
      <w:marTop w:val="0"/>
      <w:marBottom w:val="0"/>
      <w:divBdr>
        <w:top w:val="none" w:sz="0" w:space="0" w:color="auto"/>
        <w:left w:val="none" w:sz="0" w:space="0" w:color="auto"/>
        <w:bottom w:val="none" w:sz="0" w:space="0" w:color="auto"/>
        <w:right w:val="none" w:sz="0" w:space="0" w:color="auto"/>
      </w:divBdr>
    </w:div>
    <w:div w:id="1175849633">
      <w:marLeft w:val="0"/>
      <w:marRight w:val="0"/>
      <w:marTop w:val="0"/>
      <w:marBottom w:val="0"/>
      <w:divBdr>
        <w:top w:val="none" w:sz="0" w:space="0" w:color="auto"/>
        <w:left w:val="none" w:sz="0" w:space="0" w:color="auto"/>
        <w:bottom w:val="none" w:sz="0" w:space="0" w:color="auto"/>
        <w:right w:val="none" w:sz="0" w:space="0" w:color="auto"/>
      </w:divBdr>
    </w:div>
    <w:div w:id="1175849639">
      <w:marLeft w:val="0"/>
      <w:marRight w:val="0"/>
      <w:marTop w:val="0"/>
      <w:marBottom w:val="0"/>
      <w:divBdr>
        <w:top w:val="none" w:sz="0" w:space="0" w:color="auto"/>
        <w:left w:val="none" w:sz="0" w:space="0" w:color="auto"/>
        <w:bottom w:val="none" w:sz="0" w:space="0" w:color="auto"/>
        <w:right w:val="none" w:sz="0" w:space="0" w:color="auto"/>
      </w:divBdr>
      <w:divsChild>
        <w:div w:id="1175849659">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32">
              <w:marLeft w:val="0"/>
              <w:marRight w:val="0"/>
              <w:marTop w:val="0"/>
              <w:marBottom w:val="0"/>
              <w:divBdr>
                <w:top w:val="none" w:sz="0" w:space="0" w:color="auto"/>
                <w:left w:val="none" w:sz="0" w:space="0" w:color="auto"/>
                <w:bottom w:val="none" w:sz="0" w:space="0" w:color="auto"/>
                <w:right w:val="none" w:sz="0" w:space="0" w:color="auto"/>
              </w:divBdr>
            </w:div>
            <w:div w:id="1175849676">
              <w:marLeft w:val="0"/>
              <w:marRight w:val="0"/>
              <w:marTop w:val="0"/>
              <w:marBottom w:val="0"/>
              <w:divBdr>
                <w:top w:val="none" w:sz="0" w:space="0" w:color="auto"/>
                <w:left w:val="none" w:sz="0" w:space="0" w:color="auto"/>
                <w:bottom w:val="single" w:sz="6" w:space="3" w:color="FFFFFF"/>
                <w:right w:val="none" w:sz="0" w:space="0" w:color="auto"/>
              </w:divBdr>
            </w:div>
          </w:divsChild>
        </w:div>
        <w:div w:id="1175849672">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62">
              <w:marLeft w:val="0"/>
              <w:marRight w:val="0"/>
              <w:marTop w:val="0"/>
              <w:marBottom w:val="0"/>
              <w:divBdr>
                <w:top w:val="none" w:sz="0" w:space="0" w:color="auto"/>
                <w:left w:val="none" w:sz="0" w:space="0" w:color="auto"/>
                <w:bottom w:val="single" w:sz="6" w:space="3" w:color="FFFFFF"/>
                <w:right w:val="none" w:sz="0" w:space="0" w:color="auto"/>
              </w:divBdr>
            </w:div>
            <w:div w:id="1175849671">
              <w:marLeft w:val="0"/>
              <w:marRight w:val="0"/>
              <w:marTop w:val="0"/>
              <w:marBottom w:val="0"/>
              <w:divBdr>
                <w:top w:val="none" w:sz="0" w:space="0" w:color="auto"/>
                <w:left w:val="none" w:sz="0" w:space="0" w:color="auto"/>
                <w:bottom w:val="single" w:sz="6" w:space="3" w:color="FFFFFF"/>
                <w:right w:val="none" w:sz="0" w:space="0" w:color="auto"/>
              </w:divBdr>
            </w:div>
            <w:div w:id="1175849673">
              <w:marLeft w:val="0"/>
              <w:marRight w:val="0"/>
              <w:marTop w:val="0"/>
              <w:marBottom w:val="0"/>
              <w:divBdr>
                <w:top w:val="none" w:sz="0" w:space="0" w:color="auto"/>
                <w:left w:val="none" w:sz="0" w:space="0" w:color="auto"/>
                <w:bottom w:val="single" w:sz="6" w:space="3" w:color="FFFFFF"/>
                <w:right w:val="none" w:sz="0" w:space="0" w:color="auto"/>
              </w:divBdr>
            </w:div>
            <w:div w:id="1175849721">
              <w:marLeft w:val="0"/>
              <w:marRight w:val="0"/>
              <w:marTop w:val="0"/>
              <w:marBottom w:val="0"/>
              <w:divBdr>
                <w:top w:val="none" w:sz="0" w:space="0" w:color="auto"/>
                <w:left w:val="none" w:sz="0" w:space="0" w:color="auto"/>
                <w:bottom w:val="none" w:sz="0" w:space="0" w:color="auto"/>
                <w:right w:val="none" w:sz="0" w:space="0" w:color="auto"/>
              </w:divBdr>
            </w:div>
          </w:divsChild>
        </w:div>
        <w:div w:id="1175849684">
          <w:marLeft w:val="0"/>
          <w:marRight w:val="0"/>
          <w:marTop w:val="0"/>
          <w:marBottom w:val="0"/>
          <w:divBdr>
            <w:top w:val="single" w:sz="6" w:space="0" w:color="FFFFFF"/>
            <w:left w:val="single" w:sz="6" w:space="0" w:color="FFFFFF"/>
            <w:bottom w:val="single" w:sz="6" w:space="0" w:color="FFFFFF"/>
            <w:right w:val="single" w:sz="6" w:space="0" w:color="FFFFFF"/>
          </w:divBdr>
          <w:divsChild>
            <w:div w:id="1175849738">
              <w:marLeft w:val="0"/>
              <w:marRight w:val="0"/>
              <w:marTop w:val="0"/>
              <w:marBottom w:val="0"/>
              <w:divBdr>
                <w:top w:val="none" w:sz="0" w:space="0" w:color="auto"/>
                <w:left w:val="none" w:sz="0" w:space="0" w:color="auto"/>
                <w:bottom w:val="none" w:sz="0" w:space="0" w:color="auto"/>
                <w:right w:val="none" w:sz="0" w:space="0" w:color="auto"/>
              </w:divBdr>
            </w:div>
            <w:div w:id="1175849747">
              <w:marLeft w:val="0"/>
              <w:marRight w:val="0"/>
              <w:marTop w:val="0"/>
              <w:marBottom w:val="0"/>
              <w:divBdr>
                <w:top w:val="none" w:sz="0" w:space="0" w:color="auto"/>
                <w:left w:val="none" w:sz="0" w:space="0" w:color="auto"/>
                <w:bottom w:val="single" w:sz="6" w:space="3" w:color="FFFFFF"/>
                <w:right w:val="none" w:sz="0" w:space="0" w:color="auto"/>
              </w:divBdr>
            </w:div>
          </w:divsChild>
        </w:div>
        <w:div w:id="1175849690">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45">
              <w:marLeft w:val="0"/>
              <w:marRight w:val="0"/>
              <w:marTop w:val="0"/>
              <w:marBottom w:val="0"/>
              <w:divBdr>
                <w:top w:val="none" w:sz="0" w:space="0" w:color="auto"/>
                <w:left w:val="none" w:sz="0" w:space="0" w:color="auto"/>
                <w:bottom w:val="single" w:sz="6" w:space="3" w:color="FFFFFF"/>
                <w:right w:val="none" w:sz="0" w:space="0" w:color="auto"/>
              </w:divBdr>
            </w:div>
            <w:div w:id="1175849648">
              <w:marLeft w:val="0"/>
              <w:marRight w:val="0"/>
              <w:marTop w:val="0"/>
              <w:marBottom w:val="0"/>
              <w:divBdr>
                <w:top w:val="none" w:sz="0" w:space="0" w:color="auto"/>
                <w:left w:val="none" w:sz="0" w:space="0" w:color="auto"/>
                <w:bottom w:val="none" w:sz="0" w:space="0" w:color="auto"/>
                <w:right w:val="none" w:sz="0" w:space="0" w:color="auto"/>
              </w:divBdr>
            </w:div>
            <w:div w:id="1175849675">
              <w:marLeft w:val="0"/>
              <w:marRight w:val="0"/>
              <w:marTop w:val="0"/>
              <w:marBottom w:val="0"/>
              <w:divBdr>
                <w:top w:val="none" w:sz="0" w:space="0" w:color="auto"/>
                <w:left w:val="none" w:sz="0" w:space="0" w:color="auto"/>
                <w:bottom w:val="single" w:sz="6" w:space="3" w:color="FFFFFF"/>
                <w:right w:val="none" w:sz="0" w:space="0" w:color="auto"/>
              </w:divBdr>
            </w:div>
            <w:div w:id="1175849730">
              <w:marLeft w:val="0"/>
              <w:marRight w:val="0"/>
              <w:marTop w:val="0"/>
              <w:marBottom w:val="0"/>
              <w:divBdr>
                <w:top w:val="none" w:sz="0" w:space="0" w:color="auto"/>
                <w:left w:val="none" w:sz="0" w:space="0" w:color="auto"/>
                <w:bottom w:val="single" w:sz="6" w:space="3" w:color="FFFFFF"/>
                <w:right w:val="none" w:sz="0" w:space="0" w:color="auto"/>
              </w:divBdr>
            </w:div>
          </w:divsChild>
        </w:div>
        <w:div w:id="1175849703">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47">
              <w:marLeft w:val="0"/>
              <w:marRight w:val="0"/>
              <w:marTop w:val="0"/>
              <w:marBottom w:val="0"/>
              <w:divBdr>
                <w:top w:val="none" w:sz="0" w:space="0" w:color="auto"/>
                <w:left w:val="none" w:sz="0" w:space="0" w:color="auto"/>
                <w:bottom w:val="none" w:sz="0" w:space="0" w:color="auto"/>
                <w:right w:val="none" w:sz="0" w:space="0" w:color="auto"/>
              </w:divBdr>
            </w:div>
            <w:div w:id="1175849656">
              <w:marLeft w:val="0"/>
              <w:marRight w:val="0"/>
              <w:marTop w:val="0"/>
              <w:marBottom w:val="0"/>
              <w:divBdr>
                <w:top w:val="none" w:sz="0" w:space="0" w:color="auto"/>
                <w:left w:val="none" w:sz="0" w:space="0" w:color="auto"/>
                <w:bottom w:val="single" w:sz="6" w:space="3" w:color="FFFFFF"/>
                <w:right w:val="none" w:sz="0" w:space="0" w:color="auto"/>
              </w:divBdr>
            </w:div>
            <w:div w:id="1175849657">
              <w:marLeft w:val="0"/>
              <w:marRight w:val="0"/>
              <w:marTop w:val="0"/>
              <w:marBottom w:val="0"/>
              <w:divBdr>
                <w:top w:val="none" w:sz="0" w:space="0" w:color="auto"/>
                <w:left w:val="none" w:sz="0" w:space="0" w:color="auto"/>
                <w:bottom w:val="single" w:sz="6" w:space="3" w:color="FFFFFF"/>
                <w:right w:val="none" w:sz="0" w:space="0" w:color="auto"/>
              </w:divBdr>
            </w:div>
            <w:div w:id="1175849685">
              <w:marLeft w:val="0"/>
              <w:marRight w:val="0"/>
              <w:marTop w:val="0"/>
              <w:marBottom w:val="0"/>
              <w:divBdr>
                <w:top w:val="none" w:sz="0" w:space="0" w:color="auto"/>
                <w:left w:val="none" w:sz="0" w:space="0" w:color="auto"/>
                <w:bottom w:val="single" w:sz="6" w:space="3" w:color="FFFFFF"/>
                <w:right w:val="none" w:sz="0" w:space="0" w:color="auto"/>
              </w:divBdr>
            </w:div>
            <w:div w:id="1175849725">
              <w:marLeft w:val="0"/>
              <w:marRight w:val="0"/>
              <w:marTop w:val="0"/>
              <w:marBottom w:val="0"/>
              <w:divBdr>
                <w:top w:val="none" w:sz="0" w:space="0" w:color="auto"/>
                <w:left w:val="none" w:sz="0" w:space="0" w:color="auto"/>
                <w:bottom w:val="single" w:sz="6" w:space="3" w:color="FFFFFF"/>
                <w:right w:val="none" w:sz="0" w:space="0" w:color="auto"/>
              </w:divBdr>
            </w:div>
            <w:div w:id="1175849775">
              <w:marLeft w:val="0"/>
              <w:marRight w:val="0"/>
              <w:marTop w:val="0"/>
              <w:marBottom w:val="0"/>
              <w:divBdr>
                <w:top w:val="none" w:sz="0" w:space="0" w:color="auto"/>
                <w:left w:val="none" w:sz="0" w:space="0" w:color="auto"/>
                <w:bottom w:val="single" w:sz="6" w:space="3" w:color="FFFFFF"/>
                <w:right w:val="none" w:sz="0" w:space="0" w:color="auto"/>
              </w:divBdr>
            </w:div>
          </w:divsChild>
        </w:div>
        <w:div w:id="1175849705">
          <w:marLeft w:val="0"/>
          <w:marRight w:val="0"/>
          <w:marTop w:val="0"/>
          <w:marBottom w:val="0"/>
          <w:divBdr>
            <w:top w:val="none" w:sz="0" w:space="0" w:color="auto"/>
            <w:left w:val="none" w:sz="0" w:space="0" w:color="auto"/>
            <w:bottom w:val="none" w:sz="0" w:space="0" w:color="auto"/>
            <w:right w:val="none" w:sz="0" w:space="0" w:color="auto"/>
          </w:divBdr>
          <w:divsChild>
            <w:div w:id="1175849706">
              <w:marLeft w:val="171"/>
              <w:marRight w:val="0"/>
              <w:marTop w:val="343"/>
              <w:marBottom w:val="0"/>
              <w:divBdr>
                <w:top w:val="none" w:sz="0" w:space="0" w:color="auto"/>
                <w:left w:val="none" w:sz="0" w:space="0" w:color="auto"/>
                <w:bottom w:val="none" w:sz="0" w:space="0" w:color="auto"/>
                <w:right w:val="none" w:sz="0" w:space="0" w:color="auto"/>
              </w:divBdr>
            </w:div>
          </w:divsChild>
        </w:div>
        <w:div w:id="1175849709">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83">
              <w:marLeft w:val="0"/>
              <w:marRight w:val="0"/>
              <w:marTop w:val="0"/>
              <w:marBottom w:val="0"/>
              <w:divBdr>
                <w:top w:val="none" w:sz="0" w:space="0" w:color="auto"/>
                <w:left w:val="none" w:sz="0" w:space="0" w:color="auto"/>
                <w:bottom w:val="single" w:sz="6" w:space="3" w:color="FFFFFF"/>
                <w:right w:val="none" w:sz="0" w:space="0" w:color="auto"/>
              </w:divBdr>
            </w:div>
            <w:div w:id="1175849735">
              <w:marLeft w:val="0"/>
              <w:marRight w:val="0"/>
              <w:marTop w:val="0"/>
              <w:marBottom w:val="0"/>
              <w:divBdr>
                <w:top w:val="none" w:sz="0" w:space="0" w:color="auto"/>
                <w:left w:val="none" w:sz="0" w:space="0" w:color="auto"/>
                <w:bottom w:val="none" w:sz="0" w:space="0" w:color="auto"/>
                <w:right w:val="none" w:sz="0" w:space="0" w:color="auto"/>
              </w:divBdr>
            </w:div>
          </w:divsChild>
        </w:div>
        <w:div w:id="1175849711">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29">
              <w:marLeft w:val="0"/>
              <w:marRight w:val="0"/>
              <w:marTop w:val="0"/>
              <w:marBottom w:val="0"/>
              <w:divBdr>
                <w:top w:val="none" w:sz="0" w:space="0" w:color="auto"/>
                <w:left w:val="none" w:sz="0" w:space="0" w:color="auto"/>
                <w:bottom w:val="single" w:sz="6" w:space="3" w:color="FFFFFF"/>
                <w:right w:val="none" w:sz="0" w:space="0" w:color="auto"/>
              </w:divBdr>
            </w:div>
            <w:div w:id="1175849650">
              <w:marLeft w:val="0"/>
              <w:marRight w:val="0"/>
              <w:marTop w:val="0"/>
              <w:marBottom w:val="0"/>
              <w:divBdr>
                <w:top w:val="none" w:sz="0" w:space="0" w:color="auto"/>
                <w:left w:val="none" w:sz="0" w:space="0" w:color="auto"/>
                <w:bottom w:val="single" w:sz="6" w:space="3" w:color="FFFFFF"/>
                <w:right w:val="none" w:sz="0" w:space="0" w:color="auto"/>
              </w:divBdr>
            </w:div>
            <w:div w:id="1175849699">
              <w:marLeft w:val="0"/>
              <w:marRight w:val="0"/>
              <w:marTop w:val="0"/>
              <w:marBottom w:val="0"/>
              <w:divBdr>
                <w:top w:val="none" w:sz="0" w:space="0" w:color="auto"/>
                <w:left w:val="none" w:sz="0" w:space="0" w:color="auto"/>
                <w:bottom w:val="single" w:sz="6" w:space="3" w:color="FFFFFF"/>
                <w:right w:val="none" w:sz="0" w:space="0" w:color="auto"/>
              </w:divBdr>
            </w:div>
            <w:div w:id="1175849700">
              <w:marLeft w:val="0"/>
              <w:marRight w:val="0"/>
              <w:marTop w:val="0"/>
              <w:marBottom w:val="0"/>
              <w:divBdr>
                <w:top w:val="none" w:sz="0" w:space="0" w:color="auto"/>
                <w:left w:val="none" w:sz="0" w:space="0" w:color="auto"/>
                <w:bottom w:val="single" w:sz="6" w:space="3" w:color="FFFFFF"/>
                <w:right w:val="none" w:sz="0" w:space="0" w:color="auto"/>
              </w:divBdr>
            </w:div>
            <w:div w:id="1175849763">
              <w:marLeft w:val="0"/>
              <w:marRight w:val="0"/>
              <w:marTop w:val="0"/>
              <w:marBottom w:val="0"/>
              <w:divBdr>
                <w:top w:val="none" w:sz="0" w:space="0" w:color="auto"/>
                <w:left w:val="none" w:sz="0" w:space="0" w:color="auto"/>
                <w:bottom w:val="none" w:sz="0" w:space="0" w:color="auto"/>
                <w:right w:val="none" w:sz="0" w:space="0" w:color="auto"/>
              </w:divBdr>
            </w:div>
          </w:divsChild>
        </w:div>
        <w:div w:id="1175849717">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64">
              <w:marLeft w:val="0"/>
              <w:marRight w:val="0"/>
              <w:marTop w:val="0"/>
              <w:marBottom w:val="0"/>
              <w:divBdr>
                <w:top w:val="none" w:sz="0" w:space="0" w:color="auto"/>
                <w:left w:val="none" w:sz="0" w:space="0" w:color="auto"/>
                <w:bottom w:val="single" w:sz="6" w:space="3" w:color="FFFFFF"/>
                <w:right w:val="none" w:sz="0" w:space="0" w:color="auto"/>
              </w:divBdr>
            </w:div>
            <w:div w:id="1175849697">
              <w:marLeft w:val="0"/>
              <w:marRight w:val="0"/>
              <w:marTop w:val="0"/>
              <w:marBottom w:val="0"/>
              <w:divBdr>
                <w:top w:val="none" w:sz="0" w:space="0" w:color="auto"/>
                <w:left w:val="none" w:sz="0" w:space="0" w:color="auto"/>
                <w:bottom w:val="single" w:sz="6" w:space="3" w:color="FFFFFF"/>
                <w:right w:val="none" w:sz="0" w:space="0" w:color="auto"/>
              </w:divBdr>
            </w:div>
            <w:div w:id="1175849726">
              <w:marLeft w:val="0"/>
              <w:marRight w:val="0"/>
              <w:marTop w:val="0"/>
              <w:marBottom w:val="0"/>
              <w:divBdr>
                <w:top w:val="none" w:sz="0" w:space="0" w:color="auto"/>
                <w:left w:val="none" w:sz="0" w:space="0" w:color="auto"/>
                <w:bottom w:val="single" w:sz="6" w:space="3" w:color="FFFFFF"/>
                <w:right w:val="none" w:sz="0" w:space="0" w:color="auto"/>
              </w:divBdr>
            </w:div>
            <w:div w:id="1175849745">
              <w:marLeft w:val="0"/>
              <w:marRight w:val="0"/>
              <w:marTop w:val="0"/>
              <w:marBottom w:val="0"/>
              <w:divBdr>
                <w:top w:val="none" w:sz="0" w:space="0" w:color="auto"/>
                <w:left w:val="none" w:sz="0" w:space="0" w:color="auto"/>
                <w:bottom w:val="single" w:sz="6" w:space="3" w:color="FFFFFF"/>
                <w:right w:val="none" w:sz="0" w:space="0" w:color="auto"/>
              </w:divBdr>
            </w:div>
            <w:div w:id="1175849759">
              <w:marLeft w:val="0"/>
              <w:marRight w:val="0"/>
              <w:marTop w:val="0"/>
              <w:marBottom w:val="0"/>
              <w:divBdr>
                <w:top w:val="none" w:sz="0" w:space="0" w:color="auto"/>
                <w:left w:val="none" w:sz="0" w:space="0" w:color="auto"/>
                <w:bottom w:val="none" w:sz="0" w:space="0" w:color="auto"/>
                <w:right w:val="none" w:sz="0" w:space="0" w:color="auto"/>
              </w:divBdr>
            </w:div>
            <w:div w:id="1175849767">
              <w:marLeft w:val="0"/>
              <w:marRight w:val="0"/>
              <w:marTop w:val="0"/>
              <w:marBottom w:val="0"/>
              <w:divBdr>
                <w:top w:val="none" w:sz="0" w:space="0" w:color="auto"/>
                <w:left w:val="none" w:sz="0" w:space="0" w:color="auto"/>
                <w:bottom w:val="single" w:sz="6" w:space="3" w:color="FFFFFF"/>
                <w:right w:val="none" w:sz="0" w:space="0" w:color="auto"/>
              </w:divBdr>
            </w:div>
          </w:divsChild>
        </w:div>
        <w:div w:id="1175849723">
          <w:marLeft w:val="0"/>
          <w:marRight w:val="0"/>
          <w:marTop w:val="0"/>
          <w:marBottom w:val="0"/>
          <w:divBdr>
            <w:top w:val="none" w:sz="0" w:space="0" w:color="auto"/>
            <w:left w:val="none" w:sz="0" w:space="0" w:color="auto"/>
            <w:bottom w:val="none" w:sz="0" w:space="0" w:color="auto"/>
            <w:right w:val="none" w:sz="0" w:space="0" w:color="auto"/>
          </w:divBdr>
          <w:divsChild>
            <w:div w:id="1175849660">
              <w:marLeft w:val="86"/>
              <w:marRight w:val="0"/>
              <w:marTop w:val="0"/>
              <w:marBottom w:val="0"/>
              <w:divBdr>
                <w:top w:val="none" w:sz="0" w:space="0" w:color="auto"/>
                <w:left w:val="none" w:sz="0" w:space="0" w:color="auto"/>
                <w:bottom w:val="none" w:sz="0" w:space="0" w:color="auto"/>
                <w:right w:val="none" w:sz="0" w:space="0" w:color="auto"/>
              </w:divBdr>
              <w:divsChild>
                <w:div w:id="1175849638">
                  <w:marLeft w:val="86"/>
                  <w:marRight w:val="0"/>
                  <w:marTop w:val="171"/>
                  <w:marBottom w:val="0"/>
                  <w:divBdr>
                    <w:top w:val="none" w:sz="0" w:space="0" w:color="auto"/>
                    <w:left w:val="none" w:sz="0" w:space="0" w:color="auto"/>
                    <w:bottom w:val="none" w:sz="0" w:space="0" w:color="auto"/>
                    <w:right w:val="none" w:sz="0" w:space="0" w:color="auto"/>
                  </w:divBdr>
                  <w:divsChild>
                    <w:div w:id="1175849715">
                      <w:marLeft w:val="0"/>
                      <w:marRight w:val="0"/>
                      <w:marTop w:val="0"/>
                      <w:marBottom w:val="0"/>
                      <w:divBdr>
                        <w:top w:val="none" w:sz="0" w:space="0" w:color="auto"/>
                        <w:left w:val="none" w:sz="0" w:space="0" w:color="auto"/>
                        <w:bottom w:val="none" w:sz="0" w:space="0" w:color="auto"/>
                        <w:right w:val="none" w:sz="0" w:space="0" w:color="auto"/>
                      </w:divBdr>
                      <w:divsChild>
                        <w:div w:id="1175849731">
                          <w:marLeft w:val="0"/>
                          <w:marRight w:val="0"/>
                          <w:marTop w:val="0"/>
                          <w:marBottom w:val="0"/>
                          <w:divBdr>
                            <w:top w:val="none" w:sz="0" w:space="0" w:color="auto"/>
                            <w:left w:val="none" w:sz="0" w:space="0" w:color="auto"/>
                            <w:bottom w:val="none" w:sz="0" w:space="0" w:color="auto"/>
                            <w:right w:val="none" w:sz="0" w:space="0" w:color="auto"/>
                          </w:divBdr>
                          <w:divsChild>
                            <w:div w:id="1175849643">
                              <w:marLeft w:val="0"/>
                              <w:marRight w:val="0"/>
                              <w:marTop w:val="0"/>
                              <w:marBottom w:val="0"/>
                              <w:divBdr>
                                <w:top w:val="none" w:sz="0" w:space="0" w:color="auto"/>
                                <w:left w:val="none" w:sz="0" w:space="0" w:color="auto"/>
                                <w:bottom w:val="none" w:sz="0" w:space="0" w:color="auto"/>
                                <w:right w:val="none" w:sz="0" w:space="0" w:color="auto"/>
                              </w:divBdr>
                              <w:divsChild>
                                <w:div w:id="1175849634">
                                  <w:marLeft w:val="0"/>
                                  <w:marRight w:val="0"/>
                                  <w:marTop w:val="0"/>
                                  <w:marBottom w:val="0"/>
                                  <w:divBdr>
                                    <w:top w:val="none" w:sz="0" w:space="0" w:color="auto"/>
                                    <w:left w:val="none" w:sz="0" w:space="0" w:color="auto"/>
                                    <w:bottom w:val="none" w:sz="0" w:space="0" w:color="auto"/>
                                    <w:right w:val="none" w:sz="0" w:space="0" w:color="auto"/>
                                  </w:divBdr>
                                </w:div>
                                <w:div w:id="1175849666">
                                  <w:marLeft w:val="0"/>
                                  <w:marRight w:val="0"/>
                                  <w:marTop w:val="0"/>
                                  <w:marBottom w:val="0"/>
                                  <w:divBdr>
                                    <w:top w:val="none" w:sz="0" w:space="0" w:color="auto"/>
                                    <w:left w:val="none" w:sz="0" w:space="0" w:color="auto"/>
                                    <w:bottom w:val="none" w:sz="0" w:space="0" w:color="auto"/>
                                    <w:right w:val="none" w:sz="0" w:space="0" w:color="auto"/>
                                  </w:divBdr>
                                </w:div>
                                <w:div w:id="1175849667">
                                  <w:marLeft w:val="0"/>
                                  <w:marRight w:val="0"/>
                                  <w:marTop w:val="0"/>
                                  <w:marBottom w:val="0"/>
                                  <w:divBdr>
                                    <w:top w:val="none" w:sz="0" w:space="0" w:color="auto"/>
                                    <w:left w:val="none" w:sz="0" w:space="0" w:color="auto"/>
                                    <w:bottom w:val="none" w:sz="0" w:space="0" w:color="auto"/>
                                    <w:right w:val="none" w:sz="0" w:space="0" w:color="auto"/>
                                  </w:divBdr>
                                </w:div>
                                <w:div w:id="1175849670">
                                  <w:marLeft w:val="0"/>
                                  <w:marRight w:val="0"/>
                                  <w:marTop w:val="0"/>
                                  <w:marBottom w:val="0"/>
                                  <w:divBdr>
                                    <w:top w:val="none" w:sz="0" w:space="0" w:color="auto"/>
                                    <w:left w:val="none" w:sz="0" w:space="0" w:color="auto"/>
                                    <w:bottom w:val="none" w:sz="0" w:space="0" w:color="auto"/>
                                    <w:right w:val="none" w:sz="0" w:space="0" w:color="auto"/>
                                  </w:divBdr>
                                </w:div>
                                <w:div w:id="1175849677">
                                  <w:marLeft w:val="0"/>
                                  <w:marRight w:val="0"/>
                                  <w:marTop w:val="0"/>
                                  <w:marBottom w:val="0"/>
                                  <w:divBdr>
                                    <w:top w:val="none" w:sz="0" w:space="0" w:color="auto"/>
                                    <w:left w:val="none" w:sz="0" w:space="0" w:color="auto"/>
                                    <w:bottom w:val="none" w:sz="0" w:space="0" w:color="auto"/>
                                    <w:right w:val="none" w:sz="0" w:space="0" w:color="auto"/>
                                  </w:divBdr>
                                </w:div>
                                <w:div w:id="1175849678">
                                  <w:marLeft w:val="0"/>
                                  <w:marRight w:val="0"/>
                                  <w:marTop w:val="0"/>
                                  <w:marBottom w:val="0"/>
                                  <w:divBdr>
                                    <w:top w:val="none" w:sz="0" w:space="0" w:color="auto"/>
                                    <w:left w:val="none" w:sz="0" w:space="0" w:color="auto"/>
                                    <w:bottom w:val="none" w:sz="0" w:space="0" w:color="auto"/>
                                    <w:right w:val="none" w:sz="0" w:space="0" w:color="auto"/>
                                  </w:divBdr>
                                </w:div>
                                <w:div w:id="1175849680">
                                  <w:marLeft w:val="0"/>
                                  <w:marRight w:val="0"/>
                                  <w:marTop w:val="0"/>
                                  <w:marBottom w:val="0"/>
                                  <w:divBdr>
                                    <w:top w:val="none" w:sz="0" w:space="0" w:color="auto"/>
                                    <w:left w:val="none" w:sz="0" w:space="0" w:color="auto"/>
                                    <w:bottom w:val="none" w:sz="0" w:space="0" w:color="auto"/>
                                    <w:right w:val="none" w:sz="0" w:space="0" w:color="auto"/>
                                  </w:divBdr>
                                </w:div>
                                <w:div w:id="1175849682">
                                  <w:marLeft w:val="0"/>
                                  <w:marRight w:val="0"/>
                                  <w:marTop w:val="0"/>
                                  <w:marBottom w:val="0"/>
                                  <w:divBdr>
                                    <w:top w:val="none" w:sz="0" w:space="0" w:color="auto"/>
                                    <w:left w:val="none" w:sz="0" w:space="0" w:color="auto"/>
                                    <w:bottom w:val="none" w:sz="0" w:space="0" w:color="auto"/>
                                    <w:right w:val="none" w:sz="0" w:space="0" w:color="auto"/>
                                  </w:divBdr>
                                </w:div>
                                <w:div w:id="1175849694">
                                  <w:marLeft w:val="0"/>
                                  <w:marRight w:val="0"/>
                                  <w:marTop w:val="0"/>
                                  <w:marBottom w:val="0"/>
                                  <w:divBdr>
                                    <w:top w:val="none" w:sz="0" w:space="0" w:color="auto"/>
                                    <w:left w:val="none" w:sz="0" w:space="0" w:color="auto"/>
                                    <w:bottom w:val="none" w:sz="0" w:space="0" w:color="auto"/>
                                    <w:right w:val="none" w:sz="0" w:space="0" w:color="auto"/>
                                  </w:divBdr>
                                </w:div>
                                <w:div w:id="1175849713">
                                  <w:marLeft w:val="0"/>
                                  <w:marRight w:val="0"/>
                                  <w:marTop w:val="0"/>
                                  <w:marBottom w:val="0"/>
                                  <w:divBdr>
                                    <w:top w:val="none" w:sz="0" w:space="0" w:color="auto"/>
                                    <w:left w:val="none" w:sz="0" w:space="0" w:color="auto"/>
                                    <w:bottom w:val="none" w:sz="0" w:space="0" w:color="auto"/>
                                    <w:right w:val="none" w:sz="0" w:space="0" w:color="auto"/>
                                  </w:divBdr>
                                </w:div>
                                <w:div w:id="1175849714">
                                  <w:marLeft w:val="0"/>
                                  <w:marRight w:val="0"/>
                                  <w:marTop w:val="0"/>
                                  <w:marBottom w:val="0"/>
                                  <w:divBdr>
                                    <w:top w:val="none" w:sz="0" w:space="0" w:color="auto"/>
                                    <w:left w:val="none" w:sz="0" w:space="0" w:color="auto"/>
                                    <w:bottom w:val="none" w:sz="0" w:space="0" w:color="auto"/>
                                    <w:right w:val="none" w:sz="0" w:space="0" w:color="auto"/>
                                  </w:divBdr>
                                </w:div>
                                <w:div w:id="1175849716">
                                  <w:marLeft w:val="0"/>
                                  <w:marRight w:val="0"/>
                                  <w:marTop w:val="0"/>
                                  <w:marBottom w:val="0"/>
                                  <w:divBdr>
                                    <w:top w:val="none" w:sz="0" w:space="0" w:color="auto"/>
                                    <w:left w:val="none" w:sz="0" w:space="0" w:color="auto"/>
                                    <w:bottom w:val="none" w:sz="0" w:space="0" w:color="auto"/>
                                    <w:right w:val="none" w:sz="0" w:space="0" w:color="auto"/>
                                  </w:divBdr>
                                </w:div>
                                <w:div w:id="1175849737">
                                  <w:marLeft w:val="0"/>
                                  <w:marRight w:val="0"/>
                                  <w:marTop w:val="0"/>
                                  <w:marBottom w:val="0"/>
                                  <w:divBdr>
                                    <w:top w:val="none" w:sz="0" w:space="0" w:color="auto"/>
                                    <w:left w:val="none" w:sz="0" w:space="0" w:color="auto"/>
                                    <w:bottom w:val="none" w:sz="0" w:space="0" w:color="auto"/>
                                    <w:right w:val="none" w:sz="0" w:space="0" w:color="auto"/>
                                  </w:divBdr>
                                </w:div>
                                <w:div w:id="1175849744">
                                  <w:marLeft w:val="0"/>
                                  <w:marRight w:val="0"/>
                                  <w:marTop w:val="0"/>
                                  <w:marBottom w:val="0"/>
                                  <w:divBdr>
                                    <w:top w:val="none" w:sz="0" w:space="0" w:color="auto"/>
                                    <w:left w:val="none" w:sz="0" w:space="0" w:color="auto"/>
                                    <w:bottom w:val="none" w:sz="0" w:space="0" w:color="auto"/>
                                    <w:right w:val="none" w:sz="0" w:space="0" w:color="auto"/>
                                  </w:divBdr>
                                </w:div>
                                <w:div w:id="1175849754">
                                  <w:marLeft w:val="0"/>
                                  <w:marRight w:val="0"/>
                                  <w:marTop w:val="0"/>
                                  <w:marBottom w:val="0"/>
                                  <w:divBdr>
                                    <w:top w:val="none" w:sz="0" w:space="0" w:color="auto"/>
                                    <w:left w:val="none" w:sz="0" w:space="0" w:color="auto"/>
                                    <w:bottom w:val="none" w:sz="0" w:space="0" w:color="auto"/>
                                    <w:right w:val="none" w:sz="0" w:space="0" w:color="auto"/>
                                  </w:divBdr>
                                </w:div>
                                <w:div w:id="1175849757">
                                  <w:marLeft w:val="0"/>
                                  <w:marRight w:val="0"/>
                                  <w:marTop w:val="0"/>
                                  <w:marBottom w:val="0"/>
                                  <w:divBdr>
                                    <w:top w:val="none" w:sz="0" w:space="0" w:color="auto"/>
                                    <w:left w:val="none" w:sz="0" w:space="0" w:color="auto"/>
                                    <w:bottom w:val="none" w:sz="0" w:space="0" w:color="auto"/>
                                    <w:right w:val="none" w:sz="0" w:space="0" w:color="auto"/>
                                  </w:divBdr>
                                </w:div>
                                <w:div w:id="1175849758">
                                  <w:marLeft w:val="0"/>
                                  <w:marRight w:val="0"/>
                                  <w:marTop w:val="0"/>
                                  <w:marBottom w:val="0"/>
                                  <w:divBdr>
                                    <w:top w:val="none" w:sz="0" w:space="0" w:color="auto"/>
                                    <w:left w:val="none" w:sz="0" w:space="0" w:color="auto"/>
                                    <w:bottom w:val="none" w:sz="0" w:space="0" w:color="auto"/>
                                    <w:right w:val="none" w:sz="0" w:space="0" w:color="auto"/>
                                  </w:divBdr>
                                </w:div>
                                <w:div w:id="1175849769">
                                  <w:marLeft w:val="0"/>
                                  <w:marRight w:val="0"/>
                                  <w:marTop w:val="0"/>
                                  <w:marBottom w:val="0"/>
                                  <w:divBdr>
                                    <w:top w:val="none" w:sz="0" w:space="0" w:color="auto"/>
                                    <w:left w:val="none" w:sz="0" w:space="0" w:color="auto"/>
                                    <w:bottom w:val="none" w:sz="0" w:space="0" w:color="auto"/>
                                    <w:right w:val="none" w:sz="0" w:space="0" w:color="auto"/>
                                  </w:divBdr>
                                </w:div>
                                <w:div w:id="1175849779">
                                  <w:marLeft w:val="0"/>
                                  <w:marRight w:val="0"/>
                                  <w:marTop w:val="0"/>
                                  <w:marBottom w:val="0"/>
                                  <w:divBdr>
                                    <w:top w:val="none" w:sz="0" w:space="0" w:color="auto"/>
                                    <w:left w:val="none" w:sz="0" w:space="0" w:color="auto"/>
                                    <w:bottom w:val="none" w:sz="0" w:space="0" w:color="auto"/>
                                    <w:right w:val="none" w:sz="0" w:space="0" w:color="auto"/>
                                  </w:divBdr>
                                </w:div>
                                <w:div w:id="1175849781">
                                  <w:marLeft w:val="0"/>
                                  <w:marRight w:val="0"/>
                                  <w:marTop w:val="0"/>
                                  <w:marBottom w:val="0"/>
                                  <w:divBdr>
                                    <w:top w:val="none" w:sz="0" w:space="0" w:color="auto"/>
                                    <w:left w:val="none" w:sz="0" w:space="0" w:color="auto"/>
                                    <w:bottom w:val="none" w:sz="0" w:space="0" w:color="auto"/>
                                    <w:right w:val="none" w:sz="0" w:space="0" w:color="auto"/>
                                  </w:divBdr>
                                </w:div>
                              </w:divsChild>
                            </w:div>
                            <w:div w:id="1175849649">
                              <w:marLeft w:val="0"/>
                              <w:marRight w:val="0"/>
                              <w:marTop w:val="0"/>
                              <w:marBottom w:val="0"/>
                              <w:divBdr>
                                <w:top w:val="none" w:sz="0" w:space="0" w:color="auto"/>
                                <w:left w:val="none" w:sz="0" w:space="0" w:color="auto"/>
                                <w:bottom w:val="none" w:sz="0" w:space="0" w:color="auto"/>
                                <w:right w:val="none" w:sz="0" w:space="0" w:color="auto"/>
                              </w:divBdr>
                            </w:div>
                            <w:div w:id="1175849652">
                              <w:marLeft w:val="0"/>
                              <w:marRight w:val="0"/>
                              <w:marTop w:val="0"/>
                              <w:marBottom w:val="0"/>
                              <w:divBdr>
                                <w:top w:val="none" w:sz="0" w:space="0" w:color="auto"/>
                                <w:left w:val="none" w:sz="0" w:space="0" w:color="auto"/>
                                <w:bottom w:val="none" w:sz="0" w:space="0" w:color="auto"/>
                                <w:right w:val="none" w:sz="0" w:space="0" w:color="auto"/>
                              </w:divBdr>
                            </w:div>
                            <w:div w:id="1175849668">
                              <w:marLeft w:val="0"/>
                              <w:marRight w:val="0"/>
                              <w:marTop w:val="0"/>
                              <w:marBottom w:val="0"/>
                              <w:divBdr>
                                <w:top w:val="none" w:sz="0" w:space="0" w:color="auto"/>
                                <w:left w:val="none" w:sz="0" w:space="0" w:color="auto"/>
                                <w:bottom w:val="none" w:sz="0" w:space="0" w:color="auto"/>
                                <w:right w:val="none" w:sz="0" w:space="0" w:color="auto"/>
                              </w:divBdr>
                            </w:div>
                            <w:div w:id="1175849693">
                              <w:marLeft w:val="0"/>
                              <w:marRight w:val="0"/>
                              <w:marTop w:val="0"/>
                              <w:marBottom w:val="0"/>
                              <w:divBdr>
                                <w:top w:val="none" w:sz="0" w:space="0" w:color="auto"/>
                                <w:left w:val="none" w:sz="0" w:space="0" w:color="auto"/>
                                <w:bottom w:val="none" w:sz="0" w:space="0" w:color="auto"/>
                                <w:right w:val="none" w:sz="0" w:space="0" w:color="auto"/>
                              </w:divBdr>
                            </w:div>
                            <w:div w:id="1175849695">
                              <w:marLeft w:val="0"/>
                              <w:marRight w:val="0"/>
                              <w:marTop w:val="0"/>
                              <w:marBottom w:val="0"/>
                              <w:divBdr>
                                <w:top w:val="none" w:sz="0" w:space="0" w:color="auto"/>
                                <w:left w:val="none" w:sz="0" w:space="0" w:color="auto"/>
                                <w:bottom w:val="none" w:sz="0" w:space="0" w:color="auto"/>
                                <w:right w:val="none" w:sz="0" w:space="0" w:color="auto"/>
                              </w:divBdr>
                            </w:div>
                            <w:div w:id="1175849704">
                              <w:marLeft w:val="0"/>
                              <w:marRight w:val="0"/>
                              <w:marTop w:val="0"/>
                              <w:marBottom w:val="0"/>
                              <w:divBdr>
                                <w:top w:val="none" w:sz="0" w:space="0" w:color="auto"/>
                                <w:left w:val="none" w:sz="0" w:space="0" w:color="auto"/>
                                <w:bottom w:val="none" w:sz="0" w:space="0" w:color="auto"/>
                                <w:right w:val="none" w:sz="0" w:space="0" w:color="auto"/>
                              </w:divBdr>
                            </w:div>
                            <w:div w:id="1175849733">
                              <w:marLeft w:val="0"/>
                              <w:marRight w:val="0"/>
                              <w:marTop w:val="0"/>
                              <w:marBottom w:val="0"/>
                              <w:divBdr>
                                <w:top w:val="none" w:sz="0" w:space="0" w:color="auto"/>
                                <w:left w:val="none" w:sz="0" w:space="0" w:color="auto"/>
                                <w:bottom w:val="none" w:sz="0" w:space="0" w:color="auto"/>
                                <w:right w:val="none" w:sz="0" w:space="0" w:color="auto"/>
                              </w:divBdr>
                            </w:div>
                            <w:div w:id="1175849734">
                              <w:marLeft w:val="0"/>
                              <w:marRight w:val="0"/>
                              <w:marTop w:val="0"/>
                              <w:marBottom w:val="0"/>
                              <w:divBdr>
                                <w:top w:val="none" w:sz="0" w:space="0" w:color="auto"/>
                                <w:left w:val="none" w:sz="0" w:space="0" w:color="auto"/>
                                <w:bottom w:val="none" w:sz="0" w:space="0" w:color="auto"/>
                                <w:right w:val="none" w:sz="0" w:space="0" w:color="auto"/>
                              </w:divBdr>
                            </w:div>
                            <w:div w:id="1175849750">
                              <w:marLeft w:val="0"/>
                              <w:marRight w:val="0"/>
                              <w:marTop w:val="0"/>
                              <w:marBottom w:val="0"/>
                              <w:divBdr>
                                <w:top w:val="none" w:sz="0" w:space="0" w:color="auto"/>
                                <w:left w:val="none" w:sz="0" w:space="0" w:color="auto"/>
                                <w:bottom w:val="none" w:sz="0" w:space="0" w:color="auto"/>
                                <w:right w:val="none" w:sz="0" w:space="0" w:color="auto"/>
                              </w:divBdr>
                              <w:divsChild>
                                <w:div w:id="1175849631">
                                  <w:marLeft w:val="0"/>
                                  <w:marRight w:val="0"/>
                                  <w:marTop w:val="0"/>
                                  <w:marBottom w:val="0"/>
                                  <w:divBdr>
                                    <w:top w:val="none" w:sz="0" w:space="0" w:color="auto"/>
                                    <w:left w:val="none" w:sz="0" w:space="0" w:color="auto"/>
                                    <w:bottom w:val="none" w:sz="0" w:space="0" w:color="auto"/>
                                    <w:right w:val="none" w:sz="0" w:space="0" w:color="auto"/>
                                  </w:divBdr>
                                </w:div>
                                <w:div w:id="1175849636">
                                  <w:marLeft w:val="0"/>
                                  <w:marRight w:val="0"/>
                                  <w:marTop w:val="0"/>
                                  <w:marBottom w:val="0"/>
                                  <w:divBdr>
                                    <w:top w:val="none" w:sz="0" w:space="0" w:color="auto"/>
                                    <w:left w:val="none" w:sz="0" w:space="0" w:color="auto"/>
                                    <w:bottom w:val="none" w:sz="0" w:space="0" w:color="auto"/>
                                    <w:right w:val="none" w:sz="0" w:space="0" w:color="auto"/>
                                  </w:divBdr>
                                </w:div>
                                <w:div w:id="1175849637">
                                  <w:marLeft w:val="0"/>
                                  <w:marRight w:val="0"/>
                                  <w:marTop w:val="0"/>
                                  <w:marBottom w:val="0"/>
                                  <w:divBdr>
                                    <w:top w:val="none" w:sz="0" w:space="0" w:color="auto"/>
                                    <w:left w:val="none" w:sz="0" w:space="0" w:color="auto"/>
                                    <w:bottom w:val="none" w:sz="0" w:space="0" w:color="auto"/>
                                    <w:right w:val="none" w:sz="0" w:space="0" w:color="auto"/>
                                  </w:divBdr>
                                </w:div>
                                <w:div w:id="1175849641">
                                  <w:marLeft w:val="0"/>
                                  <w:marRight w:val="0"/>
                                  <w:marTop w:val="0"/>
                                  <w:marBottom w:val="0"/>
                                  <w:divBdr>
                                    <w:top w:val="none" w:sz="0" w:space="0" w:color="auto"/>
                                    <w:left w:val="none" w:sz="0" w:space="0" w:color="auto"/>
                                    <w:bottom w:val="none" w:sz="0" w:space="0" w:color="auto"/>
                                    <w:right w:val="none" w:sz="0" w:space="0" w:color="auto"/>
                                  </w:divBdr>
                                </w:div>
                                <w:div w:id="1175849653">
                                  <w:marLeft w:val="0"/>
                                  <w:marRight w:val="0"/>
                                  <w:marTop w:val="0"/>
                                  <w:marBottom w:val="0"/>
                                  <w:divBdr>
                                    <w:top w:val="none" w:sz="0" w:space="0" w:color="auto"/>
                                    <w:left w:val="none" w:sz="0" w:space="0" w:color="auto"/>
                                    <w:bottom w:val="none" w:sz="0" w:space="0" w:color="auto"/>
                                    <w:right w:val="none" w:sz="0" w:space="0" w:color="auto"/>
                                  </w:divBdr>
                                </w:div>
                                <w:div w:id="1175849654">
                                  <w:marLeft w:val="0"/>
                                  <w:marRight w:val="0"/>
                                  <w:marTop w:val="0"/>
                                  <w:marBottom w:val="0"/>
                                  <w:divBdr>
                                    <w:top w:val="none" w:sz="0" w:space="0" w:color="auto"/>
                                    <w:left w:val="none" w:sz="0" w:space="0" w:color="auto"/>
                                    <w:bottom w:val="none" w:sz="0" w:space="0" w:color="auto"/>
                                    <w:right w:val="none" w:sz="0" w:space="0" w:color="auto"/>
                                  </w:divBdr>
                                </w:div>
                                <w:div w:id="1175849658">
                                  <w:marLeft w:val="0"/>
                                  <w:marRight w:val="0"/>
                                  <w:marTop w:val="0"/>
                                  <w:marBottom w:val="0"/>
                                  <w:divBdr>
                                    <w:top w:val="none" w:sz="0" w:space="0" w:color="auto"/>
                                    <w:left w:val="none" w:sz="0" w:space="0" w:color="auto"/>
                                    <w:bottom w:val="none" w:sz="0" w:space="0" w:color="auto"/>
                                    <w:right w:val="none" w:sz="0" w:space="0" w:color="auto"/>
                                  </w:divBdr>
                                </w:div>
                                <w:div w:id="1175849661">
                                  <w:marLeft w:val="0"/>
                                  <w:marRight w:val="0"/>
                                  <w:marTop w:val="0"/>
                                  <w:marBottom w:val="0"/>
                                  <w:divBdr>
                                    <w:top w:val="none" w:sz="0" w:space="0" w:color="auto"/>
                                    <w:left w:val="none" w:sz="0" w:space="0" w:color="auto"/>
                                    <w:bottom w:val="none" w:sz="0" w:space="0" w:color="auto"/>
                                    <w:right w:val="none" w:sz="0" w:space="0" w:color="auto"/>
                                  </w:divBdr>
                                </w:div>
                                <w:div w:id="1175849663">
                                  <w:marLeft w:val="0"/>
                                  <w:marRight w:val="0"/>
                                  <w:marTop w:val="0"/>
                                  <w:marBottom w:val="0"/>
                                  <w:divBdr>
                                    <w:top w:val="none" w:sz="0" w:space="0" w:color="auto"/>
                                    <w:left w:val="none" w:sz="0" w:space="0" w:color="auto"/>
                                    <w:bottom w:val="none" w:sz="0" w:space="0" w:color="auto"/>
                                    <w:right w:val="none" w:sz="0" w:space="0" w:color="auto"/>
                                  </w:divBdr>
                                </w:div>
                                <w:div w:id="1175849681">
                                  <w:marLeft w:val="0"/>
                                  <w:marRight w:val="0"/>
                                  <w:marTop w:val="0"/>
                                  <w:marBottom w:val="0"/>
                                  <w:divBdr>
                                    <w:top w:val="none" w:sz="0" w:space="0" w:color="auto"/>
                                    <w:left w:val="none" w:sz="0" w:space="0" w:color="auto"/>
                                    <w:bottom w:val="none" w:sz="0" w:space="0" w:color="auto"/>
                                    <w:right w:val="none" w:sz="0" w:space="0" w:color="auto"/>
                                  </w:divBdr>
                                </w:div>
                                <w:div w:id="1175849689">
                                  <w:marLeft w:val="0"/>
                                  <w:marRight w:val="0"/>
                                  <w:marTop w:val="0"/>
                                  <w:marBottom w:val="0"/>
                                  <w:divBdr>
                                    <w:top w:val="none" w:sz="0" w:space="0" w:color="auto"/>
                                    <w:left w:val="none" w:sz="0" w:space="0" w:color="auto"/>
                                    <w:bottom w:val="none" w:sz="0" w:space="0" w:color="auto"/>
                                    <w:right w:val="none" w:sz="0" w:space="0" w:color="auto"/>
                                  </w:divBdr>
                                </w:div>
                                <w:div w:id="1175849710">
                                  <w:marLeft w:val="0"/>
                                  <w:marRight w:val="0"/>
                                  <w:marTop w:val="0"/>
                                  <w:marBottom w:val="0"/>
                                  <w:divBdr>
                                    <w:top w:val="none" w:sz="0" w:space="0" w:color="auto"/>
                                    <w:left w:val="none" w:sz="0" w:space="0" w:color="auto"/>
                                    <w:bottom w:val="none" w:sz="0" w:space="0" w:color="auto"/>
                                    <w:right w:val="none" w:sz="0" w:space="0" w:color="auto"/>
                                  </w:divBdr>
                                </w:div>
                                <w:div w:id="1175849712">
                                  <w:marLeft w:val="0"/>
                                  <w:marRight w:val="0"/>
                                  <w:marTop w:val="0"/>
                                  <w:marBottom w:val="0"/>
                                  <w:divBdr>
                                    <w:top w:val="none" w:sz="0" w:space="0" w:color="auto"/>
                                    <w:left w:val="none" w:sz="0" w:space="0" w:color="auto"/>
                                    <w:bottom w:val="none" w:sz="0" w:space="0" w:color="auto"/>
                                    <w:right w:val="none" w:sz="0" w:space="0" w:color="auto"/>
                                  </w:divBdr>
                                </w:div>
                                <w:div w:id="1175849729">
                                  <w:marLeft w:val="0"/>
                                  <w:marRight w:val="0"/>
                                  <w:marTop w:val="0"/>
                                  <w:marBottom w:val="0"/>
                                  <w:divBdr>
                                    <w:top w:val="none" w:sz="0" w:space="0" w:color="auto"/>
                                    <w:left w:val="none" w:sz="0" w:space="0" w:color="auto"/>
                                    <w:bottom w:val="none" w:sz="0" w:space="0" w:color="auto"/>
                                    <w:right w:val="none" w:sz="0" w:space="0" w:color="auto"/>
                                  </w:divBdr>
                                </w:div>
                                <w:div w:id="1175849739">
                                  <w:marLeft w:val="0"/>
                                  <w:marRight w:val="0"/>
                                  <w:marTop w:val="0"/>
                                  <w:marBottom w:val="0"/>
                                  <w:divBdr>
                                    <w:top w:val="none" w:sz="0" w:space="0" w:color="auto"/>
                                    <w:left w:val="none" w:sz="0" w:space="0" w:color="auto"/>
                                    <w:bottom w:val="none" w:sz="0" w:space="0" w:color="auto"/>
                                    <w:right w:val="none" w:sz="0" w:space="0" w:color="auto"/>
                                  </w:divBdr>
                                </w:div>
                                <w:div w:id="1175849743">
                                  <w:marLeft w:val="0"/>
                                  <w:marRight w:val="0"/>
                                  <w:marTop w:val="0"/>
                                  <w:marBottom w:val="0"/>
                                  <w:divBdr>
                                    <w:top w:val="none" w:sz="0" w:space="0" w:color="auto"/>
                                    <w:left w:val="none" w:sz="0" w:space="0" w:color="auto"/>
                                    <w:bottom w:val="none" w:sz="0" w:space="0" w:color="auto"/>
                                    <w:right w:val="none" w:sz="0" w:space="0" w:color="auto"/>
                                  </w:divBdr>
                                </w:div>
                                <w:div w:id="1175849752">
                                  <w:marLeft w:val="0"/>
                                  <w:marRight w:val="0"/>
                                  <w:marTop w:val="0"/>
                                  <w:marBottom w:val="0"/>
                                  <w:divBdr>
                                    <w:top w:val="none" w:sz="0" w:space="0" w:color="auto"/>
                                    <w:left w:val="none" w:sz="0" w:space="0" w:color="auto"/>
                                    <w:bottom w:val="none" w:sz="0" w:space="0" w:color="auto"/>
                                    <w:right w:val="none" w:sz="0" w:space="0" w:color="auto"/>
                                  </w:divBdr>
                                </w:div>
                                <w:div w:id="1175849760">
                                  <w:marLeft w:val="0"/>
                                  <w:marRight w:val="0"/>
                                  <w:marTop w:val="0"/>
                                  <w:marBottom w:val="0"/>
                                  <w:divBdr>
                                    <w:top w:val="none" w:sz="0" w:space="0" w:color="auto"/>
                                    <w:left w:val="none" w:sz="0" w:space="0" w:color="auto"/>
                                    <w:bottom w:val="none" w:sz="0" w:space="0" w:color="auto"/>
                                    <w:right w:val="none" w:sz="0" w:space="0" w:color="auto"/>
                                  </w:divBdr>
                                </w:div>
                                <w:div w:id="1175849770">
                                  <w:marLeft w:val="0"/>
                                  <w:marRight w:val="0"/>
                                  <w:marTop w:val="0"/>
                                  <w:marBottom w:val="0"/>
                                  <w:divBdr>
                                    <w:top w:val="none" w:sz="0" w:space="0" w:color="auto"/>
                                    <w:left w:val="none" w:sz="0" w:space="0" w:color="auto"/>
                                    <w:bottom w:val="none" w:sz="0" w:space="0" w:color="auto"/>
                                    <w:right w:val="none" w:sz="0" w:space="0" w:color="auto"/>
                                  </w:divBdr>
                                </w:div>
                                <w:div w:id="1175849780">
                                  <w:marLeft w:val="0"/>
                                  <w:marRight w:val="0"/>
                                  <w:marTop w:val="0"/>
                                  <w:marBottom w:val="0"/>
                                  <w:divBdr>
                                    <w:top w:val="none" w:sz="0" w:space="0" w:color="auto"/>
                                    <w:left w:val="none" w:sz="0" w:space="0" w:color="auto"/>
                                    <w:bottom w:val="none" w:sz="0" w:space="0" w:color="auto"/>
                                    <w:right w:val="none" w:sz="0" w:space="0" w:color="auto"/>
                                  </w:divBdr>
                                </w:div>
                              </w:divsChild>
                            </w:div>
                            <w:div w:id="1175849783">
                              <w:marLeft w:val="0"/>
                              <w:marRight w:val="0"/>
                              <w:marTop w:val="0"/>
                              <w:marBottom w:val="0"/>
                              <w:divBdr>
                                <w:top w:val="none" w:sz="0" w:space="0" w:color="auto"/>
                                <w:left w:val="none" w:sz="0" w:space="0" w:color="auto"/>
                                <w:bottom w:val="none" w:sz="0" w:space="0" w:color="auto"/>
                                <w:right w:val="none" w:sz="0" w:space="0" w:color="auto"/>
                              </w:divBdr>
                            </w:div>
                            <w:div w:id="1175849785">
                              <w:marLeft w:val="0"/>
                              <w:marRight w:val="0"/>
                              <w:marTop w:val="0"/>
                              <w:marBottom w:val="0"/>
                              <w:divBdr>
                                <w:top w:val="none" w:sz="0" w:space="0" w:color="auto"/>
                                <w:left w:val="none" w:sz="0" w:space="0" w:color="auto"/>
                                <w:bottom w:val="none" w:sz="0" w:space="0" w:color="auto"/>
                                <w:right w:val="none" w:sz="0" w:space="0" w:color="auto"/>
                              </w:divBdr>
                              <w:divsChild>
                                <w:div w:id="1175849635">
                                  <w:marLeft w:val="0"/>
                                  <w:marRight w:val="0"/>
                                  <w:marTop w:val="0"/>
                                  <w:marBottom w:val="0"/>
                                  <w:divBdr>
                                    <w:top w:val="none" w:sz="0" w:space="0" w:color="auto"/>
                                    <w:left w:val="none" w:sz="0" w:space="0" w:color="auto"/>
                                    <w:bottom w:val="none" w:sz="0" w:space="0" w:color="auto"/>
                                    <w:right w:val="none" w:sz="0" w:space="0" w:color="auto"/>
                                  </w:divBdr>
                                </w:div>
                                <w:div w:id="1175849640">
                                  <w:marLeft w:val="0"/>
                                  <w:marRight w:val="0"/>
                                  <w:marTop w:val="0"/>
                                  <w:marBottom w:val="0"/>
                                  <w:divBdr>
                                    <w:top w:val="none" w:sz="0" w:space="0" w:color="auto"/>
                                    <w:left w:val="none" w:sz="0" w:space="0" w:color="auto"/>
                                    <w:bottom w:val="none" w:sz="0" w:space="0" w:color="auto"/>
                                    <w:right w:val="none" w:sz="0" w:space="0" w:color="auto"/>
                                  </w:divBdr>
                                </w:div>
                                <w:div w:id="1175849674">
                                  <w:marLeft w:val="0"/>
                                  <w:marRight w:val="0"/>
                                  <w:marTop w:val="0"/>
                                  <w:marBottom w:val="0"/>
                                  <w:divBdr>
                                    <w:top w:val="none" w:sz="0" w:space="0" w:color="auto"/>
                                    <w:left w:val="none" w:sz="0" w:space="0" w:color="auto"/>
                                    <w:bottom w:val="none" w:sz="0" w:space="0" w:color="auto"/>
                                    <w:right w:val="none" w:sz="0" w:space="0" w:color="auto"/>
                                  </w:divBdr>
                                </w:div>
                                <w:div w:id="1175849679">
                                  <w:marLeft w:val="0"/>
                                  <w:marRight w:val="0"/>
                                  <w:marTop w:val="0"/>
                                  <w:marBottom w:val="0"/>
                                  <w:divBdr>
                                    <w:top w:val="none" w:sz="0" w:space="0" w:color="auto"/>
                                    <w:left w:val="none" w:sz="0" w:space="0" w:color="auto"/>
                                    <w:bottom w:val="none" w:sz="0" w:space="0" w:color="auto"/>
                                    <w:right w:val="none" w:sz="0" w:space="0" w:color="auto"/>
                                  </w:divBdr>
                                </w:div>
                                <w:div w:id="1175849688">
                                  <w:marLeft w:val="0"/>
                                  <w:marRight w:val="0"/>
                                  <w:marTop w:val="0"/>
                                  <w:marBottom w:val="0"/>
                                  <w:divBdr>
                                    <w:top w:val="none" w:sz="0" w:space="0" w:color="auto"/>
                                    <w:left w:val="none" w:sz="0" w:space="0" w:color="auto"/>
                                    <w:bottom w:val="none" w:sz="0" w:space="0" w:color="auto"/>
                                    <w:right w:val="none" w:sz="0" w:space="0" w:color="auto"/>
                                  </w:divBdr>
                                </w:div>
                                <w:div w:id="1175849696">
                                  <w:marLeft w:val="0"/>
                                  <w:marRight w:val="0"/>
                                  <w:marTop w:val="0"/>
                                  <w:marBottom w:val="0"/>
                                  <w:divBdr>
                                    <w:top w:val="none" w:sz="0" w:space="0" w:color="auto"/>
                                    <w:left w:val="none" w:sz="0" w:space="0" w:color="auto"/>
                                    <w:bottom w:val="none" w:sz="0" w:space="0" w:color="auto"/>
                                    <w:right w:val="none" w:sz="0" w:space="0" w:color="auto"/>
                                  </w:divBdr>
                                </w:div>
                                <w:div w:id="1175849707">
                                  <w:marLeft w:val="0"/>
                                  <w:marRight w:val="0"/>
                                  <w:marTop w:val="0"/>
                                  <w:marBottom w:val="0"/>
                                  <w:divBdr>
                                    <w:top w:val="none" w:sz="0" w:space="0" w:color="auto"/>
                                    <w:left w:val="none" w:sz="0" w:space="0" w:color="auto"/>
                                    <w:bottom w:val="none" w:sz="0" w:space="0" w:color="auto"/>
                                    <w:right w:val="none" w:sz="0" w:space="0" w:color="auto"/>
                                  </w:divBdr>
                                </w:div>
                                <w:div w:id="1175849719">
                                  <w:marLeft w:val="0"/>
                                  <w:marRight w:val="0"/>
                                  <w:marTop w:val="0"/>
                                  <w:marBottom w:val="0"/>
                                  <w:divBdr>
                                    <w:top w:val="none" w:sz="0" w:space="0" w:color="auto"/>
                                    <w:left w:val="none" w:sz="0" w:space="0" w:color="auto"/>
                                    <w:bottom w:val="none" w:sz="0" w:space="0" w:color="auto"/>
                                    <w:right w:val="none" w:sz="0" w:space="0" w:color="auto"/>
                                  </w:divBdr>
                                </w:div>
                                <w:div w:id="1175849720">
                                  <w:marLeft w:val="0"/>
                                  <w:marRight w:val="0"/>
                                  <w:marTop w:val="0"/>
                                  <w:marBottom w:val="0"/>
                                  <w:divBdr>
                                    <w:top w:val="none" w:sz="0" w:space="0" w:color="auto"/>
                                    <w:left w:val="none" w:sz="0" w:space="0" w:color="auto"/>
                                    <w:bottom w:val="none" w:sz="0" w:space="0" w:color="auto"/>
                                    <w:right w:val="none" w:sz="0" w:space="0" w:color="auto"/>
                                  </w:divBdr>
                                </w:div>
                                <w:div w:id="1175849722">
                                  <w:marLeft w:val="0"/>
                                  <w:marRight w:val="0"/>
                                  <w:marTop w:val="0"/>
                                  <w:marBottom w:val="0"/>
                                  <w:divBdr>
                                    <w:top w:val="none" w:sz="0" w:space="0" w:color="auto"/>
                                    <w:left w:val="none" w:sz="0" w:space="0" w:color="auto"/>
                                    <w:bottom w:val="none" w:sz="0" w:space="0" w:color="auto"/>
                                    <w:right w:val="none" w:sz="0" w:space="0" w:color="auto"/>
                                  </w:divBdr>
                                </w:div>
                                <w:div w:id="1175849724">
                                  <w:marLeft w:val="0"/>
                                  <w:marRight w:val="0"/>
                                  <w:marTop w:val="0"/>
                                  <w:marBottom w:val="0"/>
                                  <w:divBdr>
                                    <w:top w:val="none" w:sz="0" w:space="0" w:color="auto"/>
                                    <w:left w:val="none" w:sz="0" w:space="0" w:color="auto"/>
                                    <w:bottom w:val="none" w:sz="0" w:space="0" w:color="auto"/>
                                    <w:right w:val="none" w:sz="0" w:space="0" w:color="auto"/>
                                  </w:divBdr>
                                </w:div>
                                <w:div w:id="1175849736">
                                  <w:marLeft w:val="0"/>
                                  <w:marRight w:val="0"/>
                                  <w:marTop w:val="0"/>
                                  <w:marBottom w:val="0"/>
                                  <w:divBdr>
                                    <w:top w:val="none" w:sz="0" w:space="0" w:color="auto"/>
                                    <w:left w:val="none" w:sz="0" w:space="0" w:color="auto"/>
                                    <w:bottom w:val="none" w:sz="0" w:space="0" w:color="auto"/>
                                    <w:right w:val="none" w:sz="0" w:space="0" w:color="auto"/>
                                  </w:divBdr>
                                </w:div>
                                <w:div w:id="1175849740">
                                  <w:marLeft w:val="0"/>
                                  <w:marRight w:val="0"/>
                                  <w:marTop w:val="0"/>
                                  <w:marBottom w:val="0"/>
                                  <w:divBdr>
                                    <w:top w:val="none" w:sz="0" w:space="0" w:color="auto"/>
                                    <w:left w:val="none" w:sz="0" w:space="0" w:color="auto"/>
                                    <w:bottom w:val="none" w:sz="0" w:space="0" w:color="auto"/>
                                    <w:right w:val="none" w:sz="0" w:space="0" w:color="auto"/>
                                  </w:divBdr>
                                </w:div>
                                <w:div w:id="1175849742">
                                  <w:marLeft w:val="0"/>
                                  <w:marRight w:val="0"/>
                                  <w:marTop w:val="0"/>
                                  <w:marBottom w:val="0"/>
                                  <w:divBdr>
                                    <w:top w:val="none" w:sz="0" w:space="0" w:color="auto"/>
                                    <w:left w:val="none" w:sz="0" w:space="0" w:color="auto"/>
                                    <w:bottom w:val="none" w:sz="0" w:space="0" w:color="auto"/>
                                    <w:right w:val="none" w:sz="0" w:space="0" w:color="auto"/>
                                  </w:divBdr>
                                </w:div>
                                <w:div w:id="1175849749">
                                  <w:marLeft w:val="0"/>
                                  <w:marRight w:val="0"/>
                                  <w:marTop w:val="0"/>
                                  <w:marBottom w:val="0"/>
                                  <w:divBdr>
                                    <w:top w:val="none" w:sz="0" w:space="0" w:color="auto"/>
                                    <w:left w:val="none" w:sz="0" w:space="0" w:color="auto"/>
                                    <w:bottom w:val="none" w:sz="0" w:space="0" w:color="auto"/>
                                    <w:right w:val="none" w:sz="0" w:space="0" w:color="auto"/>
                                  </w:divBdr>
                                </w:div>
                                <w:div w:id="1175849761">
                                  <w:marLeft w:val="0"/>
                                  <w:marRight w:val="0"/>
                                  <w:marTop w:val="0"/>
                                  <w:marBottom w:val="0"/>
                                  <w:divBdr>
                                    <w:top w:val="none" w:sz="0" w:space="0" w:color="auto"/>
                                    <w:left w:val="none" w:sz="0" w:space="0" w:color="auto"/>
                                    <w:bottom w:val="none" w:sz="0" w:space="0" w:color="auto"/>
                                    <w:right w:val="none" w:sz="0" w:space="0" w:color="auto"/>
                                  </w:divBdr>
                                </w:div>
                                <w:div w:id="1175849765">
                                  <w:marLeft w:val="0"/>
                                  <w:marRight w:val="0"/>
                                  <w:marTop w:val="0"/>
                                  <w:marBottom w:val="0"/>
                                  <w:divBdr>
                                    <w:top w:val="none" w:sz="0" w:space="0" w:color="auto"/>
                                    <w:left w:val="none" w:sz="0" w:space="0" w:color="auto"/>
                                    <w:bottom w:val="none" w:sz="0" w:space="0" w:color="auto"/>
                                    <w:right w:val="none" w:sz="0" w:space="0" w:color="auto"/>
                                  </w:divBdr>
                                </w:div>
                                <w:div w:id="1175849768">
                                  <w:marLeft w:val="0"/>
                                  <w:marRight w:val="0"/>
                                  <w:marTop w:val="0"/>
                                  <w:marBottom w:val="0"/>
                                  <w:divBdr>
                                    <w:top w:val="none" w:sz="0" w:space="0" w:color="auto"/>
                                    <w:left w:val="none" w:sz="0" w:space="0" w:color="auto"/>
                                    <w:bottom w:val="none" w:sz="0" w:space="0" w:color="auto"/>
                                    <w:right w:val="none" w:sz="0" w:space="0" w:color="auto"/>
                                  </w:divBdr>
                                </w:div>
                                <w:div w:id="1175849773">
                                  <w:marLeft w:val="0"/>
                                  <w:marRight w:val="0"/>
                                  <w:marTop w:val="0"/>
                                  <w:marBottom w:val="0"/>
                                  <w:divBdr>
                                    <w:top w:val="none" w:sz="0" w:space="0" w:color="auto"/>
                                    <w:left w:val="none" w:sz="0" w:space="0" w:color="auto"/>
                                    <w:bottom w:val="none" w:sz="0" w:space="0" w:color="auto"/>
                                    <w:right w:val="none" w:sz="0" w:space="0" w:color="auto"/>
                                  </w:divBdr>
                                </w:div>
                                <w:div w:id="11758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49687">
                  <w:marLeft w:val="86"/>
                  <w:marRight w:val="0"/>
                  <w:marTop w:val="514"/>
                  <w:marBottom w:val="0"/>
                  <w:divBdr>
                    <w:top w:val="none" w:sz="0" w:space="0" w:color="auto"/>
                    <w:left w:val="none" w:sz="0" w:space="0" w:color="auto"/>
                    <w:bottom w:val="none" w:sz="0" w:space="0" w:color="auto"/>
                    <w:right w:val="none" w:sz="0" w:space="0" w:color="auto"/>
                  </w:divBdr>
                </w:div>
                <w:div w:id="1175849762">
                  <w:marLeft w:val="86"/>
                  <w:marRight w:val="0"/>
                  <w:marTop w:val="257"/>
                  <w:marBottom w:val="0"/>
                  <w:divBdr>
                    <w:top w:val="none" w:sz="0" w:space="0" w:color="auto"/>
                    <w:left w:val="none" w:sz="0" w:space="0" w:color="auto"/>
                    <w:bottom w:val="none" w:sz="0" w:space="0" w:color="auto"/>
                    <w:right w:val="none" w:sz="0" w:space="0" w:color="auto"/>
                  </w:divBdr>
                </w:div>
              </w:divsChild>
            </w:div>
          </w:divsChild>
        </w:div>
        <w:div w:id="1175849748">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30">
              <w:marLeft w:val="0"/>
              <w:marRight w:val="0"/>
              <w:marTop w:val="0"/>
              <w:marBottom w:val="0"/>
              <w:divBdr>
                <w:top w:val="none" w:sz="0" w:space="0" w:color="auto"/>
                <w:left w:val="none" w:sz="0" w:space="0" w:color="auto"/>
                <w:bottom w:val="none" w:sz="0" w:space="0" w:color="auto"/>
                <w:right w:val="single" w:sz="6" w:space="3" w:color="FFFFFF"/>
              </w:divBdr>
            </w:div>
            <w:div w:id="1175849655">
              <w:marLeft w:val="0"/>
              <w:marRight w:val="0"/>
              <w:marTop w:val="0"/>
              <w:marBottom w:val="0"/>
              <w:divBdr>
                <w:top w:val="none" w:sz="0" w:space="0" w:color="auto"/>
                <w:left w:val="none" w:sz="0" w:space="0" w:color="auto"/>
                <w:bottom w:val="none" w:sz="0" w:space="0" w:color="auto"/>
                <w:right w:val="single" w:sz="6" w:space="3" w:color="FFFFFF"/>
              </w:divBdr>
            </w:div>
            <w:div w:id="1175849718">
              <w:marLeft w:val="0"/>
              <w:marRight w:val="0"/>
              <w:marTop w:val="0"/>
              <w:marBottom w:val="0"/>
              <w:divBdr>
                <w:top w:val="none" w:sz="0" w:space="0" w:color="auto"/>
                <w:left w:val="none" w:sz="0" w:space="0" w:color="auto"/>
                <w:bottom w:val="none" w:sz="0" w:space="0" w:color="auto"/>
                <w:right w:val="single" w:sz="6" w:space="3" w:color="FFFFFF"/>
              </w:divBdr>
            </w:div>
            <w:div w:id="1175849778">
              <w:marLeft w:val="0"/>
              <w:marRight w:val="0"/>
              <w:marTop w:val="0"/>
              <w:marBottom w:val="0"/>
              <w:divBdr>
                <w:top w:val="none" w:sz="0" w:space="0" w:color="auto"/>
                <w:left w:val="none" w:sz="0" w:space="0" w:color="auto"/>
                <w:bottom w:val="none" w:sz="0" w:space="0" w:color="auto"/>
                <w:right w:val="single" w:sz="6" w:space="3" w:color="FFFFFF"/>
              </w:divBdr>
            </w:div>
            <w:div w:id="1175849784">
              <w:marLeft w:val="0"/>
              <w:marRight w:val="0"/>
              <w:marTop w:val="0"/>
              <w:marBottom w:val="0"/>
              <w:divBdr>
                <w:top w:val="none" w:sz="0" w:space="0" w:color="auto"/>
                <w:left w:val="none" w:sz="0" w:space="0" w:color="auto"/>
                <w:bottom w:val="none" w:sz="0" w:space="0" w:color="auto"/>
                <w:right w:val="none" w:sz="0" w:space="0" w:color="auto"/>
              </w:divBdr>
            </w:div>
          </w:divsChild>
        </w:div>
        <w:div w:id="1175849751">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51">
              <w:marLeft w:val="0"/>
              <w:marRight w:val="0"/>
              <w:marTop w:val="0"/>
              <w:marBottom w:val="0"/>
              <w:divBdr>
                <w:top w:val="none" w:sz="0" w:space="0" w:color="auto"/>
                <w:left w:val="none" w:sz="0" w:space="0" w:color="auto"/>
                <w:bottom w:val="single" w:sz="6" w:space="3" w:color="FFFFFF"/>
                <w:right w:val="none" w:sz="0" w:space="0" w:color="auto"/>
              </w:divBdr>
            </w:div>
            <w:div w:id="1175849665">
              <w:marLeft w:val="0"/>
              <w:marRight w:val="0"/>
              <w:marTop w:val="0"/>
              <w:marBottom w:val="0"/>
              <w:divBdr>
                <w:top w:val="none" w:sz="0" w:space="0" w:color="auto"/>
                <w:left w:val="none" w:sz="0" w:space="0" w:color="auto"/>
                <w:bottom w:val="single" w:sz="6" w:space="3" w:color="FFFFFF"/>
                <w:right w:val="none" w:sz="0" w:space="0" w:color="auto"/>
              </w:divBdr>
            </w:div>
            <w:div w:id="1175849708">
              <w:marLeft w:val="0"/>
              <w:marRight w:val="0"/>
              <w:marTop w:val="0"/>
              <w:marBottom w:val="0"/>
              <w:divBdr>
                <w:top w:val="none" w:sz="0" w:space="0" w:color="auto"/>
                <w:left w:val="none" w:sz="0" w:space="0" w:color="auto"/>
                <w:bottom w:val="single" w:sz="6" w:space="3" w:color="FFFFFF"/>
                <w:right w:val="none" w:sz="0" w:space="0" w:color="auto"/>
              </w:divBdr>
            </w:div>
            <w:div w:id="1175849746">
              <w:marLeft w:val="0"/>
              <w:marRight w:val="0"/>
              <w:marTop w:val="0"/>
              <w:marBottom w:val="0"/>
              <w:divBdr>
                <w:top w:val="none" w:sz="0" w:space="0" w:color="auto"/>
                <w:left w:val="none" w:sz="0" w:space="0" w:color="auto"/>
                <w:bottom w:val="single" w:sz="6" w:space="3" w:color="FFFFFF"/>
                <w:right w:val="none" w:sz="0" w:space="0" w:color="auto"/>
              </w:divBdr>
            </w:div>
            <w:div w:id="1175849764">
              <w:marLeft w:val="0"/>
              <w:marRight w:val="0"/>
              <w:marTop w:val="0"/>
              <w:marBottom w:val="0"/>
              <w:divBdr>
                <w:top w:val="none" w:sz="0" w:space="0" w:color="auto"/>
                <w:left w:val="none" w:sz="0" w:space="0" w:color="auto"/>
                <w:bottom w:val="none" w:sz="0" w:space="0" w:color="auto"/>
                <w:right w:val="none" w:sz="0" w:space="0" w:color="auto"/>
              </w:divBdr>
            </w:div>
            <w:div w:id="1175849771">
              <w:marLeft w:val="0"/>
              <w:marRight w:val="0"/>
              <w:marTop w:val="0"/>
              <w:marBottom w:val="0"/>
              <w:divBdr>
                <w:top w:val="none" w:sz="0" w:space="0" w:color="auto"/>
                <w:left w:val="none" w:sz="0" w:space="0" w:color="auto"/>
                <w:bottom w:val="single" w:sz="6" w:space="3" w:color="FFFFFF"/>
                <w:right w:val="none" w:sz="0" w:space="0" w:color="auto"/>
              </w:divBdr>
            </w:div>
          </w:divsChild>
        </w:div>
        <w:div w:id="1175849755">
          <w:marLeft w:val="0"/>
          <w:marRight w:val="0"/>
          <w:marTop w:val="0"/>
          <w:marBottom w:val="0"/>
          <w:divBdr>
            <w:top w:val="single" w:sz="6" w:space="0" w:color="FFFFFF"/>
            <w:left w:val="single" w:sz="6" w:space="0" w:color="FFFFFF"/>
            <w:bottom w:val="single" w:sz="6" w:space="0" w:color="FFFFFF"/>
            <w:right w:val="single" w:sz="6" w:space="0" w:color="FFFFFF"/>
          </w:divBdr>
          <w:divsChild>
            <w:div w:id="1175849642">
              <w:marLeft w:val="0"/>
              <w:marRight w:val="0"/>
              <w:marTop w:val="0"/>
              <w:marBottom w:val="0"/>
              <w:divBdr>
                <w:top w:val="none" w:sz="0" w:space="0" w:color="auto"/>
                <w:left w:val="none" w:sz="0" w:space="0" w:color="auto"/>
                <w:bottom w:val="single" w:sz="6" w:space="3" w:color="FFFFFF"/>
                <w:right w:val="none" w:sz="0" w:space="0" w:color="auto"/>
              </w:divBdr>
            </w:div>
            <w:div w:id="1175849686">
              <w:marLeft w:val="0"/>
              <w:marRight w:val="0"/>
              <w:marTop w:val="0"/>
              <w:marBottom w:val="0"/>
              <w:divBdr>
                <w:top w:val="none" w:sz="0" w:space="0" w:color="auto"/>
                <w:left w:val="none" w:sz="0" w:space="0" w:color="auto"/>
                <w:bottom w:val="single" w:sz="6" w:space="3" w:color="FFFFFF"/>
                <w:right w:val="none" w:sz="0" w:space="0" w:color="auto"/>
              </w:divBdr>
            </w:div>
            <w:div w:id="1175849692">
              <w:marLeft w:val="0"/>
              <w:marRight w:val="0"/>
              <w:marTop w:val="0"/>
              <w:marBottom w:val="0"/>
              <w:divBdr>
                <w:top w:val="none" w:sz="0" w:space="0" w:color="auto"/>
                <w:left w:val="none" w:sz="0" w:space="0" w:color="auto"/>
                <w:bottom w:val="single" w:sz="6" w:space="3" w:color="FFFFFF"/>
                <w:right w:val="none" w:sz="0" w:space="0" w:color="auto"/>
              </w:divBdr>
            </w:div>
            <w:div w:id="1175849728">
              <w:marLeft w:val="0"/>
              <w:marRight w:val="0"/>
              <w:marTop w:val="0"/>
              <w:marBottom w:val="0"/>
              <w:divBdr>
                <w:top w:val="none" w:sz="0" w:space="0" w:color="auto"/>
                <w:left w:val="none" w:sz="0" w:space="0" w:color="auto"/>
                <w:bottom w:val="none" w:sz="0" w:space="0" w:color="auto"/>
                <w:right w:val="none" w:sz="0" w:space="0" w:color="auto"/>
              </w:divBdr>
            </w:div>
            <w:div w:id="1175849766">
              <w:marLeft w:val="0"/>
              <w:marRight w:val="0"/>
              <w:marTop w:val="0"/>
              <w:marBottom w:val="0"/>
              <w:divBdr>
                <w:top w:val="none" w:sz="0" w:space="0" w:color="auto"/>
                <w:left w:val="none" w:sz="0" w:space="0" w:color="auto"/>
                <w:bottom w:val="single" w:sz="6" w:space="3" w:color="FFFFFF"/>
                <w:right w:val="none" w:sz="0" w:space="0" w:color="auto"/>
              </w:divBdr>
            </w:div>
          </w:divsChild>
        </w:div>
        <w:div w:id="1175849782">
          <w:marLeft w:val="0"/>
          <w:marRight w:val="0"/>
          <w:marTop w:val="0"/>
          <w:marBottom w:val="0"/>
          <w:divBdr>
            <w:top w:val="none" w:sz="0" w:space="0" w:color="auto"/>
            <w:left w:val="none" w:sz="0" w:space="0" w:color="auto"/>
            <w:bottom w:val="none" w:sz="0" w:space="0" w:color="auto"/>
            <w:right w:val="none" w:sz="0" w:space="0" w:color="auto"/>
          </w:divBdr>
        </w:div>
        <w:div w:id="1175849786">
          <w:marLeft w:val="0"/>
          <w:marRight w:val="0"/>
          <w:marTop w:val="0"/>
          <w:marBottom w:val="0"/>
          <w:divBdr>
            <w:top w:val="none" w:sz="0" w:space="0" w:color="auto"/>
            <w:left w:val="none" w:sz="0" w:space="0" w:color="auto"/>
            <w:bottom w:val="none" w:sz="0" w:space="0" w:color="auto"/>
            <w:right w:val="none" w:sz="0" w:space="0" w:color="auto"/>
          </w:divBdr>
        </w:div>
        <w:div w:id="1175849787">
          <w:marLeft w:val="0"/>
          <w:marRight w:val="0"/>
          <w:marTop w:val="0"/>
          <w:marBottom w:val="0"/>
          <w:divBdr>
            <w:top w:val="single" w:sz="6" w:space="0" w:color="FFFFFF"/>
            <w:left w:val="single" w:sz="6" w:space="0" w:color="FFFFFF"/>
            <w:bottom w:val="single" w:sz="6" w:space="0" w:color="FFFFFF"/>
            <w:right w:val="single" w:sz="6" w:space="0" w:color="FFFFFF"/>
          </w:divBdr>
          <w:divsChild>
            <w:div w:id="1175849756">
              <w:marLeft w:val="0"/>
              <w:marRight w:val="0"/>
              <w:marTop w:val="0"/>
              <w:marBottom w:val="0"/>
              <w:divBdr>
                <w:top w:val="none" w:sz="0" w:space="0" w:color="auto"/>
                <w:left w:val="none" w:sz="0" w:space="0" w:color="auto"/>
                <w:bottom w:val="none" w:sz="0" w:space="0" w:color="auto"/>
                <w:right w:val="none" w:sz="0" w:space="0" w:color="auto"/>
              </w:divBdr>
            </w:div>
            <w:div w:id="1175849772">
              <w:marLeft w:val="0"/>
              <w:marRight w:val="0"/>
              <w:marTop w:val="0"/>
              <w:marBottom w:val="0"/>
              <w:divBdr>
                <w:top w:val="none" w:sz="0" w:space="0" w:color="auto"/>
                <w:left w:val="none" w:sz="0" w:space="0" w:color="auto"/>
                <w:bottom w:val="single" w:sz="6" w:space="3" w:color="FFFFFF"/>
                <w:right w:val="none" w:sz="0" w:space="0" w:color="auto"/>
              </w:divBdr>
            </w:div>
            <w:div w:id="1175849776">
              <w:marLeft w:val="0"/>
              <w:marRight w:val="0"/>
              <w:marTop w:val="0"/>
              <w:marBottom w:val="0"/>
              <w:divBdr>
                <w:top w:val="none" w:sz="0" w:space="0" w:color="auto"/>
                <w:left w:val="none" w:sz="0" w:space="0" w:color="auto"/>
                <w:bottom w:val="single" w:sz="6" w:space="3" w:color="FFFFFF"/>
                <w:right w:val="none" w:sz="0" w:space="0" w:color="auto"/>
              </w:divBdr>
            </w:div>
          </w:divsChild>
        </w:div>
      </w:divsChild>
    </w:div>
    <w:div w:id="1175849644">
      <w:marLeft w:val="0"/>
      <w:marRight w:val="0"/>
      <w:marTop w:val="0"/>
      <w:marBottom w:val="0"/>
      <w:divBdr>
        <w:top w:val="none" w:sz="0" w:space="0" w:color="auto"/>
        <w:left w:val="none" w:sz="0" w:space="0" w:color="auto"/>
        <w:bottom w:val="none" w:sz="0" w:space="0" w:color="auto"/>
        <w:right w:val="none" w:sz="0" w:space="0" w:color="auto"/>
      </w:divBdr>
    </w:div>
    <w:div w:id="1175849646">
      <w:marLeft w:val="0"/>
      <w:marRight w:val="0"/>
      <w:marTop w:val="0"/>
      <w:marBottom w:val="0"/>
      <w:divBdr>
        <w:top w:val="none" w:sz="0" w:space="0" w:color="auto"/>
        <w:left w:val="none" w:sz="0" w:space="0" w:color="auto"/>
        <w:bottom w:val="none" w:sz="0" w:space="0" w:color="auto"/>
        <w:right w:val="none" w:sz="0" w:space="0" w:color="auto"/>
      </w:divBdr>
    </w:div>
    <w:div w:id="1175849669">
      <w:marLeft w:val="0"/>
      <w:marRight w:val="0"/>
      <w:marTop w:val="0"/>
      <w:marBottom w:val="0"/>
      <w:divBdr>
        <w:top w:val="none" w:sz="0" w:space="0" w:color="auto"/>
        <w:left w:val="none" w:sz="0" w:space="0" w:color="auto"/>
        <w:bottom w:val="none" w:sz="0" w:space="0" w:color="auto"/>
        <w:right w:val="none" w:sz="0" w:space="0" w:color="auto"/>
      </w:divBdr>
      <w:divsChild>
        <w:div w:id="1175849753">
          <w:marLeft w:val="2640"/>
          <w:marRight w:val="120"/>
          <w:marTop w:val="0"/>
          <w:marBottom w:val="0"/>
          <w:divBdr>
            <w:top w:val="none" w:sz="0" w:space="0" w:color="auto"/>
            <w:left w:val="none" w:sz="0" w:space="0" w:color="auto"/>
            <w:bottom w:val="none" w:sz="0" w:space="0" w:color="auto"/>
            <w:right w:val="none" w:sz="0" w:space="0" w:color="auto"/>
          </w:divBdr>
        </w:div>
      </w:divsChild>
    </w:div>
    <w:div w:id="1175849698">
      <w:marLeft w:val="0"/>
      <w:marRight w:val="0"/>
      <w:marTop w:val="0"/>
      <w:marBottom w:val="0"/>
      <w:divBdr>
        <w:top w:val="none" w:sz="0" w:space="0" w:color="auto"/>
        <w:left w:val="none" w:sz="0" w:space="0" w:color="auto"/>
        <w:bottom w:val="none" w:sz="0" w:space="0" w:color="auto"/>
        <w:right w:val="none" w:sz="0" w:space="0" w:color="auto"/>
      </w:divBdr>
      <w:divsChild>
        <w:div w:id="1175849691">
          <w:marLeft w:val="2640"/>
          <w:marRight w:val="120"/>
          <w:marTop w:val="0"/>
          <w:marBottom w:val="0"/>
          <w:divBdr>
            <w:top w:val="none" w:sz="0" w:space="0" w:color="auto"/>
            <w:left w:val="none" w:sz="0" w:space="0" w:color="auto"/>
            <w:bottom w:val="none" w:sz="0" w:space="0" w:color="auto"/>
            <w:right w:val="none" w:sz="0" w:space="0" w:color="auto"/>
          </w:divBdr>
        </w:div>
      </w:divsChild>
    </w:div>
    <w:div w:id="1175849702">
      <w:marLeft w:val="0"/>
      <w:marRight w:val="0"/>
      <w:marTop w:val="0"/>
      <w:marBottom w:val="0"/>
      <w:divBdr>
        <w:top w:val="none" w:sz="0" w:space="0" w:color="auto"/>
        <w:left w:val="none" w:sz="0" w:space="0" w:color="auto"/>
        <w:bottom w:val="none" w:sz="0" w:space="0" w:color="auto"/>
        <w:right w:val="none" w:sz="0" w:space="0" w:color="auto"/>
      </w:divBdr>
    </w:div>
    <w:div w:id="1175849727">
      <w:marLeft w:val="0"/>
      <w:marRight w:val="0"/>
      <w:marTop w:val="0"/>
      <w:marBottom w:val="0"/>
      <w:divBdr>
        <w:top w:val="none" w:sz="0" w:space="0" w:color="auto"/>
        <w:left w:val="none" w:sz="0" w:space="0" w:color="auto"/>
        <w:bottom w:val="none" w:sz="0" w:space="0" w:color="auto"/>
        <w:right w:val="none" w:sz="0" w:space="0" w:color="auto"/>
      </w:divBdr>
      <w:divsChild>
        <w:div w:id="1175849701">
          <w:marLeft w:val="0"/>
          <w:marRight w:val="0"/>
          <w:marTop w:val="0"/>
          <w:marBottom w:val="0"/>
          <w:divBdr>
            <w:top w:val="none" w:sz="0" w:space="0" w:color="auto"/>
            <w:left w:val="none" w:sz="0" w:space="0" w:color="auto"/>
            <w:bottom w:val="none" w:sz="0" w:space="0" w:color="auto"/>
            <w:right w:val="none" w:sz="0" w:space="0" w:color="auto"/>
          </w:divBdr>
        </w:div>
      </w:divsChild>
    </w:div>
    <w:div w:id="1175849732">
      <w:marLeft w:val="0"/>
      <w:marRight w:val="0"/>
      <w:marTop w:val="0"/>
      <w:marBottom w:val="0"/>
      <w:divBdr>
        <w:top w:val="none" w:sz="0" w:space="0" w:color="auto"/>
        <w:left w:val="none" w:sz="0" w:space="0" w:color="auto"/>
        <w:bottom w:val="none" w:sz="0" w:space="0" w:color="auto"/>
        <w:right w:val="none" w:sz="0" w:space="0" w:color="auto"/>
      </w:divBdr>
    </w:div>
    <w:div w:id="1175849741">
      <w:marLeft w:val="0"/>
      <w:marRight w:val="0"/>
      <w:marTop w:val="0"/>
      <w:marBottom w:val="0"/>
      <w:divBdr>
        <w:top w:val="none" w:sz="0" w:space="0" w:color="auto"/>
        <w:left w:val="none" w:sz="0" w:space="0" w:color="auto"/>
        <w:bottom w:val="none" w:sz="0" w:space="0" w:color="auto"/>
        <w:right w:val="none" w:sz="0" w:space="0" w:color="auto"/>
      </w:divBdr>
    </w:div>
    <w:div w:id="1175849774">
      <w:marLeft w:val="0"/>
      <w:marRight w:val="0"/>
      <w:marTop w:val="0"/>
      <w:marBottom w:val="0"/>
      <w:divBdr>
        <w:top w:val="none" w:sz="0" w:space="0" w:color="auto"/>
        <w:left w:val="none" w:sz="0" w:space="0" w:color="auto"/>
        <w:bottom w:val="none" w:sz="0" w:space="0" w:color="auto"/>
        <w:right w:val="none" w:sz="0" w:space="0" w:color="auto"/>
      </w:divBdr>
    </w:div>
    <w:div w:id="1177844030">
      <w:bodyDiv w:val="1"/>
      <w:marLeft w:val="0"/>
      <w:marRight w:val="0"/>
      <w:marTop w:val="0"/>
      <w:marBottom w:val="0"/>
      <w:divBdr>
        <w:top w:val="none" w:sz="0" w:space="0" w:color="auto"/>
        <w:left w:val="none" w:sz="0" w:space="0" w:color="auto"/>
        <w:bottom w:val="none" w:sz="0" w:space="0" w:color="auto"/>
        <w:right w:val="none" w:sz="0" w:space="0" w:color="auto"/>
      </w:divBdr>
    </w:div>
    <w:div w:id="1193765890">
      <w:bodyDiv w:val="1"/>
      <w:marLeft w:val="0"/>
      <w:marRight w:val="0"/>
      <w:marTop w:val="0"/>
      <w:marBottom w:val="0"/>
      <w:divBdr>
        <w:top w:val="none" w:sz="0" w:space="0" w:color="auto"/>
        <w:left w:val="none" w:sz="0" w:space="0" w:color="auto"/>
        <w:bottom w:val="none" w:sz="0" w:space="0" w:color="auto"/>
        <w:right w:val="none" w:sz="0" w:space="0" w:color="auto"/>
      </w:divBdr>
    </w:div>
    <w:div w:id="1219048501">
      <w:bodyDiv w:val="1"/>
      <w:marLeft w:val="0"/>
      <w:marRight w:val="0"/>
      <w:marTop w:val="0"/>
      <w:marBottom w:val="0"/>
      <w:divBdr>
        <w:top w:val="none" w:sz="0" w:space="0" w:color="auto"/>
        <w:left w:val="none" w:sz="0" w:space="0" w:color="auto"/>
        <w:bottom w:val="none" w:sz="0" w:space="0" w:color="auto"/>
        <w:right w:val="none" w:sz="0" w:space="0" w:color="auto"/>
      </w:divBdr>
    </w:div>
    <w:div w:id="1249921848">
      <w:bodyDiv w:val="1"/>
      <w:marLeft w:val="0"/>
      <w:marRight w:val="0"/>
      <w:marTop w:val="0"/>
      <w:marBottom w:val="0"/>
      <w:divBdr>
        <w:top w:val="none" w:sz="0" w:space="0" w:color="auto"/>
        <w:left w:val="none" w:sz="0" w:space="0" w:color="auto"/>
        <w:bottom w:val="none" w:sz="0" w:space="0" w:color="auto"/>
        <w:right w:val="none" w:sz="0" w:space="0" w:color="auto"/>
      </w:divBdr>
    </w:div>
    <w:div w:id="1302541931">
      <w:bodyDiv w:val="1"/>
      <w:marLeft w:val="0"/>
      <w:marRight w:val="0"/>
      <w:marTop w:val="0"/>
      <w:marBottom w:val="0"/>
      <w:divBdr>
        <w:top w:val="none" w:sz="0" w:space="0" w:color="auto"/>
        <w:left w:val="none" w:sz="0" w:space="0" w:color="auto"/>
        <w:bottom w:val="none" w:sz="0" w:space="0" w:color="auto"/>
        <w:right w:val="none" w:sz="0" w:space="0" w:color="auto"/>
      </w:divBdr>
    </w:div>
    <w:div w:id="1413161768">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585189574">
      <w:bodyDiv w:val="1"/>
      <w:marLeft w:val="0"/>
      <w:marRight w:val="0"/>
      <w:marTop w:val="0"/>
      <w:marBottom w:val="0"/>
      <w:divBdr>
        <w:top w:val="none" w:sz="0" w:space="0" w:color="auto"/>
        <w:left w:val="none" w:sz="0" w:space="0" w:color="auto"/>
        <w:bottom w:val="none" w:sz="0" w:space="0" w:color="auto"/>
        <w:right w:val="none" w:sz="0" w:space="0" w:color="auto"/>
      </w:divBdr>
    </w:div>
    <w:div w:id="1684866421">
      <w:bodyDiv w:val="1"/>
      <w:marLeft w:val="0"/>
      <w:marRight w:val="0"/>
      <w:marTop w:val="0"/>
      <w:marBottom w:val="0"/>
      <w:divBdr>
        <w:top w:val="none" w:sz="0" w:space="0" w:color="auto"/>
        <w:left w:val="none" w:sz="0" w:space="0" w:color="auto"/>
        <w:bottom w:val="none" w:sz="0" w:space="0" w:color="auto"/>
        <w:right w:val="none" w:sz="0" w:space="0" w:color="auto"/>
      </w:divBdr>
    </w:div>
    <w:div w:id="1764061049">
      <w:bodyDiv w:val="1"/>
      <w:marLeft w:val="0"/>
      <w:marRight w:val="0"/>
      <w:marTop w:val="0"/>
      <w:marBottom w:val="0"/>
      <w:divBdr>
        <w:top w:val="none" w:sz="0" w:space="0" w:color="auto"/>
        <w:left w:val="none" w:sz="0" w:space="0" w:color="auto"/>
        <w:bottom w:val="none" w:sz="0" w:space="0" w:color="auto"/>
        <w:right w:val="none" w:sz="0" w:space="0" w:color="auto"/>
      </w:divBdr>
      <w:divsChild>
        <w:div w:id="552425718">
          <w:marLeft w:val="0"/>
          <w:marRight w:val="0"/>
          <w:marTop w:val="0"/>
          <w:marBottom w:val="0"/>
          <w:divBdr>
            <w:top w:val="none" w:sz="0" w:space="0" w:color="auto"/>
            <w:left w:val="none" w:sz="0" w:space="0" w:color="auto"/>
            <w:bottom w:val="none" w:sz="0" w:space="0" w:color="auto"/>
            <w:right w:val="none" w:sz="0" w:space="0" w:color="auto"/>
          </w:divBdr>
          <w:divsChild>
            <w:div w:id="439838268">
              <w:marLeft w:val="0"/>
              <w:marRight w:val="0"/>
              <w:marTop w:val="0"/>
              <w:marBottom w:val="0"/>
              <w:divBdr>
                <w:top w:val="none" w:sz="0" w:space="0" w:color="auto"/>
                <w:left w:val="none" w:sz="0" w:space="0" w:color="auto"/>
                <w:bottom w:val="none" w:sz="0" w:space="0" w:color="auto"/>
                <w:right w:val="none" w:sz="0" w:space="0" w:color="auto"/>
              </w:divBdr>
              <w:divsChild>
                <w:div w:id="1211113715">
                  <w:marLeft w:val="0"/>
                  <w:marRight w:val="0"/>
                  <w:marTop w:val="0"/>
                  <w:marBottom w:val="0"/>
                  <w:divBdr>
                    <w:top w:val="none" w:sz="0" w:space="0" w:color="auto"/>
                    <w:left w:val="none" w:sz="0" w:space="0" w:color="auto"/>
                    <w:bottom w:val="none" w:sz="0" w:space="0" w:color="auto"/>
                    <w:right w:val="none" w:sz="0" w:space="0" w:color="auto"/>
                  </w:divBdr>
                  <w:divsChild>
                    <w:div w:id="1808815449">
                      <w:marLeft w:val="0"/>
                      <w:marRight w:val="0"/>
                      <w:marTop w:val="0"/>
                      <w:marBottom w:val="0"/>
                      <w:divBdr>
                        <w:top w:val="none" w:sz="0" w:space="0" w:color="auto"/>
                        <w:left w:val="none" w:sz="0" w:space="0" w:color="auto"/>
                        <w:bottom w:val="none" w:sz="0" w:space="0" w:color="auto"/>
                        <w:right w:val="none" w:sz="0" w:space="0" w:color="auto"/>
                      </w:divBdr>
                      <w:divsChild>
                        <w:div w:id="1560557766">
                          <w:marLeft w:val="0"/>
                          <w:marRight w:val="0"/>
                          <w:marTop w:val="0"/>
                          <w:marBottom w:val="0"/>
                          <w:divBdr>
                            <w:top w:val="none" w:sz="0" w:space="0" w:color="auto"/>
                            <w:left w:val="none" w:sz="0" w:space="0" w:color="auto"/>
                            <w:bottom w:val="none" w:sz="0" w:space="0" w:color="auto"/>
                            <w:right w:val="none" w:sz="0" w:space="0" w:color="auto"/>
                          </w:divBdr>
                          <w:divsChild>
                            <w:div w:id="5847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09566">
      <w:bodyDiv w:val="1"/>
      <w:marLeft w:val="0"/>
      <w:marRight w:val="0"/>
      <w:marTop w:val="0"/>
      <w:marBottom w:val="0"/>
      <w:divBdr>
        <w:top w:val="none" w:sz="0" w:space="0" w:color="auto"/>
        <w:left w:val="none" w:sz="0" w:space="0" w:color="auto"/>
        <w:bottom w:val="none" w:sz="0" w:space="0" w:color="auto"/>
        <w:right w:val="none" w:sz="0" w:space="0" w:color="auto"/>
      </w:divBdr>
    </w:div>
    <w:div w:id="1947886178">
      <w:bodyDiv w:val="1"/>
      <w:marLeft w:val="0"/>
      <w:marRight w:val="0"/>
      <w:marTop w:val="0"/>
      <w:marBottom w:val="0"/>
      <w:divBdr>
        <w:top w:val="none" w:sz="0" w:space="0" w:color="auto"/>
        <w:left w:val="none" w:sz="0" w:space="0" w:color="auto"/>
        <w:bottom w:val="none" w:sz="0" w:space="0" w:color="auto"/>
        <w:right w:val="none" w:sz="0" w:space="0" w:color="auto"/>
      </w:divBdr>
    </w:div>
    <w:div w:id="1975211774">
      <w:bodyDiv w:val="1"/>
      <w:marLeft w:val="0"/>
      <w:marRight w:val="0"/>
      <w:marTop w:val="0"/>
      <w:marBottom w:val="0"/>
      <w:divBdr>
        <w:top w:val="none" w:sz="0" w:space="0" w:color="auto"/>
        <w:left w:val="none" w:sz="0" w:space="0" w:color="auto"/>
        <w:bottom w:val="none" w:sz="0" w:space="0" w:color="auto"/>
        <w:right w:val="none" w:sz="0" w:space="0" w:color="auto"/>
      </w:divBdr>
    </w:div>
    <w:div w:id="21189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wbcsd.org" TargetMode="External"/><Relationship Id="rId39" Type="http://schemas.openxmlformats.org/officeDocument/2006/relationships/image" Target="media/image13.wmf"/><Relationship Id="rId21" Type="http://schemas.openxmlformats.org/officeDocument/2006/relationships/hyperlink" Target="https://www.legislation.gov.au/Series/F2008L02309" TargetMode="External"/><Relationship Id="rId34"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image" Target="media/image21.wmf"/><Relationship Id="rId50" Type="http://schemas.openxmlformats.org/officeDocument/2006/relationships/image" Target="media/image24.wmf"/><Relationship Id="rId55" Type="http://schemas.openxmlformats.org/officeDocument/2006/relationships/image" Target="media/image29.wmf"/><Relationship Id="rId63" Type="http://schemas.openxmlformats.org/officeDocument/2006/relationships/image" Target="media/image37.wmf"/><Relationship Id="rId68" Type="http://schemas.openxmlformats.org/officeDocument/2006/relationships/image" Target="media/image42.wmf"/><Relationship Id="rId7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image" Target="media/image45.wmf"/><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mailto:nationalgreenhouseaccounts@environment.gov.au" TargetMode="External"/><Relationship Id="rId11" Type="http://schemas.openxmlformats.org/officeDocument/2006/relationships/image" Target="media/image3.jpeg"/><Relationship Id="rId24" Type="http://schemas.openxmlformats.org/officeDocument/2006/relationships/hyperlink" Target="http://www.cleanenergyregulator.gov.au/OSR/EERS/The-Emissions-and-Energy-Reporting-System" TargetMode="External"/><Relationship Id="rId32" Type="http://schemas.openxmlformats.org/officeDocument/2006/relationships/image" Target="media/image6.wmf"/><Relationship Id="rId37" Type="http://schemas.openxmlformats.org/officeDocument/2006/relationships/image" Target="media/image11.wmf"/><Relationship Id="rId40" Type="http://schemas.openxmlformats.org/officeDocument/2006/relationships/image" Target="media/image14.wmf"/><Relationship Id="rId45"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image" Target="media/image32.wmf"/><Relationship Id="rId66" Type="http://schemas.openxmlformats.org/officeDocument/2006/relationships/image" Target="media/image40.wmf"/><Relationship Id="rId7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cleanenergyregulator.gov.au/NGER/About-the-National-Greenhouse-and-Energy-Reporting-scheme" TargetMode="External"/><Relationship Id="rId28" Type="http://schemas.openxmlformats.org/officeDocument/2006/relationships/hyperlink" Target="http://www.ghgprotocol.org/" TargetMode="External"/><Relationship Id="rId36" Type="http://schemas.openxmlformats.org/officeDocument/2006/relationships/image" Target="media/image10.wmf"/><Relationship Id="rId49" Type="http://schemas.openxmlformats.org/officeDocument/2006/relationships/image" Target="media/image23.wmf"/><Relationship Id="rId57" Type="http://schemas.openxmlformats.org/officeDocument/2006/relationships/image" Target="media/image31.wmf"/><Relationship Id="rId61" Type="http://schemas.openxmlformats.org/officeDocument/2006/relationships/image" Target="media/image35.wmf"/><Relationship Id="rId10" Type="http://schemas.openxmlformats.org/officeDocument/2006/relationships/hyperlink" Target="http://creativecommons.org/licenses/by/3.0/au/" TargetMode="External"/><Relationship Id="rId19" Type="http://schemas.openxmlformats.org/officeDocument/2006/relationships/header" Target="header4.xml"/><Relationship Id="rId31" Type="http://schemas.openxmlformats.org/officeDocument/2006/relationships/image" Target="media/image5.wmf"/><Relationship Id="rId44" Type="http://schemas.openxmlformats.org/officeDocument/2006/relationships/image" Target="media/image18.wmf"/><Relationship Id="rId52" Type="http://schemas.openxmlformats.org/officeDocument/2006/relationships/image" Target="media/image26.wmf"/><Relationship Id="rId60" Type="http://schemas.openxmlformats.org/officeDocument/2006/relationships/image" Target="media/image34.wmf"/><Relationship Id="rId65" Type="http://schemas.openxmlformats.org/officeDocument/2006/relationships/image" Target="media/image39.wmf"/><Relationship Id="rId73" Type="http://schemas.openxmlformats.org/officeDocument/2006/relationships/hyperlink" Target="mailto:nationalgreenhouseaccounts@environment.gov.au"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hyperlink" Target="http://www.ipcc-nggip.iges.or.jp" TargetMode="External"/><Relationship Id="rId27" Type="http://schemas.openxmlformats.org/officeDocument/2006/relationships/hyperlink" Target="http://www.wri.org" TargetMode="External"/><Relationship Id="rId30" Type="http://schemas.openxmlformats.org/officeDocument/2006/relationships/hyperlink" Target="mailto:reporting@cleanenergyregulator.gov.au" TargetMode="External"/><Relationship Id="rId35"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image" Target="media/image22.wmf"/><Relationship Id="rId56" Type="http://schemas.openxmlformats.org/officeDocument/2006/relationships/image" Target="media/image30.wmf"/><Relationship Id="rId64" Type="http://schemas.openxmlformats.org/officeDocument/2006/relationships/image" Target="media/image38.wmf"/><Relationship Id="rId69" Type="http://schemas.openxmlformats.org/officeDocument/2006/relationships/image" Target="media/image43.wmf"/><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5.wmf"/><Relationship Id="rId72" Type="http://schemas.openxmlformats.org/officeDocument/2006/relationships/hyperlink" Target="mailto:"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hyperlink" Target="http://www.unfccc.int" TargetMode="External"/><Relationship Id="rId33" Type="http://schemas.openxmlformats.org/officeDocument/2006/relationships/image" Target="media/image7.wmf"/><Relationship Id="rId38" Type="http://schemas.openxmlformats.org/officeDocument/2006/relationships/image" Target="media/image12.wmf"/><Relationship Id="rId46" Type="http://schemas.openxmlformats.org/officeDocument/2006/relationships/image" Target="media/image20.wmf"/><Relationship Id="rId59" Type="http://schemas.openxmlformats.org/officeDocument/2006/relationships/image" Target="media/image33.wmf"/><Relationship Id="rId67" Type="http://schemas.openxmlformats.org/officeDocument/2006/relationships/image" Target="media/image41.wmf"/><Relationship Id="rId20" Type="http://schemas.openxmlformats.org/officeDocument/2006/relationships/footer" Target="footer4.xml"/><Relationship Id="rId41" Type="http://schemas.openxmlformats.org/officeDocument/2006/relationships/image" Target="media/image15.wmf"/><Relationship Id="rId54" Type="http://schemas.openxmlformats.org/officeDocument/2006/relationships/image" Target="media/image28.wmf"/><Relationship Id="rId62" Type="http://schemas.openxmlformats.org/officeDocument/2006/relationships/image" Target="media/image36.wmf"/><Relationship Id="rId70" Type="http://schemas.openxmlformats.org/officeDocument/2006/relationships/image" Target="media/image44.wmf"/><Relationship Id="rId75"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B14D1-50CE-4E5E-8B35-BB33FD07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21990</Words>
  <Characters>121550</Characters>
  <Application>Microsoft Office Word</Application>
  <DocSecurity>0</DocSecurity>
  <Lines>1012</Lines>
  <Paragraphs>286</Paragraphs>
  <ScaleCrop>false</ScaleCrop>
  <HeadingPairs>
    <vt:vector size="2" baseType="variant">
      <vt:variant>
        <vt:lpstr>Title</vt:lpstr>
      </vt:variant>
      <vt:variant>
        <vt:i4>1</vt:i4>
      </vt:variant>
    </vt:vector>
  </HeadingPairs>
  <TitlesOfParts>
    <vt:vector size="1" baseType="lpstr">
      <vt:lpstr>National Greenhouse Accounts Factors July 2017</vt:lpstr>
    </vt:vector>
  </TitlesOfParts>
  <LinksUpToDate>false</LinksUpToDate>
  <CharactersWithSpaces>143254</CharactersWithSpaces>
  <SharedDoc>false</SharedDoc>
  <HLinks>
    <vt:vector size="354" baseType="variant">
      <vt:variant>
        <vt:i4>1245184</vt:i4>
      </vt:variant>
      <vt:variant>
        <vt:i4>555</vt:i4>
      </vt:variant>
      <vt:variant>
        <vt:i4>0</vt:i4>
      </vt:variant>
      <vt:variant>
        <vt:i4>5</vt:i4>
      </vt:variant>
      <vt:variant>
        <vt:lpwstr>http://www.btre.gov.au/info.aspx?NodeId=16&amp;ResourceId=133</vt:lpwstr>
      </vt:variant>
      <vt:variant>
        <vt:lpwstr/>
      </vt:variant>
      <vt:variant>
        <vt:i4>3997780</vt:i4>
      </vt:variant>
      <vt:variant>
        <vt:i4>516</vt:i4>
      </vt:variant>
      <vt:variant>
        <vt:i4>0</vt:i4>
      </vt:variant>
      <vt:variant>
        <vt:i4>5</vt:i4>
      </vt:variant>
      <vt:variant>
        <vt:lpwstr>mailto:gnrm@climatechange.gov.au</vt:lpwstr>
      </vt:variant>
      <vt:variant>
        <vt:lpwstr/>
      </vt:variant>
      <vt:variant>
        <vt:i4>2555975</vt:i4>
      </vt:variant>
      <vt:variant>
        <vt:i4>513</vt:i4>
      </vt:variant>
      <vt:variant>
        <vt:i4>0</vt:i4>
      </vt:variant>
      <vt:variant>
        <vt:i4>5</vt:i4>
      </vt:variant>
      <vt:variant>
        <vt:lpwstr>mailto:ncas@climatechange.gov.au</vt:lpwstr>
      </vt:variant>
      <vt:variant>
        <vt:lpwstr/>
      </vt:variant>
      <vt:variant>
        <vt:i4>589909</vt:i4>
      </vt:variant>
      <vt:variant>
        <vt:i4>510</vt:i4>
      </vt:variant>
      <vt:variant>
        <vt:i4>0</vt:i4>
      </vt:variant>
      <vt:variant>
        <vt:i4>5</vt:i4>
      </vt:variant>
      <vt:variant>
        <vt:lpwstr>http://www.climatechange.gov.au/ncas</vt:lpwstr>
      </vt:variant>
      <vt:variant>
        <vt:lpwstr/>
      </vt:variant>
      <vt:variant>
        <vt:i4>7536648</vt:i4>
      </vt:variant>
      <vt:variant>
        <vt:i4>504</vt:i4>
      </vt:variant>
      <vt:variant>
        <vt:i4>0</vt:i4>
      </vt:variant>
      <vt:variant>
        <vt:i4>5</vt:i4>
      </vt:variant>
      <vt:variant>
        <vt:lpwstr>mailto:agriculture@climatechange.gov.au</vt:lpwstr>
      </vt:variant>
      <vt:variant>
        <vt:lpwstr/>
      </vt:variant>
      <vt:variant>
        <vt:i4>6553651</vt:i4>
      </vt:variant>
      <vt:variant>
        <vt:i4>501</vt:i4>
      </vt:variant>
      <vt:variant>
        <vt:i4>0</vt:i4>
      </vt:variant>
      <vt:variant>
        <vt:i4>5</vt:i4>
      </vt:variant>
      <vt:variant>
        <vt:lpwstr>http://www.climatechange.gov.au/agriculture</vt:lpwstr>
      </vt:variant>
      <vt:variant>
        <vt:lpwstr/>
      </vt:variant>
      <vt:variant>
        <vt:i4>6553651</vt:i4>
      </vt:variant>
      <vt:variant>
        <vt:i4>498</vt:i4>
      </vt:variant>
      <vt:variant>
        <vt:i4>0</vt:i4>
      </vt:variant>
      <vt:variant>
        <vt:i4>5</vt:i4>
      </vt:variant>
      <vt:variant>
        <vt:lpwstr>http://www.climatechange.gov.au/agriculture</vt:lpwstr>
      </vt:variant>
      <vt:variant>
        <vt:lpwstr/>
      </vt:variant>
      <vt:variant>
        <vt:i4>1966181</vt:i4>
      </vt:variant>
      <vt:variant>
        <vt:i4>321</vt:i4>
      </vt:variant>
      <vt:variant>
        <vt:i4>0</vt:i4>
      </vt:variant>
      <vt:variant>
        <vt:i4>5</vt:i4>
      </vt:variant>
      <vt:variant>
        <vt:lpwstr>mailto:reporting@climatechange.com.au</vt:lpwstr>
      </vt:variant>
      <vt:variant>
        <vt:lpwstr/>
      </vt:variant>
      <vt:variant>
        <vt:i4>6029360</vt:i4>
      </vt:variant>
      <vt:variant>
        <vt:i4>318</vt:i4>
      </vt:variant>
      <vt:variant>
        <vt:i4>0</vt:i4>
      </vt:variant>
      <vt:variant>
        <vt:i4>5</vt:i4>
      </vt:variant>
      <vt:variant>
        <vt:lpwstr>mailto:communications@climatechange.gov.au</vt:lpwstr>
      </vt:variant>
      <vt:variant>
        <vt:lpwstr/>
      </vt:variant>
      <vt:variant>
        <vt:i4>2752635</vt:i4>
      </vt:variant>
      <vt:variant>
        <vt:i4>315</vt:i4>
      </vt:variant>
      <vt:variant>
        <vt:i4>0</vt:i4>
      </vt:variant>
      <vt:variant>
        <vt:i4>5</vt:i4>
      </vt:variant>
      <vt:variant>
        <vt:lpwstr>http://www.ghgprotocol.org/</vt:lpwstr>
      </vt:variant>
      <vt:variant>
        <vt:lpwstr/>
      </vt:variant>
      <vt:variant>
        <vt:i4>3997822</vt:i4>
      </vt:variant>
      <vt:variant>
        <vt:i4>312</vt:i4>
      </vt:variant>
      <vt:variant>
        <vt:i4>0</vt:i4>
      </vt:variant>
      <vt:variant>
        <vt:i4>5</vt:i4>
      </vt:variant>
      <vt:variant>
        <vt:lpwstr>http://www.wri.org/</vt:lpwstr>
      </vt:variant>
      <vt:variant>
        <vt:lpwstr/>
      </vt:variant>
      <vt:variant>
        <vt:i4>5439517</vt:i4>
      </vt:variant>
      <vt:variant>
        <vt:i4>309</vt:i4>
      </vt:variant>
      <vt:variant>
        <vt:i4>0</vt:i4>
      </vt:variant>
      <vt:variant>
        <vt:i4>5</vt:i4>
      </vt:variant>
      <vt:variant>
        <vt:lpwstr>http://www.wbcsd.org/</vt:lpwstr>
      </vt:variant>
      <vt:variant>
        <vt:lpwstr/>
      </vt:variant>
      <vt:variant>
        <vt:i4>3407907</vt:i4>
      </vt:variant>
      <vt:variant>
        <vt:i4>306</vt:i4>
      </vt:variant>
      <vt:variant>
        <vt:i4>0</vt:i4>
      </vt:variant>
      <vt:variant>
        <vt:i4>5</vt:i4>
      </vt:variant>
      <vt:variant>
        <vt:lpwstr>http://www.unfccc.int/</vt:lpwstr>
      </vt:variant>
      <vt:variant>
        <vt:lpwstr/>
      </vt:variant>
      <vt:variant>
        <vt:i4>1769556</vt:i4>
      </vt:variant>
      <vt:variant>
        <vt:i4>303</vt:i4>
      </vt:variant>
      <vt:variant>
        <vt:i4>0</vt:i4>
      </vt:variant>
      <vt:variant>
        <vt:i4>5</vt:i4>
      </vt:variant>
      <vt:variant>
        <vt:lpwstr>http://www.climatechange.gov.au/reporting/index.html</vt:lpwstr>
      </vt:variant>
      <vt:variant>
        <vt:lpwstr/>
      </vt:variant>
      <vt:variant>
        <vt:i4>589824</vt:i4>
      </vt:variant>
      <vt:variant>
        <vt:i4>300</vt:i4>
      </vt:variant>
      <vt:variant>
        <vt:i4>0</vt:i4>
      </vt:variant>
      <vt:variant>
        <vt:i4>5</vt:i4>
      </vt:variant>
      <vt:variant>
        <vt:lpwstr>http://www.ipcc-nggip.iges.or.jp/</vt:lpwstr>
      </vt:variant>
      <vt:variant>
        <vt:lpwstr/>
      </vt:variant>
      <vt:variant>
        <vt:i4>393293</vt:i4>
      </vt:variant>
      <vt:variant>
        <vt:i4>297</vt:i4>
      </vt:variant>
      <vt:variant>
        <vt:i4>0</vt:i4>
      </vt:variant>
      <vt:variant>
        <vt:i4>5</vt:i4>
      </vt:variant>
      <vt:variant>
        <vt:lpwstr>http://www.climatechange.gov.au/inventory/index.html</vt:lpwstr>
      </vt:variant>
      <vt:variant>
        <vt:lpwstr/>
      </vt:variant>
      <vt:variant>
        <vt:i4>1310780</vt:i4>
      </vt:variant>
      <vt:variant>
        <vt:i4>290</vt:i4>
      </vt:variant>
      <vt:variant>
        <vt:i4>0</vt:i4>
      </vt:variant>
      <vt:variant>
        <vt:i4>5</vt:i4>
      </vt:variant>
      <vt:variant>
        <vt:lpwstr/>
      </vt:variant>
      <vt:variant>
        <vt:lpwstr>_Toc208220414</vt:lpwstr>
      </vt:variant>
      <vt:variant>
        <vt:i4>1310780</vt:i4>
      </vt:variant>
      <vt:variant>
        <vt:i4>284</vt:i4>
      </vt:variant>
      <vt:variant>
        <vt:i4>0</vt:i4>
      </vt:variant>
      <vt:variant>
        <vt:i4>5</vt:i4>
      </vt:variant>
      <vt:variant>
        <vt:lpwstr/>
      </vt:variant>
      <vt:variant>
        <vt:lpwstr>_Toc208220413</vt:lpwstr>
      </vt:variant>
      <vt:variant>
        <vt:i4>1310780</vt:i4>
      </vt:variant>
      <vt:variant>
        <vt:i4>278</vt:i4>
      </vt:variant>
      <vt:variant>
        <vt:i4>0</vt:i4>
      </vt:variant>
      <vt:variant>
        <vt:i4>5</vt:i4>
      </vt:variant>
      <vt:variant>
        <vt:lpwstr/>
      </vt:variant>
      <vt:variant>
        <vt:lpwstr>_Toc208220412</vt:lpwstr>
      </vt:variant>
      <vt:variant>
        <vt:i4>1310780</vt:i4>
      </vt:variant>
      <vt:variant>
        <vt:i4>272</vt:i4>
      </vt:variant>
      <vt:variant>
        <vt:i4>0</vt:i4>
      </vt:variant>
      <vt:variant>
        <vt:i4>5</vt:i4>
      </vt:variant>
      <vt:variant>
        <vt:lpwstr/>
      </vt:variant>
      <vt:variant>
        <vt:lpwstr>_Toc208220411</vt:lpwstr>
      </vt:variant>
      <vt:variant>
        <vt:i4>1310780</vt:i4>
      </vt:variant>
      <vt:variant>
        <vt:i4>266</vt:i4>
      </vt:variant>
      <vt:variant>
        <vt:i4>0</vt:i4>
      </vt:variant>
      <vt:variant>
        <vt:i4>5</vt:i4>
      </vt:variant>
      <vt:variant>
        <vt:lpwstr/>
      </vt:variant>
      <vt:variant>
        <vt:lpwstr>_Toc208220410</vt:lpwstr>
      </vt:variant>
      <vt:variant>
        <vt:i4>1376316</vt:i4>
      </vt:variant>
      <vt:variant>
        <vt:i4>260</vt:i4>
      </vt:variant>
      <vt:variant>
        <vt:i4>0</vt:i4>
      </vt:variant>
      <vt:variant>
        <vt:i4>5</vt:i4>
      </vt:variant>
      <vt:variant>
        <vt:lpwstr/>
      </vt:variant>
      <vt:variant>
        <vt:lpwstr>_Toc208220409</vt:lpwstr>
      </vt:variant>
      <vt:variant>
        <vt:i4>1376316</vt:i4>
      </vt:variant>
      <vt:variant>
        <vt:i4>254</vt:i4>
      </vt:variant>
      <vt:variant>
        <vt:i4>0</vt:i4>
      </vt:variant>
      <vt:variant>
        <vt:i4>5</vt:i4>
      </vt:variant>
      <vt:variant>
        <vt:lpwstr/>
      </vt:variant>
      <vt:variant>
        <vt:lpwstr>_Toc208220408</vt:lpwstr>
      </vt:variant>
      <vt:variant>
        <vt:i4>1376316</vt:i4>
      </vt:variant>
      <vt:variant>
        <vt:i4>248</vt:i4>
      </vt:variant>
      <vt:variant>
        <vt:i4>0</vt:i4>
      </vt:variant>
      <vt:variant>
        <vt:i4>5</vt:i4>
      </vt:variant>
      <vt:variant>
        <vt:lpwstr/>
      </vt:variant>
      <vt:variant>
        <vt:lpwstr>_Toc208220407</vt:lpwstr>
      </vt:variant>
      <vt:variant>
        <vt:i4>1376316</vt:i4>
      </vt:variant>
      <vt:variant>
        <vt:i4>242</vt:i4>
      </vt:variant>
      <vt:variant>
        <vt:i4>0</vt:i4>
      </vt:variant>
      <vt:variant>
        <vt:i4>5</vt:i4>
      </vt:variant>
      <vt:variant>
        <vt:lpwstr/>
      </vt:variant>
      <vt:variant>
        <vt:lpwstr>_Toc208220406</vt:lpwstr>
      </vt:variant>
      <vt:variant>
        <vt:i4>1376316</vt:i4>
      </vt:variant>
      <vt:variant>
        <vt:i4>236</vt:i4>
      </vt:variant>
      <vt:variant>
        <vt:i4>0</vt:i4>
      </vt:variant>
      <vt:variant>
        <vt:i4>5</vt:i4>
      </vt:variant>
      <vt:variant>
        <vt:lpwstr/>
      </vt:variant>
      <vt:variant>
        <vt:lpwstr>_Toc208220405</vt:lpwstr>
      </vt:variant>
      <vt:variant>
        <vt:i4>1376316</vt:i4>
      </vt:variant>
      <vt:variant>
        <vt:i4>230</vt:i4>
      </vt:variant>
      <vt:variant>
        <vt:i4>0</vt:i4>
      </vt:variant>
      <vt:variant>
        <vt:i4>5</vt:i4>
      </vt:variant>
      <vt:variant>
        <vt:lpwstr/>
      </vt:variant>
      <vt:variant>
        <vt:lpwstr>_Toc208220404</vt:lpwstr>
      </vt:variant>
      <vt:variant>
        <vt:i4>1376316</vt:i4>
      </vt:variant>
      <vt:variant>
        <vt:i4>224</vt:i4>
      </vt:variant>
      <vt:variant>
        <vt:i4>0</vt:i4>
      </vt:variant>
      <vt:variant>
        <vt:i4>5</vt:i4>
      </vt:variant>
      <vt:variant>
        <vt:lpwstr/>
      </vt:variant>
      <vt:variant>
        <vt:lpwstr>_Toc208220403</vt:lpwstr>
      </vt:variant>
      <vt:variant>
        <vt:i4>1376316</vt:i4>
      </vt:variant>
      <vt:variant>
        <vt:i4>218</vt:i4>
      </vt:variant>
      <vt:variant>
        <vt:i4>0</vt:i4>
      </vt:variant>
      <vt:variant>
        <vt:i4>5</vt:i4>
      </vt:variant>
      <vt:variant>
        <vt:lpwstr/>
      </vt:variant>
      <vt:variant>
        <vt:lpwstr>_Toc208220402</vt:lpwstr>
      </vt:variant>
      <vt:variant>
        <vt:i4>1376316</vt:i4>
      </vt:variant>
      <vt:variant>
        <vt:i4>212</vt:i4>
      </vt:variant>
      <vt:variant>
        <vt:i4>0</vt:i4>
      </vt:variant>
      <vt:variant>
        <vt:i4>5</vt:i4>
      </vt:variant>
      <vt:variant>
        <vt:lpwstr/>
      </vt:variant>
      <vt:variant>
        <vt:lpwstr>_Toc208220401</vt:lpwstr>
      </vt:variant>
      <vt:variant>
        <vt:i4>1376316</vt:i4>
      </vt:variant>
      <vt:variant>
        <vt:i4>206</vt:i4>
      </vt:variant>
      <vt:variant>
        <vt:i4>0</vt:i4>
      </vt:variant>
      <vt:variant>
        <vt:i4>5</vt:i4>
      </vt:variant>
      <vt:variant>
        <vt:lpwstr/>
      </vt:variant>
      <vt:variant>
        <vt:lpwstr>_Toc208220400</vt:lpwstr>
      </vt:variant>
      <vt:variant>
        <vt:i4>1835067</vt:i4>
      </vt:variant>
      <vt:variant>
        <vt:i4>200</vt:i4>
      </vt:variant>
      <vt:variant>
        <vt:i4>0</vt:i4>
      </vt:variant>
      <vt:variant>
        <vt:i4>5</vt:i4>
      </vt:variant>
      <vt:variant>
        <vt:lpwstr/>
      </vt:variant>
      <vt:variant>
        <vt:lpwstr>_Toc208220399</vt:lpwstr>
      </vt:variant>
      <vt:variant>
        <vt:i4>1835067</vt:i4>
      </vt:variant>
      <vt:variant>
        <vt:i4>194</vt:i4>
      </vt:variant>
      <vt:variant>
        <vt:i4>0</vt:i4>
      </vt:variant>
      <vt:variant>
        <vt:i4>5</vt:i4>
      </vt:variant>
      <vt:variant>
        <vt:lpwstr/>
      </vt:variant>
      <vt:variant>
        <vt:lpwstr>_Toc208220398</vt:lpwstr>
      </vt:variant>
      <vt:variant>
        <vt:i4>1835067</vt:i4>
      </vt:variant>
      <vt:variant>
        <vt:i4>188</vt:i4>
      </vt:variant>
      <vt:variant>
        <vt:i4>0</vt:i4>
      </vt:variant>
      <vt:variant>
        <vt:i4>5</vt:i4>
      </vt:variant>
      <vt:variant>
        <vt:lpwstr/>
      </vt:variant>
      <vt:variant>
        <vt:lpwstr>_Toc208220397</vt:lpwstr>
      </vt:variant>
      <vt:variant>
        <vt:i4>1835067</vt:i4>
      </vt:variant>
      <vt:variant>
        <vt:i4>182</vt:i4>
      </vt:variant>
      <vt:variant>
        <vt:i4>0</vt:i4>
      </vt:variant>
      <vt:variant>
        <vt:i4>5</vt:i4>
      </vt:variant>
      <vt:variant>
        <vt:lpwstr/>
      </vt:variant>
      <vt:variant>
        <vt:lpwstr>_Toc208220396</vt:lpwstr>
      </vt:variant>
      <vt:variant>
        <vt:i4>1835067</vt:i4>
      </vt:variant>
      <vt:variant>
        <vt:i4>176</vt:i4>
      </vt:variant>
      <vt:variant>
        <vt:i4>0</vt:i4>
      </vt:variant>
      <vt:variant>
        <vt:i4>5</vt:i4>
      </vt:variant>
      <vt:variant>
        <vt:lpwstr/>
      </vt:variant>
      <vt:variant>
        <vt:lpwstr>_Toc208220395</vt:lpwstr>
      </vt:variant>
      <vt:variant>
        <vt:i4>1835067</vt:i4>
      </vt:variant>
      <vt:variant>
        <vt:i4>170</vt:i4>
      </vt:variant>
      <vt:variant>
        <vt:i4>0</vt:i4>
      </vt:variant>
      <vt:variant>
        <vt:i4>5</vt:i4>
      </vt:variant>
      <vt:variant>
        <vt:lpwstr/>
      </vt:variant>
      <vt:variant>
        <vt:lpwstr>_Toc208220394</vt:lpwstr>
      </vt:variant>
      <vt:variant>
        <vt:i4>1835067</vt:i4>
      </vt:variant>
      <vt:variant>
        <vt:i4>164</vt:i4>
      </vt:variant>
      <vt:variant>
        <vt:i4>0</vt:i4>
      </vt:variant>
      <vt:variant>
        <vt:i4>5</vt:i4>
      </vt:variant>
      <vt:variant>
        <vt:lpwstr/>
      </vt:variant>
      <vt:variant>
        <vt:lpwstr>_Toc208220393</vt:lpwstr>
      </vt:variant>
      <vt:variant>
        <vt:i4>1835067</vt:i4>
      </vt:variant>
      <vt:variant>
        <vt:i4>158</vt:i4>
      </vt:variant>
      <vt:variant>
        <vt:i4>0</vt:i4>
      </vt:variant>
      <vt:variant>
        <vt:i4>5</vt:i4>
      </vt:variant>
      <vt:variant>
        <vt:lpwstr/>
      </vt:variant>
      <vt:variant>
        <vt:lpwstr>_Toc208220392</vt:lpwstr>
      </vt:variant>
      <vt:variant>
        <vt:i4>1835067</vt:i4>
      </vt:variant>
      <vt:variant>
        <vt:i4>152</vt:i4>
      </vt:variant>
      <vt:variant>
        <vt:i4>0</vt:i4>
      </vt:variant>
      <vt:variant>
        <vt:i4>5</vt:i4>
      </vt:variant>
      <vt:variant>
        <vt:lpwstr/>
      </vt:variant>
      <vt:variant>
        <vt:lpwstr>_Toc208220391</vt:lpwstr>
      </vt:variant>
      <vt:variant>
        <vt:i4>1835067</vt:i4>
      </vt:variant>
      <vt:variant>
        <vt:i4>146</vt:i4>
      </vt:variant>
      <vt:variant>
        <vt:i4>0</vt:i4>
      </vt:variant>
      <vt:variant>
        <vt:i4>5</vt:i4>
      </vt:variant>
      <vt:variant>
        <vt:lpwstr/>
      </vt:variant>
      <vt:variant>
        <vt:lpwstr>_Toc208220390</vt:lpwstr>
      </vt:variant>
      <vt:variant>
        <vt:i4>1900603</vt:i4>
      </vt:variant>
      <vt:variant>
        <vt:i4>140</vt:i4>
      </vt:variant>
      <vt:variant>
        <vt:i4>0</vt:i4>
      </vt:variant>
      <vt:variant>
        <vt:i4>5</vt:i4>
      </vt:variant>
      <vt:variant>
        <vt:lpwstr/>
      </vt:variant>
      <vt:variant>
        <vt:lpwstr>_Toc208220389</vt:lpwstr>
      </vt:variant>
      <vt:variant>
        <vt:i4>1900603</vt:i4>
      </vt:variant>
      <vt:variant>
        <vt:i4>134</vt:i4>
      </vt:variant>
      <vt:variant>
        <vt:i4>0</vt:i4>
      </vt:variant>
      <vt:variant>
        <vt:i4>5</vt:i4>
      </vt:variant>
      <vt:variant>
        <vt:lpwstr/>
      </vt:variant>
      <vt:variant>
        <vt:lpwstr>_Toc208220388</vt:lpwstr>
      </vt:variant>
      <vt:variant>
        <vt:i4>1900603</vt:i4>
      </vt:variant>
      <vt:variant>
        <vt:i4>128</vt:i4>
      </vt:variant>
      <vt:variant>
        <vt:i4>0</vt:i4>
      </vt:variant>
      <vt:variant>
        <vt:i4>5</vt:i4>
      </vt:variant>
      <vt:variant>
        <vt:lpwstr/>
      </vt:variant>
      <vt:variant>
        <vt:lpwstr>_Toc208220387</vt:lpwstr>
      </vt:variant>
      <vt:variant>
        <vt:i4>1900603</vt:i4>
      </vt:variant>
      <vt:variant>
        <vt:i4>122</vt:i4>
      </vt:variant>
      <vt:variant>
        <vt:i4>0</vt:i4>
      </vt:variant>
      <vt:variant>
        <vt:i4>5</vt:i4>
      </vt:variant>
      <vt:variant>
        <vt:lpwstr/>
      </vt:variant>
      <vt:variant>
        <vt:lpwstr>_Toc208220386</vt:lpwstr>
      </vt:variant>
      <vt:variant>
        <vt:i4>1900603</vt:i4>
      </vt:variant>
      <vt:variant>
        <vt:i4>116</vt:i4>
      </vt:variant>
      <vt:variant>
        <vt:i4>0</vt:i4>
      </vt:variant>
      <vt:variant>
        <vt:i4>5</vt:i4>
      </vt:variant>
      <vt:variant>
        <vt:lpwstr/>
      </vt:variant>
      <vt:variant>
        <vt:lpwstr>_Toc208220385</vt:lpwstr>
      </vt:variant>
      <vt:variant>
        <vt:i4>1900603</vt:i4>
      </vt:variant>
      <vt:variant>
        <vt:i4>110</vt:i4>
      </vt:variant>
      <vt:variant>
        <vt:i4>0</vt:i4>
      </vt:variant>
      <vt:variant>
        <vt:i4>5</vt:i4>
      </vt:variant>
      <vt:variant>
        <vt:lpwstr/>
      </vt:variant>
      <vt:variant>
        <vt:lpwstr>_Toc208220384</vt:lpwstr>
      </vt:variant>
      <vt:variant>
        <vt:i4>1900603</vt:i4>
      </vt:variant>
      <vt:variant>
        <vt:i4>104</vt:i4>
      </vt:variant>
      <vt:variant>
        <vt:i4>0</vt:i4>
      </vt:variant>
      <vt:variant>
        <vt:i4>5</vt:i4>
      </vt:variant>
      <vt:variant>
        <vt:lpwstr/>
      </vt:variant>
      <vt:variant>
        <vt:lpwstr>_Toc208220383</vt:lpwstr>
      </vt:variant>
      <vt:variant>
        <vt:i4>1900603</vt:i4>
      </vt:variant>
      <vt:variant>
        <vt:i4>98</vt:i4>
      </vt:variant>
      <vt:variant>
        <vt:i4>0</vt:i4>
      </vt:variant>
      <vt:variant>
        <vt:i4>5</vt:i4>
      </vt:variant>
      <vt:variant>
        <vt:lpwstr/>
      </vt:variant>
      <vt:variant>
        <vt:lpwstr>_Toc208220382</vt:lpwstr>
      </vt:variant>
      <vt:variant>
        <vt:i4>1900603</vt:i4>
      </vt:variant>
      <vt:variant>
        <vt:i4>92</vt:i4>
      </vt:variant>
      <vt:variant>
        <vt:i4>0</vt:i4>
      </vt:variant>
      <vt:variant>
        <vt:i4>5</vt:i4>
      </vt:variant>
      <vt:variant>
        <vt:lpwstr/>
      </vt:variant>
      <vt:variant>
        <vt:lpwstr>_Toc208220381</vt:lpwstr>
      </vt:variant>
      <vt:variant>
        <vt:i4>1900603</vt:i4>
      </vt:variant>
      <vt:variant>
        <vt:i4>86</vt:i4>
      </vt:variant>
      <vt:variant>
        <vt:i4>0</vt:i4>
      </vt:variant>
      <vt:variant>
        <vt:i4>5</vt:i4>
      </vt:variant>
      <vt:variant>
        <vt:lpwstr/>
      </vt:variant>
      <vt:variant>
        <vt:lpwstr>_Toc208220380</vt:lpwstr>
      </vt:variant>
      <vt:variant>
        <vt:i4>1179707</vt:i4>
      </vt:variant>
      <vt:variant>
        <vt:i4>80</vt:i4>
      </vt:variant>
      <vt:variant>
        <vt:i4>0</vt:i4>
      </vt:variant>
      <vt:variant>
        <vt:i4>5</vt:i4>
      </vt:variant>
      <vt:variant>
        <vt:lpwstr/>
      </vt:variant>
      <vt:variant>
        <vt:lpwstr>_Toc208220379</vt:lpwstr>
      </vt:variant>
      <vt:variant>
        <vt:i4>1179707</vt:i4>
      </vt:variant>
      <vt:variant>
        <vt:i4>74</vt:i4>
      </vt:variant>
      <vt:variant>
        <vt:i4>0</vt:i4>
      </vt:variant>
      <vt:variant>
        <vt:i4>5</vt:i4>
      </vt:variant>
      <vt:variant>
        <vt:lpwstr/>
      </vt:variant>
      <vt:variant>
        <vt:lpwstr>_Toc208220378</vt:lpwstr>
      </vt:variant>
      <vt:variant>
        <vt:i4>1179707</vt:i4>
      </vt:variant>
      <vt:variant>
        <vt:i4>68</vt:i4>
      </vt:variant>
      <vt:variant>
        <vt:i4>0</vt:i4>
      </vt:variant>
      <vt:variant>
        <vt:i4>5</vt:i4>
      </vt:variant>
      <vt:variant>
        <vt:lpwstr/>
      </vt:variant>
      <vt:variant>
        <vt:lpwstr>_Toc208220377</vt:lpwstr>
      </vt:variant>
      <vt:variant>
        <vt:i4>1179707</vt:i4>
      </vt:variant>
      <vt:variant>
        <vt:i4>62</vt:i4>
      </vt:variant>
      <vt:variant>
        <vt:i4>0</vt:i4>
      </vt:variant>
      <vt:variant>
        <vt:i4>5</vt:i4>
      </vt:variant>
      <vt:variant>
        <vt:lpwstr/>
      </vt:variant>
      <vt:variant>
        <vt:lpwstr>_Toc208220376</vt:lpwstr>
      </vt:variant>
      <vt:variant>
        <vt:i4>1179707</vt:i4>
      </vt:variant>
      <vt:variant>
        <vt:i4>56</vt:i4>
      </vt:variant>
      <vt:variant>
        <vt:i4>0</vt:i4>
      </vt:variant>
      <vt:variant>
        <vt:i4>5</vt:i4>
      </vt:variant>
      <vt:variant>
        <vt:lpwstr/>
      </vt:variant>
      <vt:variant>
        <vt:lpwstr>_Toc208220375</vt:lpwstr>
      </vt:variant>
      <vt:variant>
        <vt:i4>1179707</vt:i4>
      </vt:variant>
      <vt:variant>
        <vt:i4>50</vt:i4>
      </vt:variant>
      <vt:variant>
        <vt:i4>0</vt:i4>
      </vt:variant>
      <vt:variant>
        <vt:i4>5</vt:i4>
      </vt:variant>
      <vt:variant>
        <vt:lpwstr/>
      </vt:variant>
      <vt:variant>
        <vt:lpwstr>_Toc208220374</vt:lpwstr>
      </vt:variant>
      <vt:variant>
        <vt:i4>1179707</vt:i4>
      </vt:variant>
      <vt:variant>
        <vt:i4>44</vt:i4>
      </vt:variant>
      <vt:variant>
        <vt:i4>0</vt:i4>
      </vt:variant>
      <vt:variant>
        <vt:i4>5</vt:i4>
      </vt:variant>
      <vt:variant>
        <vt:lpwstr/>
      </vt:variant>
      <vt:variant>
        <vt:lpwstr>_Toc208220373</vt:lpwstr>
      </vt:variant>
      <vt:variant>
        <vt:i4>1179707</vt:i4>
      </vt:variant>
      <vt:variant>
        <vt:i4>38</vt:i4>
      </vt:variant>
      <vt:variant>
        <vt:i4>0</vt:i4>
      </vt:variant>
      <vt:variant>
        <vt:i4>5</vt:i4>
      </vt:variant>
      <vt:variant>
        <vt:lpwstr/>
      </vt:variant>
      <vt:variant>
        <vt:lpwstr>_Toc208220372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Greenhouse Accounts Factors July 2017</dc:title>
  <dc:creator/>
  <cp:lastModifiedBy/>
  <cp:revision>1</cp:revision>
  <dcterms:created xsi:type="dcterms:W3CDTF">2017-07-04T05:46:00Z</dcterms:created>
  <dcterms:modified xsi:type="dcterms:W3CDTF">2017-07-04T05:46:00Z</dcterms:modified>
</cp:coreProperties>
</file>