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21 november - Retorica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Model retorische kritiek Braet (2006)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‘Ik ben niet fout geweest, ik heb fouten gemaakt.’</w:t>
      </w:r>
    </w:p>
    <w:p w:rsidR="00000000" w:rsidDel="00000000" w:rsidP="00000000" w:rsidRDefault="00000000" w:rsidRPr="00000000" w14:paraId="00000005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Een retorische kritiek van de apologie van Willem Aantjes (1978) – Antoine Braet</w:t>
      </w:r>
    </w:p>
    <w:p w:rsidR="00000000" w:rsidDel="00000000" w:rsidP="00000000" w:rsidRDefault="00000000" w:rsidRPr="00000000" w14:paraId="00000006">
      <w:pPr>
        <w:spacing w:line="360" w:lineRule="auto"/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https://www.dbnl.org/tekst/_tij009200301_01/_tij009200301_01_0003.php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Persuasieve kritiek → Braet!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 van de pleiter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Maatstaf: effectiviteit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Hoe wordt geprobeerd publiek te winnen met logos, ethos en pathos (en ordening, verwoording en presentatie)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Dominante perspectief van de klassieke retorica // empirisch sociaal-psychologische persuasie-onderzoek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Argumentatieve kritiek </w:t>
      </w:r>
      <w:r w:rsidDel="00000000" w:rsidR="00000000" w:rsidRPr="00000000">
        <w:rPr>
          <w:rtl w:val="0"/>
        </w:rPr>
        <w:t xml:space="preserve">(Van Eemeren en Grotendorst)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 van rechter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Maatstaf = redelijkheid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Logos, de argumentatie (in de ideale situatie… etc)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Irrelevant zijn: ethos, pathos en de wervende kanten van de ordening, verwoording en presentatie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Aristoteles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aanzetten → moderne normatieve argumentatietheorie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 10 stappen van Braet</w:t>
      </w:r>
    </w:p>
    <w:p w:rsidR="00000000" w:rsidDel="00000000" w:rsidP="00000000" w:rsidRDefault="00000000" w:rsidRPr="00000000" w14:paraId="00000016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Preliminaire stap: eerste indruk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Achtergrond: historie en maatschappelijke omstandigheden;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Communicatiesituatie: spreker/schrijver, medium, tekst, onderwerp, publiek;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discussiesituatie: betooggenre en argumentatieve rol van spreker/schrijver;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Presentatie: mondelinge voordracht, opvallende schriftelijke vormgeving;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Ordening: de globale indeling, inleiding tot en met slot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Inhoud (I): de publiekgerichte delen, de inleiding en het slot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Inhoud (II)</w:t>
      </w:r>
      <w:r w:rsidDel="00000000" w:rsidR="00000000" w:rsidRPr="00000000">
        <w:rPr>
          <w:rtl w:val="0"/>
        </w:rPr>
        <w:t xml:space="preserve">: de zaakgerichte kern, vooral het standpunt en de argumentatie, maar ook de niet-redelijke elementen (ethos, pathos, humor)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Verwoording</w:t>
      </w:r>
      <w:r w:rsidDel="00000000" w:rsidR="00000000" w:rsidRPr="00000000">
        <w:rPr>
          <w:rtl w:val="0"/>
        </w:rPr>
        <w:t xml:space="preserve">: de correctheid, duidelijkheid, aantrekkelijkheid (functie van de stijlfiguren!) en passendheid; samenhang met voordracht;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Balans van de persuasieve analyse en eindbeoordeling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Formuleren van de kritiek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Aantjes v.s. Loe de Jong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Genre: persconferentie → verdediging of apologie (juridische rede)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Eerste publiek is dus eerste publiek, maar uiteindelijk is het echte publiek het volk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Informele jury/</w:t>
      </w:r>
      <w:r w:rsidDel="00000000" w:rsidR="00000000" w:rsidRPr="00000000">
        <w:rPr>
          <w:b w:val="1"/>
          <w:rtl w:val="0"/>
        </w:rPr>
        <w:t xml:space="preserve">informele juridische situatie</w:t>
      </w:r>
      <w:r w:rsidDel="00000000" w:rsidR="00000000" w:rsidRPr="00000000">
        <w:rPr>
          <w:rtl w:val="0"/>
        </w:rPr>
        <w:t xml:space="preserve">; met als rechter het volk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Check criteria van de gerechterlijke situatie: aanvallen v.s. verdedigen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Argumentatie: </w:t>
      </w:r>
      <w:r w:rsidDel="00000000" w:rsidR="00000000" w:rsidRPr="00000000">
        <w:rPr>
          <w:b w:val="1"/>
          <w:rtl w:val="0"/>
        </w:rPr>
        <w:t xml:space="preserve">statusleer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4 statussen van verweermogelijkheden voor verdediger (Hermagoras)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Coniectura</w:t>
      </w:r>
      <w:r w:rsidDel="00000000" w:rsidR="00000000" w:rsidRPr="00000000">
        <w:rPr>
          <w:rtl w:val="0"/>
        </w:rPr>
        <w:t xml:space="preserve">: ontkenning van de aanklacht (alibi-argument) – “Ik heb het niet gedaan.”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Definitio</w:t>
      </w:r>
      <w:r w:rsidDel="00000000" w:rsidR="00000000" w:rsidRPr="00000000">
        <w:rPr>
          <w:rtl w:val="0"/>
        </w:rPr>
        <w:t xml:space="preserve">: voordelige herformulering van de aanklacht – “Het was geen moord, maar doodslag; ik moest mij verdedigen”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Qualitas</w:t>
      </w:r>
      <w:r w:rsidDel="00000000" w:rsidR="00000000" w:rsidRPr="00000000">
        <w:rPr>
          <w:rtl w:val="0"/>
        </w:rPr>
        <w:t xml:space="preserve">: verzachtende omstandigheden (beroep op overmacht)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Translatio</w:t>
      </w:r>
      <w:r w:rsidDel="00000000" w:rsidR="00000000" w:rsidRPr="00000000">
        <w:rPr>
          <w:rtl w:val="0"/>
        </w:rPr>
        <w:t xml:space="preserve">: beroep op procedures/rechter onbevoegd verklaren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 gerechterlijke situatie</w:t>
      </w:r>
      <w:r w:rsidDel="00000000" w:rsidR="00000000" w:rsidRPr="00000000">
        <w:rPr>
          <w:sz w:val="20"/>
          <w:szCs w:val="20"/>
          <w:rtl w:val="0"/>
        </w:rPr>
        <w:t xml:space="preserve">: “de beschuldigde heeft zich schuldig gemaakt aan misdaad x”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 descriptief standpunt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Hij kan </w:t>
      </w:r>
      <w:r w:rsidDel="00000000" w:rsidR="00000000" w:rsidRPr="00000000">
        <w:rPr>
          <w:b w:val="1"/>
          <w:sz w:val="20"/>
          <w:szCs w:val="20"/>
          <w:rtl w:val="0"/>
        </w:rPr>
        <w:t xml:space="preserve">ontkennen</w:t>
      </w:r>
      <w:r w:rsidDel="00000000" w:rsidR="00000000" w:rsidRPr="00000000">
        <w:rPr>
          <w:sz w:val="20"/>
          <w:szCs w:val="20"/>
          <w:rtl w:val="0"/>
        </w:rPr>
        <w:t xml:space="preserve"> dat hij de daad gepleegd heeft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Bij kan </w:t>
      </w:r>
      <w:r w:rsidDel="00000000" w:rsidR="00000000" w:rsidRPr="00000000">
        <w:rPr>
          <w:b w:val="1"/>
          <w:sz w:val="20"/>
          <w:szCs w:val="20"/>
          <w:rtl w:val="0"/>
        </w:rPr>
        <w:t xml:space="preserve">toegeven</w:t>
      </w:r>
      <w:r w:rsidDel="00000000" w:rsidR="00000000" w:rsidRPr="00000000">
        <w:rPr>
          <w:sz w:val="20"/>
          <w:szCs w:val="20"/>
          <w:rtl w:val="0"/>
        </w:rPr>
        <w:t xml:space="preserve"> dat hij het gedaan heeft, maar de daad </w:t>
      </w:r>
      <w:r w:rsidDel="00000000" w:rsidR="00000000" w:rsidRPr="00000000">
        <w:rPr>
          <w:b w:val="1"/>
          <w:sz w:val="20"/>
          <w:szCs w:val="20"/>
          <w:rtl w:val="0"/>
        </w:rPr>
        <w:t xml:space="preserve">anders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als een lichter vergrijp</w:t>
      </w:r>
      <w:r w:rsidDel="00000000" w:rsidR="00000000" w:rsidRPr="00000000">
        <w:rPr>
          <w:sz w:val="20"/>
          <w:szCs w:val="20"/>
          <w:rtl w:val="0"/>
        </w:rPr>
        <w:t xml:space="preserve">, omschrijven; bijvoorbeeld niet als moord maar als doodslag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Hij kan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toegegeven</w:t>
      </w:r>
      <w:r w:rsidDel="00000000" w:rsidR="00000000" w:rsidRPr="00000000">
        <w:rPr>
          <w:sz w:val="20"/>
          <w:szCs w:val="20"/>
          <w:rtl w:val="0"/>
        </w:rPr>
        <w:t xml:space="preserve"> daad </w:t>
      </w:r>
      <w:r w:rsidDel="00000000" w:rsidR="00000000" w:rsidRPr="00000000">
        <w:rPr>
          <w:b w:val="1"/>
          <w:sz w:val="20"/>
          <w:szCs w:val="20"/>
          <w:rtl w:val="0"/>
        </w:rPr>
        <w:t xml:space="preserve">rechtvaardigen</w:t>
      </w:r>
      <w:r w:rsidDel="00000000" w:rsidR="00000000" w:rsidRPr="00000000">
        <w:rPr>
          <w:sz w:val="20"/>
          <w:szCs w:val="20"/>
          <w:rtl w:val="0"/>
        </w:rPr>
        <w:t xml:space="preserve"> of zich ervoor </w:t>
      </w:r>
      <w:r w:rsidDel="00000000" w:rsidR="00000000" w:rsidRPr="00000000">
        <w:rPr>
          <w:b w:val="1"/>
          <w:sz w:val="20"/>
          <w:szCs w:val="20"/>
          <w:rtl w:val="0"/>
        </w:rPr>
        <w:t xml:space="preserve">verontschuldigen</w:t>
      </w:r>
      <w:r w:rsidDel="00000000" w:rsidR="00000000" w:rsidRPr="00000000">
        <w:rPr>
          <w:sz w:val="20"/>
          <w:szCs w:val="20"/>
          <w:rtl w:val="0"/>
        </w:rPr>
        <w:t xml:space="preserve"> (op grond van </w:t>
      </w:r>
      <w:r w:rsidDel="00000000" w:rsidR="00000000" w:rsidRPr="00000000">
        <w:rPr>
          <w:b w:val="1"/>
          <w:sz w:val="20"/>
          <w:szCs w:val="20"/>
          <w:rtl w:val="0"/>
        </w:rPr>
        <w:t xml:space="preserve">verzachtende omstandigheden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Hij kan zich op een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procedurefout</w:t>
      </w:r>
      <w:r w:rsidDel="00000000" w:rsidR="00000000" w:rsidRPr="00000000">
        <w:rPr>
          <w:sz w:val="20"/>
          <w:szCs w:val="20"/>
          <w:rtl w:val="0"/>
        </w:rPr>
        <w:t xml:space="preserve"> beroepen, zoals een onbevoegde rechter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2799.9999999999995"/>
        <w:gridCol w:w="2780.0000000000005"/>
        <w:tblGridChange w:id="0">
          <w:tblGrid>
            <w:gridCol w:w="3390"/>
            <w:gridCol w:w="2799.9999999999995"/>
            <w:gridCol w:w="278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Aanklager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Rechter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Beschuldigde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Standpunt: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beschuldigde heeft zich schuldig gemaakt aan misdrijf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Geen standpunt (onschuldig tot het tegendeel blijkt)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Geen standpunt (onschuldig tot het tegendeel blijkt)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Bewijslastpunten: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bewijzen dat de beschuldigde de daad gepleegd heeft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Vraagpunten: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gepleegd? </w:t>
            </w:r>
          </w:p>
          <w:p w:rsidR="00000000" w:rsidDel="00000000" w:rsidP="00000000" w:rsidRDefault="00000000" w:rsidRPr="00000000" w14:paraId="00000041">
            <w:pPr>
              <w:widowControl w:val="0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(feit bewezen)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Verdedigingslinies: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ontkennen/betwijfelen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bewijzen dat die daad onder misdrijf x van de wet valt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valt eronder?</w:t>
            </w:r>
          </w:p>
          <w:p w:rsidR="00000000" w:rsidDel="00000000" w:rsidP="00000000" w:rsidRDefault="00000000" w:rsidRPr="00000000" w14:paraId="00000046">
            <w:pPr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(feit strafbaar?)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anders omschrijven/betwijfelen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weerleggen dat er rechtvaardigende of verontschuldigende omstandigheden waren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aanwezig?</w:t>
            </w:r>
          </w:p>
          <w:p w:rsidR="00000000" w:rsidDel="00000000" w:rsidP="00000000" w:rsidRDefault="00000000" w:rsidRPr="00000000" w14:paraId="0000004A">
            <w:pPr>
              <w:widowControl w:val="0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(strafuitsluitingsgronden?)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beroep op rechtvaardigende of verontschuldigende omstandigheden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weerleggen van de aanwezigheid van procedurefouten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aanwezig?</w:t>
            </w:r>
          </w:p>
          <w:p w:rsidR="00000000" w:rsidDel="00000000" w:rsidP="00000000" w:rsidRDefault="00000000" w:rsidRPr="00000000" w14:paraId="0000004E">
            <w:pPr>
              <w:widowControl w:val="0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(procedurefouten?)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beroep op procedurefouten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Tentamen: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Het pathos, het etos, de logos?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Hij wekt ethos op: sterk ethos, goed ethos of slecht ethos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Het publiek heeft geen pathos, maar jouw tekst kan wel emoties opwekken: wat betreft het pathos wekken deze uitingen een positief pathos op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 stijlfiguur, niet: het stijlfiguur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bnl.org/tekst/_tij009200301_01/_tij009200301_01_000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