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373FD7A"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67409F" w:rsidRPr="0067409F">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3D03EED" w:rsidR="007C612D" w:rsidRPr="004719B5" w:rsidRDefault="00365860">
      <w:pPr>
        <w:rPr>
          <w:rFonts w:ascii="Civil Premium" w:eastAsia="Times New Roman" w:hAnsi="Civil Premium" w:cs="Times New Roman"/>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0D0D422C" w14:textId="3DAE7CA9" w:rsidR="005D5644" w:rsidRPr="005D5644" w:rsidRDefault="005D5644" w:rsidP="005D5644">
      <w:pPr>
        <w:pStyle w:val="NormalWeb"/>
        <w:rPr>
          <w:rFonts w:ascii="Civil Premium" w:hAnsi="Civil Premium"/>
          <w:sz w:val="22"/>
          <w:szCs w:val="22"/>
          <w:lang w:val="nl-NL"/>
        </w:rPr>
      </w:pPr>
      <w:bookmarkStart w:id="7" w:name="_Toc165990713"/>
      <w:r w:rsidRPr="005D5644">
        <w:rPr>
          <w:rFonts w:ascii="Civil Premium" w:hAnsi="Civil Premium"/>
          <w:sz w:val="22"/>
          <w:szCs w:val="22"/>
          <w:lang w:val="nl-NL"/>
        </w:rPr>
        <w:t>Het theoretisch kader biedt een conceptueel raamwerk voor het begrijpen van de relatie tussen framing in nieuwsmedia en publieke opinie over kerncentrales. Verschillende theoretische benaderingen worden toegepast om inzicht te krijgen in deze dynamiek.</w:t>
      </w:r>
    </w:p>
    <w:p w14:paraId="483DDD67" w14:textId="3247F19F" w:rsidR="00EF061C" w:rsidRDefault="00EF061C" w:rsidP="00EF061C">
      <w:pPr>
        <w:pStyle w:val="NormalWeb"/>
        <w:outlineLvl w:val="1"/>
        <w:rPr>
          <w:rFonts w:ascii="Civil Premium" w:hAnsi="Civil Premium"/>
          <w:b/>
          <w:bCs/>
          <w:sz w:val="22"/>
          <w:szCs w:val="22"/>
          <w:lang w:val="nl-NL"/>
        </w:rPr>
      </w:pPr>
      <w:r>
        <w:rPr>
          <w:rFonts w:ascii="Civil Premium" w:hAnsi="Civil Premium"/>
          <w:b/>
          <w:bCs/>
          <w:sz w:val="22"/>
          <w:szCs w:val="22"/>
          <w:lang w:val="nl-NL"/>
        </w:rPr>
        <w:t>Framing en Agendasetting</w:t>
      </w:r>
    </w:p>
    <w:p w14:paraId="3E31F54B" w14:textId="3A2050E0" w:rsidR="00ED52C6"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Framing</w:t>
      </w:r>
    </w:p>
    <w:p w14:paraId="5BCBDECA" w14:textId="67B0818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framing theorieën van Erving </w:t>
      </w:r>
      <w:proofErr w:type="spellStart"/>
      <w:r w:rsidRPr="007F5B14">
        <w:rPr>
          <w:rFonts w:ascii="Civil Premium" w:hAnsi="Civil Premium"/>
          <w:sz w:val="22"/>
          <w:szCs w:val="22"/>
          <w:lang w:val="nl-NL"/>
        </w:rPr>
        <w:t>Goffman</w:t>
      </w:r>
      <w:proofErr w:type="spellEnd"/>
      <w:r w:rsidRPr="007F5B14">
        <w:rPr>
          <w:rFonts w:ascii="Civil Premium" w:hAnsi="Civil Premium"/>
          <w:sz w:val="22"/>
          <w:szCs w:val="22"/>
          <w:lang w:val="nl-NL"/>
        </w:rPr>
        <w:t xml:space="preserve"> en later George </w:t>
      </w:r>
      <w:proofErr w:type="spellStart"/>
      <w:r w:rsidRPr="007F5B14">
        <w:rPr>
          <w:rFonts w:ascii="Civil Premium" w:hAnsi="Civil Premium"/>
          <w:sz w:val="22"/>
          <w:szCs w:val="22"/>
          <w:lang w:val="nl-NL"/>
        </w:rPr>
        <w:t>Lakoff</w:t>
      </w:r>
      <w:proofErr w:type="spellEnd"/>
      <w:r w:rsidRPr="007F5B14">
        <w:rPr>
          <w:rFonts w:ascii="Civil Premium" w:hAnsi="Civil Premium"/>
          <w:sz w:val="22"/>
          <w:szCs w:val="22"/>
          <w:lang w:val="nl-NL"/>
        </w:rPr>
        <w:t xml:space="preserve"> bieden inzicht in hoe de presentatie van informatie invloed kan hebben op de perceptie en interpretatie ervan door het publiek. Framing verwijst naar de manier waarop berichten worden gepresenteerd om bepaalde aspecten van een onderwerp te benadrukken en andere aspecten te negeren of te minimaliseren.</w:t>
      </w:r>
    </w:p>
    <w:p w14:paraId="0E67F177" w14:textId="6B2D7AA7" w:rsidR="007F5B14"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Agendasetting</w:t>
      </w:r>
    </w:p>
    <w:p w14:paraId="01470AF3" w14:textId="45CB127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agendasetting theorie van Maxwell </w:t>
      </w:r>
      <w:proofErr w:type="spellStart"/>
      <w:r w:rsidRPr="007F5B14">
        <w:rPr>
          <w:rFonts w:ascii="Civil Premium" w:hAnsi="Civil Premium"/>
          <w:sz w:val="22"/>
          <w:szCs w:val="22"/>
          <w:lang w:val="nl-NL"/>
        </w:rPr>
        <w:t>McCombs</w:t>
      </w:r>
      <w:proofErr w:type="spellEnd"/>
      <w:r w:rsidRPr="007F5B14">
        <w:rPr>
          <w:rFonts w:ascii="Civil Premium" w:hAnsi="Civil Premium"/>
          <w:sz w:val="22"/>
          <w:szCs w:val="22"/>
          <w:lang w:val="nl-NL"/>
        </w:rPr>
        <w:t xml:space="preserve"> en Donald Shaw stelt dat de media niet alleen bepalen hoe een onderwerp wordt gepresenteerd (framing), maar ook welke onderwerpen belangrijk worden gevonden (agendasetting). Door bepaalde aspecten van kernenergie te benadrukken in de berichtgeving, kunnen media de aandacht van het publiek beïnvloeden en bepalen welke aspecten van het debat prominent worden.</w:t>
      </w:r>
    </w:p>
    <w:p w14:paraId="1336ACE8" w14:textId="32E3B7EF" w:rsidR="00ED52C6" w:rsidRDefault="00ED52C6" w:rsidP="00ED52C6">
      <w:pPr>
        <w:pStyle w:val="NormalWeb"/>
        <w:outlineLvl w:val="1"/>
        <w:rPr>
          <w:rFonts w:ascii="Civil Premium" w:hAnsi="Civil Premium"/>
          <w:b/>
          <w:bCs/>
          <w:sz w:val="22"/>
          <w:szCs w:val="22"/>
          <w:lang w:val="nl-NL"/>
        </w:rPr>
      </w:pPr>
      <w:bookmarkStart w:id="8" w:name="_Toc165990714"/>
      <w:bookmarkEnd w:id="7"/>
      <w:r>
        <w:rPr>
          <w:rFonts w:ascii="Civil Premium" w:hAnsi="Civil Premium"/>
          <w:b/>
          <w:bCs/>
          <w:sz w:val="22"/>
          <w:szCs w:val="22"/>
          <w:lang w:val="nl-NL"/>
        </w:rPr>
        <w:t>Onderzoek kerncentrales</w:t>
      </w:r>
      <w:r w:rsidR="003F205F">
        <w:rPr>
          <w:rFonts w:ascii="Civil Premium" w:hAnsi="Civil Premium"/>
          <w:b/>
          <w:bCs/>
          <w:sz w:val="22"/>
          <w:szCs w:val="22"/>
          <w:lang w:val="nl-NL"/>
        </w:rPr>
        <w:t xml:space="preserve"> publieke opinie</w:t>
      </w:r>
    </w:p>
    <w:p w14:paraId="69F0A5CB" w14:textId="501549FE" w:rsidR="003F205F" w:rsidRPr="003F205F" w:rsidRDefault="003F205F" w:rsidP="00391CB3">
      <w:pPr>
        <w:pStyle w:val="NormalWeb"/>
        <w:outlineLvl w:val="2"/>
        <w:rPr>
          <w:rFonts w:ascii="Civil Premium" w:hAnsi="Civil Premium"/>
          <w:b/>
          <w:bCs/>
          <w:sz w:val="22"/>
          <w:szCs w:val="22"/>
          <w:lang w:val="nl-NL"/>
        </w:rPr>
      </w:pPr>
      <w:bookmarkStart w:id="9" w:name="_Toc165990715"/>
      <w:bookmarkEnd w:id="8"/>
      <w:r>
        <w:rPr>
          <w:rFonts w:ascii="Civil Premium" w:hAnsi="Civil Premium"/>
          <w:b/>
          <w:bCs/>
          <w:sz w:val="28"/>
          <w:szCs w:val="28"/>
          <w:lang w:val="nl-NL"/>
        </w:rPr>
        <w:tab/>
      </w:r>
      <w:r w:rsidRPr="003F205F">
        <w:rPr>
          <w:rFonts w:ascii="Civil Premium" w:hAnsi="Civil Premium"/>
          <w:b/>
          <w:bCs/>
          <w:sz w:val="22"/>
          <w:szCs w:val="22"/>
          <w:lang w:val="nl-NL"/>
        </w:rPr>
        <w:t>Controversie</w:t>
      </w:r>
    </w:p>
    <w:p w14:paraId="4DC84107" w14:textId="2F9AF950" w:rsidR="003F205F" w:rsidRPr="003F205F" w:rsidRDefault="003F205F" w:rsidP="003F205F">
      <w:pPr>
        <w:ind w:left="720"/>
        <w:rPr>
          <w:rFonts w:ascii="Civil Premium" w:eastAsia="Times New Roman" w:hAnsi="Civil Premium" w:cs="Times New Roman"/>
          <w:lang w:val="nl-NL" w:eastAsia="en-NL"/>
        </w:rPr>
      </w:pPr>
      <w:r w:rsidRPr="003F205F">
        <w:rPr>
          <w:rFonts w:ascii="Civil Premium" w:eastAsia="Times New Roman" w:hAnsi="Civil Premium" w:cs="Times New Roman"/>
          <w:lang w:val="nl-NL" w:eastAsia="en-NL"/>
        </w:rPr>
        <w:t xml:space="preserve">Dit gedeelte kan worden gebruikt om eerdere onderzoeken over kerncentrales en publieke opinie te bespreken. Het kan relevant onderzoek omvatten dat de invloed van </w:t>
      </w:r>
      <w:proofErr w:type="spellStart"/>
      <w:r w:rsidRPr="003F205F">
        <w:rPr>
          <w:rFonts w:ascii="Civil Premium" w:eastAsia="Times New Roman" w:hAnsi="Civil Premium" w:cs="Times New Roman"/>
          <w:lang w:val="nl-NL" w:eastAsia="en-NL"/>
        </w:rPr>
        <w:t>mediaframing</w:t>
      </w:r>
      <w:proofErr w:type="spellEnd"/>
      <w:r w:rsidRPr="003F205F">
        <w:rPr>
          <w:rFonts w:ascii="Civil Premium" w:eastAsia="Times New Roman" w:hAnsi="Civil Premium" w:cs="Times New Roman"/>
          <w:lang w:val="nl-NL" w:eastAsia="en-NL"/>
        </w:rPr>
        <w:t xml:space="preserve"> op publieke attitudes onderzoekt, evenals onderzoek dat ingaat op specifieke kwesties met betrekking tot kerncentrales, zoals veiligheid, milieueffecten en economische aspecten. Door deze onderzoeken te bespreken, kan het theoretische kader worden versterkt door empirische voorbeelden te bieden van de dynamiek tussen media en publieke opinie over kerncentrales.</w:t>
      </w:r>
    </w:p>
    <w:p w14:paraId="4264E1A6" w14:textId="77777777" w:rsidR="003F205F" w:rsidRPr="003F205F" w:rsidRDefault="003F205F" w:rsidP="00391CB3">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t>Nadelen</w:t>
      </w:r>
    </w:p>
    <w:p w14:paraId="7FBA0C60" w14:textId="37489FD4" w:rsidR="003F205F" w:rsidRDefault="003F205F" w:rsidP="00391CB3">
      <w:pPr>
        <w:pStyle w:val="NormalWeb"/>
        <w:outlineLvl w:val="2"/>
        <w:rPr>
          <w:rFonts w:ascii="Civil Premium" w:hAnsi="Civil Premium"/>
          <w:b/>
          <w:bCs/>
          <w:sz w:val="28"/>
          <w:szCs w:val="28"/>
          <w:lang w:val="nl-NL"/>
        </w:rPr>
      </w:pPr>
      <w:r w:rsidRPr="003F205F">
        <w:rPr>
          <w:rFonts w:ascii="Civil Premium" w:hAnsi="Civil Premium"/>
          <w:b/>
          <w:bCs/>
          <w:sz w:val="22"/>
          <w:szCs w:val="22"/>
          <w:lang w:val="nl-NL"/>
        </w:rPr>
        <w:tab/>
        <w:t>Voordelen</w:t>
      </w: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lastRenderedPageBreak/>
        <w:t>Thematische analyse</w:t>
      </w:r>
      <w:bookmarkEnd w:id="9"/>
    </w:p>
    <w:p w14:paraId="409401DB" w14:textId="1AC35647" w:rsidR="00B3291C" w:rsidRDefault="00B3291C" w:rsidP="00EC7D2F">
      <w:pPr>
        <w:pStyle w:val="NormalWeb"/>
        <w:outlineLvl w:val="1"/>
        <w:rPr>
          <w:rFonts w:ascii="Civil Premium" w:hAnsi="Civil Premium"/>
          <w:b/>
          <w:bCs/>
          <w:sz w:val="22"/>
          <w:szCs w:val="22"/>
          <w:lang w:val="nl-NL"/>
        </w:rPr>
      </w:pPr>
      <w:bookmarkStart w:id="10" w:name="_Toc165990716"/>
      <w:r w:rsidRPr="001508FC">
        <w:rPr>
          <w:rFonts w:ascii="Civil Premium" w:hAnsi="Civil Premium"/>
          <w:b/>
          <w:bCs/>
          <w:sz w:val="22"/>
          <w:szCs w:val="22"/>
          <w:lang w:val="nl-NL"/>
        </w:rPr>
        <w:t xml:space="preserve">Thema 1: </w:t>
      </w:r>
      <w:bookmarkEnd w:id="10"/>
      <w:r w:rsidR="00EC7D2F">
        <w:rPr>
          <w:rFonts w:ascii="Civil Premium" w:hAnsi="Civil Premium"/>
          <w:b/>
          <w:bCs/>
          <w:sz w:val="22"/>
          <w:szCs w:val="22"/>
          <w:lang w:val="nl-NL"/>
        </w:rPr>
        <w:t>Europese klimaatorganisaties haar afkeur voor kernenergie</w:t>
      </w:r>
    </w:p>
    <w:p w14:paraId="4ACEEED7" w14:textId="77777777" w:rsidR="00EC7D2F" w:rsidRPr="001508FC" w:rsidRDefault="00EC7D2F" w:rsidP="00EC7D2F">
      <w:pPr>
        <w:pStyle w:val="NormalWeb"/>
        <w:rPr>
          <w:rFonts w:ascii="Civil Premium" w:hAnsi="Civil Premium"/>
          <w:b/>
          <w:bCs/>
          <w:sz w:val="22"/>
          <w:szCs w:val="22"/>
          <w:lang w:val="nl-NL"/>
        </w:rPr>
      </w:pPr>
    </w:p>
    <w:p w14:paraId="09180781" w14:textId="77777777" w:rsidR="00B3291C" w:rsidRPr="001508FC" w:rsidRDefault="00B3291C" w:rsidP="00EC7D2F">
      <w:pPr>
        <w:pStyle w:val="NormalWeb"/>
        <w:outlineLvl w:val="1"/>
        <w:rPr>
          <w:rFonts w:ascii="Civil Premium" w:hAnsi="Civil Premium"/>
          <w:b/>
          <w:bCs/>
          <w:sz w:val="22"/>
          <w:szCs w:val="22"/>
          <w:lang w:val="nl-NL"/>
        </w:rPr>
      </w:pPr>
      <w:bookmarkStart w:id="11" w:name="_Toc165990717"/>
      <w:r w:rsidRPr="001508FC">
        <w:rPr>
          <w:rFonts w:ascii="Civil Premium" w:hAnsi="Civil Premium"/>
          <w:b/>
          <w:bCs/>
          <w:sz w:val="22"/>
          <w:szCs w:val="22"/>
          <w:lang w:val="nl-NL"/>
        </w:rPr>
        <w:t>Thema 2: [beschrijving en samenvatting van literatuur]</w:t>
      </w:r>
      <w:bookmarkEnd w:id="11"/>
    </w:p>
    <w:p w14:paraId="79E48446" w14:textId="77777777" w:rsidR="00B3291C" w:rsidRPr="001508FC" w:rsidRDefault="00B3291C" w:rsidP="00EC7D2F">
      <w:pPr>
        <w:pStyle w:val="NormalWeb"/>
        <w:outlineLvl w:val="1"/>
        <w:rPr>
          <w:rFonts w:ascii="Civil Premium" w:hAnsi="Civil Premium"/>
          <w:b/>
          <w:bCs/>
          <w:sz w:val="22"/>
          <w:szCs w:val="22"/>
          <w:lang w:val="nl-NL"/>
        </w:rPr>
      </w:pPr>
      <w:bookmarkStart w:id="12" w:name="_Toc165990718"/>
      <w:r w:rsidRPr="001508FC">
        <w:rPr>
          <w:rFonts w:ascii="Civil Premium" w:hAnsi="Civil Premium"/>
          <w:b/>
          <w:bCs/>
          <w:sz w:val="22"/>
          <w:szCs w:val="22"/>
          <w:lang w:val="nl-NL"/>
        </w:rPr>
        <w:t>Thema 3: [beschrijving en samenvatting van literatuur]</w:t>
      </w:r>
      <w:bookmarkEnd w:id="12"/>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w:t>
      </w:r>
      <w:proofErr w:type="gramStart"/>
      <w:r w:rsidRPr="008B7702">
        <w:rPr>
          <w:rStyle w:val="Strong"/>
          <w:rFonts w:ascii="Civil Premium" w:eastAsiaTheme="minorHAnsi" w:hAnsi="Civil Premium" w:cstheme="minorBidi"/>
          <w:b w:val="0"/>
          <w:bCs w:val="0"/>
          <w:sz w:val="20"/>
          <w:szCs w:val="20"/>
          <w:lang w:val="nl-NL"/>
        </w:rPr>
        <w:t>https://doi.org/10.1093/oxfordhb/9780190497620.013.5</w:t>
      </w:r>
      <w:proofErr w:type="gramEnd"/>
      <w:r w:rsidRPr="008B7702">
        <w:rPr>
          <w:rStyle w:val="Strong"/>
          <w:rFonts w:ascii="Civil Premium" w:eastAsiaTheme="minorHAnsi" w:hAnsi="Civil Premium" w:cstheme="minorBidi"/>
          <w:b w:val="0"/>
          <w:bCs w:val="0"/>
          <w:sz w:val="20"/>
          <w:szCs w:val="20"/>
          <w:lang w:val="nl-NL"/>
        </w:rPr>
        <w:t xml:space="preserve">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w:t>
      </w:r>
      <w:proofErr w:type="gramStart"/>
      <w:r w:rsidRPr="008B7702">
        <w:rPr>
          <w:rStyle w:val="Strong"/>
          <w:rFonts w:ascii="Civil Premium" w:hAnsi="Civil Premium"/>
          <w:b w:val="0"/>
          <w:bCs w:val="0"/>
          <w:sz w:val="20"/>
          <w:szCs w:val="20"/>
          <w:lang w:val="nl-NL" w:eastAsia="en-NL"/>
        </w:rPr>
        <w:t>https://doi.org/10.1177/0267323108092538</w:t>
      </w:r>
      <w:proofErr w:type="gramEnd"/>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xml:space="preserve">, England), 17(3), 373–382. </w:t>
      </w:r>
      <w:proofErr w:type="gramStart"/>
      <w:r w:rsidRPr="006E6260">
        <w:rPr>
          <w:rStyle w:val="Strong"/>
          <w:rFonts w:ascii="Civil Premium" w:eastAsia="Times New Roman" w:hAnsi="Civil Premium" w:cs="Times New Roman"/>
          <w:b w:val="0"/>
          <w:bCs w:val="0"/>
          <w:sz w:val="20"/>
          <w:szCs w:val="20"/>
          <w:lang w:val="nl-NL" w:eastAsia="en-NL"/>
        </w:rPr>
        <w:t>https://doi.org/10.1260/095830506778119407</w:t>
      </w:r>
      <w:proofErr w:type="gramEnd"/>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w:t>
      </w:r>
      <w:proofErr w:type="gramStart"/>
      <w:r w:rsidRPr="006E6260">
        <w:rPr>
          <w:rStyle w:val="Strong"/>
          <w:rFonts w:ascii="Civil Premium" w:eastAsia="Times New Roman" w:hAnsi="Civil Premium" w:cs="Times New Roman"/>
          <w:b w:val="0"/>
          <w:bCs w:val="0"/>
          <w:sz w:val="20"/>
          <w:szCs w:val="20"/>
          <w:lang w:val="nl-NL" w:eastAsia="en-NL"/>
        </w:rPr>
        <w:t>https://doi.org/10.1177/0267323116629879</w:t>
      </w:r>
      <w:proofErr w:type="gramEnd"/>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w:t>
      </w:r>
      <w:proofErr w:type="gramStart"/>
      <w:r w:rsidRPr="006E6260">
        <w:rPr>
          <w:rStyle w:val="Strong"/>
          <w:rFonts w:ascii="Civil Premium" w:hAnsi="Civil Premium"/>
          <w:b w:val="0"/>
          <w:bCs w:val="0"/>
          <w:sz w:val="20"/>
          <w:szCs w:val="20"/>
          <w:lang w:val="nl-NL" w:eastAsia="en-NL"/>
        </w:rPr>
        <w:t>https://doi.org/10.1016/j.techfore.2010.12.004</w:t>
      </w:r>
      <w:proofErr w:type="gramEnd"/>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proofErr w:type="gramStart"/>
      <w:r w:rsidRPr="006E6260">
        <w:rPr>
          <w:rStyle w:val="Strong"/>
          <w:rFonts w:ascii="Civil Premium" w:eastAsia="Times New Roman" w:hAnsi="Civil Premium" w:cs="Times New Roman"/>
          <w:b w:val="0"/>
          <w:bCs w:val="0"/>
          <w:sz w:val="20"/>
          <w:szCs w:val="20"/>
          <w:lang w:val="nl-NL" w:eastAsia="en-NL"/>
        </w:rPr>
        <w:t>van</w:t>
      </w:r>
      <w:proofErr w:type="gramEnd"/>
      <w:r w:rsidRPr="006E6260">
        <w:rPr>
          <w:rStyle w:val="Strong"/>
          <w:rFonts w:ascii="Civil Premium" w:eastAsia="Times New Roman" w:hAnsi="Civil Premium" w:cs="Times New Roman"/>
          <w:b w:val="0"/>
          <w:bCs w:val="0"/>
          <w:sz w:val="20"/>
          <w:szCs w:val="20"/>
          <w:lang w:val="nl-NL" w:eastAsia="en-NL"/>
        </w:rPr>
        <w:t xml:space="preserve">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w:t>
      </w:r>
      <w:proofErr w:type="gramStart"/>
      <w:r w:rsidRPr="006E6260">
        <w:rPr>
          <w:rStyle w:val="Strong"/>
          <w:rFonts w:ascii="Civil Premium" w:eastAsia="Times New Roman" w:hAnsi="Civil Premium" w:cs="Times New Roman"/>
          <w:b w:val="0"/>
          <w:bCs w:val="0"/>
          <w:sz w:val="20"/>
          <w:szCs w:val="20"/>
          <w:lang w:val="nl-NL" w:eastAsia="en-NL"/>
        </w:rPr>
        <w:t>https://doi.org/10.1016/j.enconman.2017.05.081s</w:t>
      </w:r>
      <w:proofErr w:type="gramEnd"/>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w:t>
      </w:r>
      <w:proofErr w:type="gramStart"/>
      <w:r w:rsidRPr="006E6260">
        <w:rPr>
          <w:rStyle w:val="Strong"/>
          <w:rFonts w:ascii="Civil Premium" w:eastAsia="Times New Roman" w:hAnsi="Civil Premium" w:cs="Times New Roman"/>
          <w:b w:val="0"/>
          <w:bCs w:val="0"/>
          <w:sz w:val="20"/>
          <w:szCs w:val="20"/>
          <w:lang w:val="nl-NL" w:eastAsia="en-NL"/>
        </w:rPr>
        <w:t>https://doi.org/10.1016/j.techfore.2012.04.018</w:t>
      </w:r>
      <w:proofErr w:type="gramEnd"/>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xml:space="preserve">, 63, 101389. </w:t>
      </w:r>
      <w:proofErr w:type="gramStart"/>
      <w:r w:rsidRPr="006E6260">
        <w:rPr>
          <w:rStyle w:val="Strong"/>
          <w:rFonts w:ascii="Civil Premium" w:hAnsi="Civil Premium"/>
          <w:b w:val="0"/>
          <w:bCs w:val="0"/>
          <w:sz w:val="20"/>
          <w:szCs w:val="20"/>
          <w:lang w:val="nl-NL" w:eastAsia="en-NL"/>
        </w:rPr>
        <w:t>https://doi.org/10.1016/j.erss.2019.101389</w:t>
      </w:r>
      <w:proofErr w:type="gramEnd"/>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xml:space="preserve">, 32(2), 41–44. </w:t>
      </w:r>
      <w:proofErr w:type="gramStart"/>
      <w:r w:rsidRPr="006E6260">
        <w:rPr>
          <w:rStyle w:val="Strong"/>
          <w:rFonts w:ascii="Civil Premium" w:eastAsia="Times New Roman" w:hAnsi="Civil Premium" w:cs="Times New Roman"/>
          <w:b w:val="0"/>
          <w:bCs w:val="0"/>
          <w:sz w:val="20"/>
          <w:szCs w:val="20"/>
          <w:lang w:val="nl-NL" w:eastAsia="en-NL"/>
        </w:rPr>
        <w:t>https://doi.org/10.1080/00963402.1976.11455566</w:t>
      </w:r>
      <w:proofErr w:type="gramEnd"/>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B370CB">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4D70" w14:textId="77777777" w:rsidR="00B370CB" w:rsidRDefault="00B370CB" w:rsidP="00CD1D78">
      <w:pPr>
        <w:spacing w:after="0" w:line="240" w:lineRule="auto"/>
      </w:pPr>
      <w:r>
        <w:separator/>
      </w:r>
    </w:p>
  </w:endnote>
  <w:endnote w:type="continuationSeparator" w:id="0">
    <w:p w14:paraId="4E055DD7" w14:textId="77777777" w:rsidR="00B370CB" w:rsidRDefault="00B370CB"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5035" w14:textId="77777777" w:rsidR="00B370CB" w:rsidRDefault="00B370CB" w:rsidP="00CD1D78">
      <w:pPr>
        <w:spacing w:after="0" w:line="240" w:lineRule="auto"/>
      </w:pPr>
      <w:r>
        <w:separator/>
      </w:r>
    </w:p>
  </w:footnote>
  <w:footnote w:type="continuationSeparator" w:id="0">
    <w:p w14:paraId="37A51057" w14:textId="77777777" w:rsidR="00B370CB" w:rsidRDefault="00B370CB"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91CB3"/>
    <w:rsid w:val="003C0615"/>
    <w:rsid w:val="003F205F"/>
    <w:rsid w:val="00402A1B"/>
    <w:rsid w:val="004042E6"/>
    <w:rsid w:val="004120B4"/>
    <w:rsid w:val="00415012"/>
    <w:rsid w:val="00433130"/>
    <w:rsid w:val="004362D3"/>
    <w:rsid w:val="00437A26"/>
    <w:rsid w:val="00441056"/>
    <w:rsid w:val="00465FDD"/>
    <w:rsid w:val="004719B5"/>
    <w:rsid w:val="00473300"/>
    <w:rsid w:val="004A6623"/>
    <w:rsid w:val="004C5E37"/>
    <w:rsid w:val="004D40B5"/>
    <w:rsid w:val="004D6503"/>
    <w:rsid w:val="004F3EEB"/>
    <w:rsid w:val="004F4FF0"/>
    <w:rsid w:val="00520DCF"/>
    <w:rsid w:val="0054614E"/>
    <w:rsid w:val="00550866"/>
    <w:rsid w:val="00557E69"/>
    <w:rsid w:val="005C1414"/>
    <w:rsid w:val="005D564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13BAE"/>
    <w:rsid w:val="007349BF"/>
    <w:rsid w:val="00753B15"/>
    <w:rsid w:val="007761BA"/>
    <w:rsid w:val="0078063A"/>
    <w:rsid w:val="00784D61"/>
    <w:rsid w:val="0078761E"/>
    <w:rsid w:val="00787FFC"/>
    <w:rsid w:val="007A58B1"/>
    <w:rsid w:val="007C37AF"/>
    <w:rsid w:val="007C612D"/>
    <w:rsid w:val="007D680A"/>
    <w:rsid w:val="007F5B14"/>
    <w:rsid w:val="00805365"/>
    <w:rsid w:val="00811BA3"/>
    <w:rsid w:val="008139B4"/>
    <w:rsid w:val="00842068"/>
    <w:rsid w:val="00851A30"/>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75B2"/>
    <w:rsid w:val="00B3291C"/>
    <w:rsid w:val="00B370CB"/>
    <w:rsid w:val="00B54DEC"/>
    <w:rsid w:val="00B63DE1"/>
    <w:rsid w:val="00BA49B7"/>
    <w:rsid w:val="00BA5965"/>
    <w:rsid w:val="00BC7BAF"/>
    <w:rsid w:val="00C3291A"/>
    <w:rsid w:val="00C4055C"/>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E7363"/>
    <w:rsid w:val="00E57156"/>
    <w:rsid w:val="00E80A75"/>
    <w:rsid w:val="00E91D44"/>
    <w:rsid w:val="00E9442B"/>
    <w:rsid w:val="00EA0BA5"/>
    <w:rsid w:val="00EC7D2F"/>
    <w:rsid w:val="00ED52C6"/>
    <w:rsid w:val="00EE21BC"/>
    <w:rsid w:val="00EE34CF"/>
    <w:rsid w:val="00EF061C"/>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82</cp:revision>
  <dcterms:created xsi:type="dcterms:W3CDTF">2024-04-17T15:50:00Z</dcterms:created>
  <dcterms:modified xsi:type="dcterms:W3CDTF">2024-05-07T15:23:00Z</dcterms:modified>
</cp:coreProperties>
</file>