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w:t>
      </w:r>
      <w:proofErr w:type="spellStart"/>
      <w:r w:rsidR="00C75A49" w:rsidRPr="00C75A49">
        <w:rPr>
          <w:rFonts w:asciiTheme="majorHAnsi" w:hAnsiTheme="majorHAnsi" w:cstheme="majorHAnsi"/>
          <w:lang w:val="nl-NL"/>
        </w:rPr>
        <w:t>Siemes</w:t>
      </w:r>
      <w:proofErr w:type="spellEnd"/>
      <w:r w:rsidR="00C75A49" w:rsidRPr="00C75A49">
        <w:rPr>
          <w:rFonts w:asciiTheme="majorHAnsi" w:hAnsiTheme="majorHAnsi" w:cstheme="majorHAnsi"/>
          <w:lang w:val="nl-NL"/>
        </w:rPr>
        <w:t xml:space="preserve"> s4028198</w:t>
      </w:r>
    </w:p>
    <w:p w14:paraId="3B9A7376" w14:textId="47901C03" w:rsidR="007322DC" w:rsidRDefault="007322DC">
      <w:pPr>
        <w:rPr>
          <w:rFonts w:asciiTheme="majorHAnsi" w:hAnsiTheme="majorHAnsi" w:cstheme="majorHAnsi"/>
          <w:lang w:val="nl-NL"/>
        </w:rPr>
      </w:pPr>
      <w:r>
        <w:rPr>
          <w:rFonts w:asciiTheme="majorHAnsi" w:hAnsiTheme="majorHAnsi" w:cstheme="majorHAnsi"/>
          <w:lang w:val="nl-NL"/>
        </w:rPr>
        <w:t>Woord aantal: 699</w:t>
      </w:r>
    </w:p>
    <w:p w14:paraId="64EAF1FC" w14:textId="3CBDA129" w:rsidR="007322DC" w:rsidRPr="00C75A49" w:rsidRDefault="007322DC">
      <w:pPr>
        <w:rPr>
          <w:rFonts w:asciiTheme="majorHAnsi" w:hAnsiTheme="majorHAnsi" w:cstheme="majorHAnsi"/>
          <w:lang w:val="nl-NL"/>
        </w:rPr>
      </w:pPr>
      <w:r>
        <w:rPr>
          <w:rFonts w:asciiTheme="majorHAnsi" w:hAnsiTheme="majorHAnsi" w:cstheme="majorHAnsi"/>
          <w:lang w:val="nl-NL"/>
        </w:rPr>
        <w:t xml:space="preserve">Medium: </w:t>
      </w:r>
    </w:p>
    <w:p w14:paraId="4072AEEF" w14:textId="77777777" w:rsidR="00EB0BBC" w:rsidRDefault="00EB0BBC">
      <w:pPr>
        <w:rPr>
          <w:lang w:val="nl-NL"/>
        </w:rPr>
      </w:pPr>
      <w:r>
        <w:rPr>
          <w:noProof/>
        </w:rPr>
        <w:drawing>
          <wp:inline distT="0" distB="0" distL="0" distR="0" wp14:anchorId="3AB37AC7" wp14:editId="19AA8D6C">
            <wp:extent cx="1682151" cy="509901"/>
            <wp:effectExtent l="0" t="0" r="0" b="5080"/>
            <wp:docPr id="63863309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3094" name="Picture 1" descr="A black background with a black squar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1025" cy="515622"/>
                    </a:xfrm>
                    <a:prstGeom prst="rect">
                      <a:avLst/>
                    </a:prstGeom>
                    <a:noFill/>
                    <a:ln>
                      <a:noFill/>
                    </a:ln>
                  </pic:spPr>
                </pic:pic>
              </a:graphicData>
            </a:graphic>
          </wp:inline>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550E33E1" w14:textId="61BDE0CA" w:rsidR="00517E82" w:rsidRDefault="00EA30A5" w:rsidP="00517E82">
      <w:pPr>
        <w:pStyle w:val="Title"/>
        <w:rPr>
          <w:lang w:val="nl-NL"/>
        </w:rPr>
      </w:pPr>
      <w:r>
        <w:rPr>
          <w:lang w:val="nl-NL"/>
        </w:rPr>
        <w:lastRenderedPageBreak/>
        <w:t>Hoe is het prijspeil in de soep gelopen?</w:t>
      </w:r>
    </w:p>
    <w:p w14:paraId="7ECEE1EB" w14:textId="77777777" w:rsidR="00517E82" w:rsidRPr="00517E82" w:rsidRDefault="00517E82" w:rsidP="00517E82">
      <w:pPr>
        <w:rPr>
          <w:lang w:val="nl-NL"/>
        </w:rPr>
      </w:pPr>
    </w:p>
    <w:p w14:paraId="4FCFBE77" w14:textId="209FE5E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w:t>
      </w:r>
      <w:r w:rsidR="00DF64ED">
        <w:rPr>
          <w:rFonts w:ascii="Civil Premium" w:hAnsi="Civil Premium"/>
          <w:lang w:val="nl-NL"/>
        </w:rPr>
        <w:t>amedewerker</w:t>
      </w:r>
      <w:r w:rsidR="00897500">
        <w:rPr>
          <w:rFonts w:ascii="Civil Premium" w:hAnsi="Civil Premium"/>
          <w:lang w:val="nl-NL"/>
        </w:rPr>
        <w:t xml:space="preserv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F92CA0">
        <w:rPr>
          <w:rFonts w:ascii="Civil Premium" w:hAnsi="Civil Premium"/>
          <w:lang w:val="nl-NL"/>
        </w:rPr>
        <w:t>t</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F92CA0">
        <w:rPr>
          <w:rFonts w:ascii="Civil Premium" w:hAnsi="Civil Premium"/>
          <w:lang w:val="nl-NL"/>
        </w:rPr>
        <w:t>k</w:t>
      </w:r>
      <w:r w:rsidR="001A54AE">
        <w:rPr>
          <w:rFonts w:ascii="Civil Premium" w:hAnsi="Civil Premium"/>
          <w:lang w:val="nl-NL"/>
        </w:rPr>
        <w:t>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toch kleiner lijkt dan een paar weken geleden</w:t>
      </w:r>
      <w:r w:rsidR="004F2D83">
        <w:rPr>
          <w:rFonts w:ascii="Civil Premium" w:hAnsi="Civil Premium"/>
          <w:lang w:val="nl-NL"/>
        </w:rPr>
        <w:t>?</w:t>
      </w:r>
      <w:r w:rsidR="000203B9">
        <w:rPr>
          <w:rFonts w:ascii="Civil Premium" w:hAnsi="Civil Premium"/>
          <w:lang w:val="nl-NL"/>
        </w:rPr>
        <w:t xml:space="preserve">”.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w:t>
      </w:r>
      <w:r w:rsidR="004F2D83">
        <w:rPr>
          <w:rFonts w:ascii="Civil Premium" w:hAnsi="Civil Premium"/>
          <w:lang w:val="nl-NL"/>
        </w:rPr>
        <w:t xml:space="preserve"> </w:t>
      </w:r>
      <w:r w:rsidR="00DC19D4">
        <w:rPr>
          <w:rFonts w:ascii="Civil Premium" w:hAnsi="Civil Premium"/>
          <w:lang w:val="nl-NL"/>
        </w:rPr>
        <w:t>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 xml:space="preserve">hun huidige doelstelling werd aangekondigd </w:t>
      </w:r>
      <w:r w:rsidRPr="003337A2">
        <w:rPr>
          <w:rFonts w:ascii="Civil Premium" w:hAnsi="Civil Premium"/>
          <w:lang w:val="nl-NL"/>
        </w:rPr>
        <w:lastRenderedPageBreak/>
        <w:t>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F0EF7"/>
    <w:rsid w:val="00B07B78"/>
    <w:rsid w:val="00B170EA"/>
    <w:rsid w:val="00B76BF3"/>
    <w:rsid w:val="00BA13BA"/>
    <w:rsid w:val="00BA1D0D"/>
    <w:rsid w:val="00BC266B"/>
    <w:rsid w:val="00C259A5"/>
    <w:rsid w:val="00C32790"/>
    <w:rsid w:val="00C71A68"/>
    <w:rsid w:val="00C75A49"/>
    <w:rsid w:val="00C844BC"/>
    <w:rsid w:val="00C8455F"/>
    <w:rsid w:val="00D565D4"/>
    <w:rsid w:val="00D66953"/>
    <w:rsid w:val="00D77E7E"/>
    <w:rsid w:val="00DA4140"/>
    <w:rsid w:val="00DC19D4"/>
    <w:rsid w:val="00DD2706"/>
    <w:rsid w:val="00DD7A42"/>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730</Words>
  <Characters>4076</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13</cp:revision>
  <dcterms:created xsi:type="dcterms:W3CDTF">2023-12-11T09:06:00Z</dcterms:created>
  <dcterms:modified xsi:type="dcterms:W3CDTF">2023-12-11T10:16:00Z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