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60"/>
      </w:pPr>
      <w:r>
        <w:rPr>
          <w:rFonts w:ascii="Calibri" w:hAnsi="Calibri"/>
          <w:b/>
          <w:color w:val="7A5A00"/>
          <w:sz w:val="20"/>
        </w:rPr>
        <w:t>GUÍA DE REFERENCIA</w:t>
      </w:r>
    </w:p>
    <w:p>
      <w:pPr>
        <w:spacing w:after="160"/>
      </w:pPr>
      <w:r>
        <w:rPr>
          <w:rFonts w:ascii="Calibri" w:hAnsi="Calibri"/>
          <w:b/>
          <w:color w:val="0B2545"/>
          <w:sz w:val="58"/>
        </w:rPr>
        <w:t>Almacenes, estructuras y ubicaciones</w:t>
      </w:r>
    </w:p>
    <w:p>
      <w:pPr>
        <w:spacing w:after="360"/>
      </w:pPr>
      <w:r>
        <w:rPr>
          <w:rFonts w:ascii="Calibri" w:hAnsi="Calibri"/>
          <w:color w:val="555555"/>
          <w:sz w:val="26"/>
        </w:rPr>
        <w:t>Cómo se organiza el almacenamiento físico y cómo se calcula la capacidad.</w:t>
      </w:r>
    </w:p>
    <w:tbl>
      <w:tblPr>
        <w:tblStyle w:val="TableGrid"/>
        <w:tblW w:type="dxa" w:w="9360"/>
        <w:jc w:val="left"/>
        <w:tblLayout w:type="fixed"/>
        <w:tblLook w:firstColumn="1" w:firstRow="1" w:lastColumn="0" w:lastRow="0" w:noHBand="0" w:noVBand="1" w:val="04A0"/>
        <w:tblInd w:w="120" w:type="dxa"/>
      </w:tblPr>
      <w:tblGrid>
        <w:gridCol w:w="2700"/>
        <w:gridCol w:w="6660"/>
      </w:tblGrid>
      <w:tr>
        <w:tc>
          <w:tcPr>
            <w:tcW w:type="dxa" w:w="2700"/>
            <w:tcMar>
              <w:top w:w="80" w:type="dxa"/>
              <w:start w:w="120" w:type="dxa"/>
              <w:bottom w:w="80" w:type="dxa"/>
              <w:end w:w="120" w:type="dxa"/>
            </w:tcMar>
            <w:vAlign w:val="center"/>
            <w:tcBorders>
              <w:top w:val="single" w:sz="4" w:space="0" w:color="D9E0E8"/>
              <w:left w:val="single" w:sz="4" w:space="0" w:color="D9E0E8"/>
              <w:bottom w:val="single" w:sz="4" w:space="0" w:color="D9E0E8"/>
              <w:right w:val="single" w:sz="4" w:space="0" w:color="D9E0E8"/>
              <w:insideH w:val="single" w:sz="4" w:space="0" w:color="D9E0E8"/>
              <w:insideV w:val="single" w:sz="4" w:space="0" w:color="D9E0E8"/>
            </w:tcBorders>
            <w:shd w:fill="E8EEF5" w:val="clear"/>
          </w:tcPr>
          <w:p>
            <w:pPr>
              <w:spacing w:after="0"/>
            </w:pPr>
            <w:r>
              <w:rPr>
                <w:rFonts w:ascii="Calibri" w:hAnsi="Calibri"/>
                <w:b/>
                <w:color w:val="0B2545"/>
                <w:sz w:val="20"/>
              </w:rPr>
              <w:t>Ámbito</w:t>
            </w:r>
          </w:p>
        </w:tc>
        <w:tc>
          <w:tcPr>
            <w:tcW w:type="dxa" w:w="6660"/>
            <w:tcMar>
              <w:top w:w="80" w:type="dxa"/>
              <w:start w:w="120" w:type="dxa"/>
              <w:bottom w:w="80" w:type="dxa"/>
              <w:end w:w="120" w:type="dxa"/>
            </w:tcMar>
            <w:vAlign w:val="center"/>
            <w:tcBorders>
              <w:top w:val="single" w:sz="4" w:space="0" w:color="D9E0E8"/>
              <w:left w:val="single" w:sz="4" w:space="0" w:color="D9E0E8"/>
              <w:bottom w:val="single" w:sz="4" w:space="0" w:color="D9E0E8"/>
              <w:right w:val="single" w:sz="4" w:space="0" w:color="D9E0E8"/>
              <w:insideH w:val="single" w:sz="4" w:space="0" w:color="D9E0E8"/>
              <w:insideV w:val="single" w:sz="4" w:space="0" w:color="D9E0E8"/>
            </w:tcBorders>
          </w:tcPr>
          <w:p>
            <w:pPr>
              <w:spacing w:after="0"/>
            </w:pPr>
            <w:r>
              <w:rPr>
                <w:rFonts w:ascii="Calibri" w:hAnsi="Calibri"/>
                <w:color w:val="555555"/>
                <w:sz w:val="20"/>
              </w:rPr>
              <w:t>Operación de almacenes, capacidad física e inventario por ubicación</w:t>
            </w:r>
          </w:p>
        </w:tc>
      </w:tr>
      <w:tr>
        <w:tc>
          <w:tcPr>
            <w:tcW w:type="dxa" w:w="2700"/>
            <w:tcMar>
              <w:top w:w="80" w:type="dxa"/>
              <w:start w:w="120" w:type="dxa"/>
              <w:bottom w:w="80" w:type="dxa"/>
              <w:end w:w="120" w:type="dxa"/>
            </w:tcMar>
            <w:vAlign w:val="center"/>
            <w:tcBorders>
              <w:top w:val="single" w:sz="4" w:space="0" w:color="D9E0E8"/>
              <w:left w:val="single" w:sz="4" w:space="0" w:color="D9E0E8"/>
              <w:bottom w:val="single" w:sz="4" w:space="0" w:color="D9E0E8"/>
              <w:right w:val="single" w:sz="4" w:space="0" w:color="D9E0E8"/>
              <w:insideH w:val="single" w:sz="4" w:space="0" w:color="D9E0E8"/>
              <w:insideV w:val="single" w:sz="4" w:space="0" w:color="D9E0E8"/>
            </w:tcBorders>
            <w:shd w:fill="E8EEF5" w:val="clear"/>
          </w:tcPr>
          <w:p>
            <w:pPr>
              <w:spacing w:after="0"/>
            </w:pPr>
            <w:r>
              <w:rPr>
                <w:rFonts w:ascii="Calibri" w:hAnsi="Calibri"/>
                <w:b/>
                <w:color w:val="0B2545"/>
                <w:sz w:val="20"/>
              </w:rPr>
              <w:t>Versión</w:t>
            </w:r>
          </w:p>
        </w:tc>
        <w:tc>
          <w:tcPr>
            <w:tcW w:type="dxa" w:w="6660"/>
            <w:tcMar>
              <w:top w:w="80" w:type="dxa"/>
              <w:start w:w="120" w:type="dxa"/>
              <w:bottom w:w="80" w:type="dxa"/>
              <w:end w:w="120" w:type="dxa"/>
            </w:tcMar>
            <w:vAlign w:val="center"/>
            <w:tcBorders>
              <w:top w:val="single" w:sz="4" w:space="0" w:color="D9E0E8"/>
              <w:left w:val="single" w:sz="4" w:space="0" w:color="D9E0E8"/>
              <w:bottom w:val="single" w:sz="4" w:space="0" w:color="D9E0E8"/>
              <w:right w:val="single" w:sz="4" w:space="0" w:color="D9E0E8"/>
              <w:insideH w:val="single" w:sz="4" w:space="0" w:color="D9E0E8"/>
              <w:insideV w:val="single" w:sz="4" w:space="0" w:color="D9E0E8"/>
            </w:tcBorders>
          </w:tcPr>
          <w:p>
            <w:pPr>
              <w:spacing w:after="0"/>
            </w:pPr>
            <w:r>
              <w:rPr>
                <w:rFonts w:ascii="Calibri" w:hAnsi="Calibri"/>
                <w:color w:val="555555"/>
                <w:sz w:val="20"/>
              </w:rPr>
              <w:t>Guía operativa | Agosto 2026</w:t>
            </w:r>
          </w:p>
        </w:tc>
      </w:tr>
    </w:tbl>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AF5EF" w:val="clear"/>
            <w:tcBorders>
              <w:top w:val="single" w:sz="5" w:space="0" w:color="D4DCE6"/>
              <w:left w:val="single" w:sz="5" w:space="0" w:color="D4DCE6"/>
              <w:bottom w:val="single" w:sz="5" w:space="0" w:color="D4DCE6"/>
              <w:right w:val="single" w:sz="5" w:space="0" w:color="D4DCE6"/>
              <w:insideH w:val="single" w:sz="5" w:space="0" w:color="D4DCE6"/>
              <w:insideV w:val="single" w:sz="5" w:space="0" w:color="D4DCE6"/>
            </w:tcBorders>
          </w:tcPr>
          <w:p>
            <w:pPr>
              <w:spacing w:after="0"/>
            </w:pPr>
            <w:r>
              <w:rPr>
                <w:rFonts w:ascii="Calibri" w:hAnsi="Calibri"/>
                <w:b/>
                <w:color w:val="1F6B4F"/>
              </w:rPr>
              <w:t xml:space="preserve">Idea central: </w:t>
            </w:r>
            <w:r>
              <w:rPr>
                <w:rFonts w:ascii="Calibri" w:hAnsi="Calibri"/>
                <w:color w:val="273444"/>
              </w:rPr>
              <w:t>el inventario siempre se guarda en una ubicación. Las estructuras son opcionales y solo agregan un límite compartido cuando la operación necesita representar racks, cámaras, bahías o zonas.</w:t>
            </w:r>
          </w:p>
        </w:tc>
      </w:tr>
    </w:tbl>
    <w:p>
      <w:pPr>
        <w:spacing w:after="0"/>
      </w:pPr>
    </w:p>
    <w:p>
      <w:pPr>
        <w:pStyle w:val="Heading1"/>
      </w:pPr>
      <w:r>
        <w:t>1. La organización física del almacén</w:t>
      </w:r>
    </w:p>
    <w:p>
      <w:r>
        <w:rPr>
          <w:rFonts w:ascii="Calibri" w:hAnsi="Calibri"/>
          <w:i w:val="0"/>
        </w:rPr>
        <w:t>El sistema separa la instalación completa, las agrupaciones físicas y la dirección exacta donde se coloca la mercancía.</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8FAFC" w:val="clear"/>
            <w:tcBorders>
              <w:top w:val="single" w:sz="5" w:space="0" w:color="D9E0E8"/>
              <w:left w:val="single" w:sz="5" w:space="0" w:color="D9E0E8"/>
              <w:bottom w:val="single" w:sz="5" w:space="0" w:color="D9E0E8"/>
              <w:right w:val="single" w:sz="5" w:space="0" w:color="D9E0E8"/>
              <w:insideH w:val="single" w:sz="5" w:space="0" w:color="D9E0E8"/>
              <w:insideV w:val="single" w:sz="5" w:space="0" w:color="D9E0E8"/>
            </w:tcBorders>
          </w:tcPr>
          <w:p>
            <w:pPr>
              <w:spacing w:after="0" w:line="276" w:lineRule="auto"/>
            </w:pPr>
            <w:r/>
            <w:r>
              <w:rPr>
                <w:rFonts w:ascii="Consolas" w:hAnsi="Consolas"/>
                <w:color w:val="0B2545"/>
                <w:sz w:val="21"/>
              </w:rPr>
              <w:t>Almacén (límite general de toda la instalación)</w:t>
            </w:r>
          </w:p>
          <w:p>
            <w:pPr>
              <w:spacing w:after="0" w:line="276" w:lineRule="auto"/>
            </w:pPr>
            <w:r>
              <w:rPr>
                <w:rFonts w:ascii="Consolas" w:hAnsi="Consolas"/>
                <w:color w:val="0B2545"/>
                <w:sz w:val="21"/>
              </w:rPr>
              <w:t>+-- Estructura opcional (rack, cámara, bahía, nivel o zona)</w:t>
            </w:r>
          </w:p>
          <w:p>
            <w:pPr>
              <w:spacing w:after="0" w:line="276" w:lineRule="auto"/>
            </w:pPr>
            <w:r>
              <w:rPr>
                <w:rFonts w:ascii="Consolas" w:hAnsi="Consolas"/>
                <w:color w:val="0B2545"/>
                <w:sz w:val="21"/>
              </w:rPr>
              <w:t>|   +-- Ubicación (dirección exacta de almacenamiento)</w:t>
            </w:r>
          </w:p>
          <w:p>
            <w:pPr>
              <w:spacing w:after="0" w:line="276" w:lineRule="auto"/>
            </w:pPr>
            <w:r>
              <w:rPr>
                <w:rFonts w:ascii="Consolas" w:hAnsi="Consolas"/>
                <w:color w:val="0B2545"/>
                <w:sz w:val="21"/>
              </w:rPr>
              <w:t>|       +-- Unidad logística / existencia</w:t>
            </w:r>
          </w:p>
          <w:p>
            <w:pPr>
              <w:spacing w:after="0" w:line="276" w:lineRule="auto"/>
            </w:pPr>
            <w:r>
              <w:rPr>
                <w:rFonts w:ascii="Consolas" w:hAnsi="Consolas"/>
                <w:color w:val="0B2545"/>
                <w:sz w:val="21"/>
              </w:rPr>
              <w:t>|           +-- Producto, lote, peso y volumen</w:t>
            </w:r>
          </w:p>
          <w:p>
            <w:pPr>
              <w:spacing w:after="0" w:line="276" w:lineRule="auto"/>
            </w:pPr>
            <w:r>
              <w:rPr>
                <w:rFonts w:ascii="Consolas" w:hAnsi="Consolas"/>
                <w:color w:val="0B2545"/>
                <w:sz w:val="21"/>
              </w:rPr>
              <w:t>+-- Ubicación directa del almacén (sin estructura)</w:t>
            </w:r>
          </w:p>
          <w:p>
            <w:pPr>
              <w:spacing w:after="0" w:line="276" w:lineRule="auto"/>
            </w:pPr>
            <w:r>
              <w:rPr>
                <w:rFonts w:ascii="Consolas" w:hAnsi="Consolas"/>
                <w:color w:val="0B2545"/>
                <w:sz w:val="21"/>
              </w:rPr>
              <w:t xml:space="preserve">    +-- Unidad logística / existencia</w:t>
            </w:r>
          </w:p>
        </w:tc>
      </w:tr>
    </w:tbl>
    <w:p>
      <w:pPr>
        <w:spacing w:after="0"/>
      </w:pPr>
    </w:p>
    <w:p>
      <w:pPr>
        <w:pStyle w:val="Heading1"/>
      </w:pPr>
      <w:r>
        <w:t>2. Qué representa cada elemento</w:t>
      </w:r>
    </w:p>
    <w:tbl>
      <w:tblPr>
        <w:tblStyle w:val="TableGrid"/>
        <w:tblW w:type="dxa" w:w="9360"/>
        <w:tblLayout w:type="fixed"/>
        <w:tblLook w:firstColumn="1" w:firstRow="1" w:lastColumn="0" w:lastRow="0" w:noHBand="0" w:noVBand="1" w:val="04A0"/>
        <w:jc w:val="left"/>
        <w:tblInd w:w="120" w:type="dxa"/>
      </w:tblPr>
      <w:tblGrid>
        <w:gridCol w:w="1700"/>
        <w:gridCol w:w="5000"/>
        <w:gridCol w:w="2660"/>
      </w:tblGrid>
      <w:tr>
        <w:trPr>
          <w:tblHeader w:val="true"/>
        </w:trPr>
        <w:tc>
          <w:tcPr>
            <w:tcW w:type="dxa" w:w="1700"/>
            <w:tcMar>
              <w:top w:w="80" w:type="dxa"/>
              <w:start w:w="120" w:type="dxa"/>
              <w:bottom w:w="80" w:type="dxa"/>
              <w:end w:w="120" w:type="dxa"/>
            </w:tcMar>
            <w:vAlign w:val="center"/>
            <w:shd w:fill="E8EEF5" w:val="clear"/>
            <w:tcBorders>
              <w:top w:val="single" w:sz="5" w:space="0" w:color="C8D4E2"/>
              <w:left w:val="single" w:sz="5" w:space="0" w:color="C8D4E2"/>
              <w:bottom w:val="single" w:sz="5" w:space="0" w:color="C8D4E2"/>
              <w:right w:val="single" w:sz="5" w:space="0" w:color="C8D4E2"/>
              <w:insideH w:val="single" w:sz="5" w:space="0" w:color="C8D4E2"/>
              <w:insideV w:val="single" w:sz="5" w:space="0" w:color="C8D4E2"/>
            </w:tcBorders>
          </w:tcPr>
          <w:p>
            <w:pPr>
              <w:spacing w:after="0"/>
            </w:pPr>
            <w:r>
              <w:rPr>
                <w:rFonts w:ascii="Calibri" w:hAnsi="Calibri"/>
                <w:b/>
                <w:color w:val="0B2545"/>
                <w:sz w:val="20"/>
              </w:rPr>
              <w:t>Elemento</w:t>
            </w:r>
          </w:p>
        </w:tc>
        <w:tc>
          <w:tcPr>
            <w:tcW w:type="dxa" w:w="5000"/>
            <w:tcMar>
              <w:top w:w="80" w:type="dxa"/>
              <w:start w:w="120" w:type="dxa"/>
              <w:bottom w:w="80" w:type="dxa"/>
              <w:end w:w="120" w:type="dxa"/>
            </w:tcMar>
            <w:vAlign w:val="center"/>
            <w:shd w:fill="E8EEF5" w:val="clear"/>
            <w:tcBorders>
              <w:top w:val="single" w:sz="5" w:space="0" w:color="C8D4E2"/>
              <w:left w:val="single" w:sz="5" w:space="0" w:color="C8D4E2"/>
              <w:bottom w:val="single" w:sz="5" w:space="0" w:color="C8D4E2"/>
              <w:right w:val="single" w:sz="5" w:space="0" w:color="C8D4E2"/>
              <w:insideH w:val="single" w:sz="5" w:space="0" w:color="C8D4E2"/>
              <w:insideV w:val="single" w:sz="5" w:space="0" w:color="C8D4E2"/>
            </w:tcBorders>
          </w:tcPr>
          <w:p>
            <w:pPr>
              <w:spacing w:after="0"/>
            </w:pPr>
            <w:r>
              <w:rPr>
                <w:rFonts w:ascii="Calibri" w:hAnsi="Calibri"/>
                <w:b/>
                <w:color w:val="0B2545"/>
                <w:sz w:val="20"/>
              </w:rPr>
              <w:t>Responsabilidad en el sistema</w:t>
            </w:r>
          </w:p>
        </w:tc>
        <w:tc>
          <w:tcPr>
            <w:tcW w:type="dxa" w:w="2660"/>
            <w:tcMar>
              <w:top w:w="80" w:type="dxa"/>
              <w:start w:w="120" w:type="dxa"/>
              <w:bottom w:w="80" w:type="dxa"/>
              <w:end w:w="120" w:type="dxa"/>
            </w:tcMar>
            <w:vAlign w:val="center"/>
            <w:shd w:fill="E8EEF5" w:val="clear"/>
            <w:tcBorders>
              <w:top w:val="single" w:sz="5" w:space="0" w:color="C8D4E2"/>
              <w:left w:val="single" w:sz="5" w:space="0" w:color="C8D4E2"/>
              <w:bottom w:val="single" w:sz="5" w:space="0" w:color="C8D4E2"/>
              <w:right w:val="single" w:sz="5" w:space="0" w:color="C8D4E2"/>
              <w:insideH w:val="single" w:sz="5" w:space="0" w:color="C8D4E2"/>
              <w:insideV w:val="single" w:sz="5" w:space="0" w:color="C8D4E2"/>
            </w:tcBorders>
          </w:tcPr>
          <w:p>
            <w:pPr>
              <w:spacing w:after="0"/>
            </w:pPr>
            <w:r>
              <w:rPr>
                <w:rFonts w:ascii="Calibri" w:hAnsi="Calibri"/>
                <w:b/>
                <w:color w:val="0B2545"/>
                <w:sz w:val="20"/>
              </w:rPr>
              <w:t>Ejemplo</w:t>
            </w:r>
          </w:p>
        </w:tc>
      </w:tr>
      <w:tr>
        <w:tc>
          <w:tcPr>
            <w:tcW w:type="dxa" w:w="1700"/>
            <w:tcBorders>
              <w:top w:val="single" w:sz="4" w:space="0" w:color="D9E0E8"/>
              <w:left w:val="single" w:sz="4" w:space="0" w:color="D9E0E8"/>
              <w:bottom w:val="single" w:sz="4" w:space="0" w:color="D9E0E8"/>
              <w:right w:val="single" w:sz="4" w:space="0" w:color="D9E0E8"/>
              <w:insideH w:val="single" w:sz="4" w:space="0" w:color="D9E0E8"/>
              <w:insideV w:val="single" w:sz="4" w:space="0" w:color="D9E0E8"/>
            </w:tcBorders>
            <w:tcMar>
              <w:top w:w="80" w:type="dxa"/>
              <w:start w:w="120" w:type="dxa"/>
              <w:bottom w:w="80" w:type="dxa"/>
              <w:end w:w="120" w:type="dxa"/>
            </w:tcMar>
            <w:vAlign w:val="center"/>
          </w:tcPr>
          <w:p>
            <w:pPr>
              <w:spacing w:after="0"/>
            </w:pPr>
            <w:r>
              <w:rPr>
                <w:rFonts w:ascii="Calibri" w:hAnsi="Calibri"/>
                <w:color w:val="273444"/>
                <w:sz w:val="20"/>
              </w:rPr>
              <w:t>Almacén</w:t>
            </w:r>
          </w:p>
        </w:tc>
        <w:tc>
          <w:tcPr>
            <w:tcW w:type="dxa" w:w="5000"/>
            <w:tcBorders>
              <w:top w:val="single" w:sz="4" w:space="0" w:color="D9E0E8"/>
              <w:left w:val="single" w:sz="4" w:space="0" w:color="D9E0E8"/>
              <w:bottom w:val="single" w:sz="4" w:space="0" w:color="D9E0E8"/>
              <w:right w:val="single" w:sz="4" w:space="0" w:color="D9E0E8"/>
              <w:insideH w:val="single" w:sz="4" w:space="0" w:color="D9E0E8"/>
              <w:insideV w:val="single" w:sz="4" w:space="0" w:color="D9E0E8"/>
            </w:tcBorders>
            <w:tcMar>
              <w:top w:w="80" w:type="dxa"/>
              <w:start w:w="120" w:type="dxa"/>
              <w:bottom w:w="80" w:type="dxa"/>
              <w:end w:w="120" w:type="dxa"/>
            </w:tcMar>
            <w:vAlign w:val="center"/>
          </w:tcPr>
          <w:p>
            <w:pPr>
              <w:spacing w:after="0"/>
            </w:pPr>
            <w:r>
              <w:rPr>
                <w:rFonts w:ascii="Calibri" w:hAnsi="Calibri"/>
                <w:color w:val="273444"/>
                <w:sz w:val="20"/>
              </w:rPr>
              <w:t>Representa toda la instalación. Puede tener límites certificados y operativos de peso y volumen.</w:t>
            </w:r>
          </w:p>
        </w:tc>
        <w:tc>
          <w:tcPr>
            <w:tcW w:type="dxa" w:w="2660"/>
            <w:tcBorders>
              <w:top w:val="single" w:sz="4" w:space="0" w:color="D9E0E8"/>
              <w:left w:val="single" w:sz="4" w:space="0" w:color="D9E0E8"/>
              <w:bottom w:val="single" w:sz="4" w:space="0" w:color="D9E0E8"/>
              <w:right w:val="single" w:sz="4" w:space="0" w:color="D9E0E8"/>
              <w:insideH w:val="single" w:sz="4" w:space="0" w:color="D9E0E8"/>
              <w:insideV w:val="single" w:sz="4" w:space="0" w:color="D9E0E8"/>
            </w:tcBorders>
            <w:tcMar>
              <w:top w:w="80" w:type="dxa"/>
              <w:start w:w="120" w:type="dxa"/>
              <w:bottom w:w="80" w:type="dxa"/>
              <w:end w:w="120" w:type="dxa"/>
            </w:tcMar>
            <w:vAlign w:val="center"/>
          </w:tcPr>
          <w:p>
            <w:pPr>
              <w:spacing w:after="0"/>
            </w:pPr>
            <w:r>
              <w:rPr>
                <w:rFonts w:ascii="Calibri" w:hAnsi="Calibri"/>
                <w:color w:val="273444"/>
                <w:sz w:val="20"/>
              </w:rPr>
              <w:t>Bodega de tienda El Tránsito</w:t>
            </w:r>
          </w:p>
        </w:tc>
      </w:tr>
      <w:tr>
        <w:tc>
          <w:tcPr>
            <w:tcW w:type="dxa" w:w="1700"/>
            <w:tcBorders>
              <w:top w:val="single" w:sz="4" w:space="0" w:color="D9E0E8"/>
              <w:left w:val="single" w:sz="4" w:space="0" w:color="D9E0E8"/>
              <w:bottom w:val="single" w:sz="4" w:space="0" w:color="D9E0E8"/>
              <w:right w:val="single" w:sz="4" w:space="0" w:color="D9E0E8"/>
              <w:insideH w:val="single" w:sz="4" w:space="0" w:color="D9E0E8"/>
              <w:insideV w:val="single" w:sz="4" w:space="0" w:color="D9E0E8"/>
            </w:tcBorders>
            <w:tcMar>
              <w:top w:w="80" w:type="dxa"/>
              <w:start w:w="120" w:type="dxa"/>
              <w:bottom w:w="80" w:type="dxa"/>
              <w:end w:w="120" w:type="dxa"/>
            </w:tcMar>
            <w:vAlign w:val="center"/>
          </w:tcPr>
          <w:p>
            <w:pPr>
              <w:spacing w:after="0"/>
            </w:pPr>
            <w:r>
              <w:rPr>
                <w:rFonts w:ascii="Calibri" w:hAnsi="Calibri"/>
                <w:color w:val="273444"/>
                <w:sz w:val="20"/>
              </w:rPr>
              <w:t>Estructura</w:t>
            </w:r>
          </w:p>
        </w:tc>
        <w:tc>
          <w:tcPr>
            <w:tcW w:type="dxa" w:w="5000"/>
            <w:tcBorders>
              <w:top w:val="single" w:sz="4" w:space="0" w:color="D9E0E8"/>
              <w:left w:val="single" w:sz="4" w:space="0" w:color="D9E0E8"/>
              <w:bottom w:val="single" w:sz="4" w:space="0" w:color="D9E0E8"/>
              <w:right w:val="single" w:sz="4" w:space="0" w:color="D9E0E8"/>
              <w:insideH w:val="single" w:sz="4" w:space="0" w:color="D9E0E8"/>
              <w:insideV w:val="single" w:sz="4" w:space="0" w:color="D9E0E8"/>
            </w:tcBorders>
            <w:tcMar>
              <w:top w:w="80" w:type="dxa"/>
              <w:start w:w="120" w:type="dxa"/>
              <w:bottom w:w="80" w:type="dxa"/>
              <w:end w:w="120" w:type="dxa"/>
            </w:tcMar>
            <w:vAlign w:val="center"/>
          </w:tcPr>
          <w:p>
            <w:pPr>
              <w:spacing w:after="0"/>
            </w:pPr>
            <w:r>
              <w:rPr>
                <w:rFonts w:ascii="Calibri" w:hAnsi="Calibri"/>
                <w:color w:val="273444"/>
                <w:sz w:val="20"/>
              </w:rPr>
              <w:t>Agrupa ubicaciones que comparten una restricción física. No almacena inventario directamente.</w:t>
            </w:r>
          </w:p>
        </w:tc>
        <w:tc>
          <w:tcPr>
            <w:tcW w:type="dxa" w:w="2660"/>
            <w:tcBorders>
              <w:top w:val="single" w:sz="4" w:space="0" w:color="D9E0E8"/>
              <w:left w:val="single" w:sz="4" w:space="0" w:color="D9E0E8"/>
              <w:bottom w:val="single" w:sz="4" w:space="0" w:color="D9E0E8"/>
              <w:right w:val="single" w:sz="4" w:space="0" w:color="D9E0E8"/>
              <w:insideH w:val="single" w:sz="4" w:space="0" w:color="D9E0E8"/>
              <w:insideV w:val="single" w:sz="4" w:space="0" w:color="D9E0E8"/>
            </w:tcBorders>
            <w:tcMar>
              <w:top w:w="80" w:type="dxa"/>
              <w:start w:w="120" w:type="dxa"/>
              <w:bottom w:w="80" w:type="dxa"/>
              <w:end w:w="120" w:type="dxa"/>
            </w:tcMar>
            <w:vAlign w:val="center"/>
          </w:tcPr>
          <w:p>
            <w:pPr>
              <w:spacing w:after="0"/>
            </w:pPr>
            <w:r>
              <w:rPr>
                <w:rFonts w:ascii="Calibri" w:hAnsi="Calibri"/>
                <w:color w:val="273444"/>
                <w:sz w:val="20"/>
              </w:rPr>
              <w:t>Rack A, Cámara fría 1, Zona de piso</w:t>
            </w:r>
          </w:p>
        </w:tc>
      </w:tr>
      <w:tr>
        <w:tc>
          <w:tcPr>
            <w:tcW w:type="dxa" w:w="1700"/>
            <w:tcBorders>
              <w:top w:val="single" w:sz="4" w:space="0" w:color="D9E0E8"/>
              <w:left w:val="single" w:sz="4" w:space="0" w:color="D9E0E8"/>
              <w:bottom w:val="single" w:sz="4" w:space="0" w:color="D9E0E8"/>
              <w:right w:val="single" w:sz="4" w:space="0" w:color="D9E0E8"/>
              <w:insideH w:val="single" w:sz="4" w:space="0" w:color="D9E0E8"/>
              <w:insideV w:val="single" w:sz="4" w:space="0" w:color="D9E0E8"/>
            </w:tcBorders>
            <w:tcMar>
              <w:top w:w="80" w:type="dxa"/>
              <w:start w:w="120" w:type="dxa"/>
              <w:bottom w:w="80" w:type="dxa"/>
              <w:end w:w="120" w:type="dxa"/>
            </w:tcMar>
            <w:vAlign w:val="center"/>
          </w:tcPr>
          <w:p>
            <w:pPr>
              <w:spacing w:after="0"/>
            </w:pPr>
            <w:r>
              <w:rPr>
                <w:rFonts w:ascii="Calibri" w:hAnsi="Calibri"/>
                <w:color w:val="273444"/>
                <w:sz w:val="20"/>
              </w:rPr>
              <w:t>Ubicación</w:t>
            </w:r>
          </w:p>
        </w:tc>
        <w:tc>
          <w:tcPr>
            <w:tcW w:type="dxa" w:w="5000"/>
            <w:tcBorders>
              <w:top w:val="single" w:sz="4" w:space="0" w:color="D9E0E8"/>
              <w:left w:val="single" w:sz="4" w:space="0" w:color="D9E0E8"/>
              <w:bottom w:val="single" w:sz="4" w:space="0" w:color="D9E0E8"/>
              <w:right w:val="single" w:sz="4" w:space="0" w:color="D9E0E8"/>
              <w:insideH w:val="single" w:sz="4" w:space="0" w:color="D9E0E8"/>
              <w:insideV w:val="single" w:sz="4" w:space="0" w:color="D9E0E8"/>
            </w:tcBorders>
            <w:tcMar>
              <w:top w:w="80" w:type="dxa"/>
              <w:start w:w="120" w:type="dxa"/>
              <w:bottom w:w="80" w:type="dxa"/>
              <w:end w:w="120" w:type="dxa"/>
            </w:tcMar>
            <w:vAlign w:val="center"/>
          </w:tcPr>
          <w:p>
            <w:pPr>
              <w:spacing w:after="0"/>
            </w:pPr>
            <w:r>
              <w:rPr>
                <w:rFonts w:ascii="Calibri" w:hAnsi="Calibri"/>
                <w:color w:val="273444"/>
                <w:sz w:val="20"/>
              </w:rPr>
              <w:t>Es la dirección exacta donde se guarda y mueve el inventario. Es el destino operativo real.</w:t>
            </w:r>
          </w:p>
        </w:tc>
        <w:tc>
          <w:tcPr>
            <w:tcW w:type="dxa" w:w="2660"/>
            <w:tcBorders>
              <w:top w:val="single" w:sz="4" w:space="0" w:color="D9E0E8"/>
              <w:left w:val="single" w:sz="4" w:space="0" w:color="D9E0E8"/>
              <w:bottom w:val="single" w:sz="4" w:space="0" w:color="D9E0E8"/>
              <w:right w:val="single" w:sz="4" w:space="0" w:color="D9E0E8"/>
              <w:insideH w:val="single" w:sz="4" w:space="0" w:color="D9E0E8"/>
              <w:insideV w:val="single" w:sz="4" w:space="0" w:color="D9E0E8"/>
            </w:tcBorders>
            <w:tcMar>
              <w:top w:w="80" w:type="dxa"/>
              <w:start w:w="120" w:type="dxa"/>
              <w:bottom w:w="80" w:type="dxa"/>
              <w:end w:w="120" w:type="dxa"/>
            </w:tcMar>
            <w:vAlign w:val="center"/>
          </w:tcPr>
          <w:p>
            <w:pPr>
              <w:spacing w:after="0"/>
            </w:pPr>
            <w:r>
              <w:rPr>
                <w:rFonts w:ascii="Calibri" w:hAnsi="Calibri"/>
                <w:color w:val="273444"/>
                <w:sz w:val="20"/>
              </w:rPr>
              <w:t>SEC-A01-R01-N01-P01</w:t>
            </w:r>
          </w:p>
        </w:tc>
      </w:tr>
      <w:tr>
        <w:tc>
          <w:tcPr>
            <w:tcW w:type="dxa" w:w="1700"/>
            <w:tcBorders>
              <w:top w:val="single" w:sz="4" w:space="0" w:color="D9E0E8"/>
              <w:left w:val="single" w:sz="4" w:space="0" w:color="D9E0E8"/>
              <w:bottom w:val="single" w:sz="4" w:space="0" w:color="D9E0E8"/>
              <w:right w:val="single" w:sz="4" w:space="0" w:color="D9E0E8"/>
              <w:insideH w:val="single" w:sz="4" w:space="0" w:color="D9E0E8"/>
              <w:insideV w:val="single" w:sz="4" w:space="0" w:color="D9E0E8"/>
            </w:tcBorders>
            <w:tcMar>
              <w:top w:w="80" w:type="dxa"/>
              <w:start w:w="120" w:type="dxa"/>
              <w:bottom w:w="80" w:type="dxa"/>
              <w:end w:w="120" w:type="dxa"/>
            </w:tcMar>
            <w:vAlign w:val="center"/>
          </w:tcPr>
          <w:p>
            <w:pPr>
              <w:spacing w:after="0"/>
            </w:pPr>
            <w:r>
              <w:rPr>
                <w:rFonts w:ascii="Calibri" w:hAnsi="Calibri"/>
                <w:color w:val="273444"/>
                <w:sz w:val="20"/>
              </w:rPr>
              <w:t>Unidad logística</w:t>
            </w:r>
          </w:p>
        </w:tc>
        <w:tc>
          <w:tcPr>
            <w:tcW w:type="dxa" w:w="5000"/>
            <w:tcBorders>
              <w:top w:val="single" w:sz="4" w:space="0" w:color="D9E0E8"/>
              <w:left w:val="single" w:sz="4" w:space="0" w:color="D9E0E8"/>
              <w:bottom w:val="single" w:sz="4" w:space="0" w:color="D9E0E8"/>
              <w:right w:val="single" w:sz="4" w:space="0" w:color="D9E0E8"/>
              <w:insideH w:val="single" w:sz="4" w:space="0" w:color="D9E0E8"/>
              <w:insideV w:val="single" w:sz="4" w:space="0" w:color="D9E0E8"/>
            </w:tcBorders>
            <w:tcMar>
              <w:top w:w="80" w:type="dxa"/>
              <w:start w:w="120" w:type="dxa"/>
              <w:bottom w:w="80" w:type="dxa"/>
              <w:end w:w="120" w:type="dxa"/>
            </w:tcMar>
            <w:vAlign w:val="center"/>
          </w:tcPr>
          <w:p>
            <w:pPr>
              <w:spacing w:after="0"/>
            </w:pPr>
            <w:r>
              <w:rPr>
                <w:rFonts w:ascii="Calibri" w:hAnsi="Calibri"/>
                <w:color w:val="273444"/>
                <w:sz w:val="20"/>
              </w:rPr>
              <w:t>Representa un bulto o conjunto homogéneo recibido: saco, caja, paquete, rollo o producto suelto.</w:t>
            </w:r>
          </w:p>
        </w:tc>
        <w:tc>
          <w:tcPr>
            <w:tcW w:type="dxa" w:w="2660"/>
            <w:tcBorders>
              <w:top w:val="single" w:sz="4" w:space="0" w:color="D9E0E8"/>
              <w:left w:val="single" w:sz="4" w:space="0" w:color="D9E0E8"/>
              <w:bottom w:val="single" w:sz="4" w:space="0" w:color="D9E0E8"/>
              <w:right w:val="single" w:sz="4" w:space="0" w:color="D9E0E8"/>
              <w:insideH w:val="single" w:sz="4" w:space="0" w:color="D9E0E8"/>
              <w:insideV w:val="single" w:sz="4" w:space="0" w:color="D9E0E8"/>
            </w:tcBorders>
            <w:tcMar>
              <w:top w:w="80" w:type="dxa"/>
              <w:start w:w="120" w:type="dxa"/>
              <w:bottom w:w="80" w:type="dxa"/>
              <w:end w:w="120" w:type="dxa"/>
            </w:tcMar>
            <w:vAlign w:val="center"/>
          </w:tcPr>
          <w:p>
            <w:pPr>
              <w:spacing w:after="0"/>
            </w:pPr>
            <w:r>
              <w:rPr>
                <w:rFonts w:ascii="Calibri" w:hAnsi="Calibri"/>
                <w:color w:val="273444"/>
                <w:sz w:val="20"/>
              </w:rPr>
              <w:t>Saco de harina 50 lb</w:t>
            </w:r>
          </w:p>
        </w:tc>
      </w:tr>
      <w:tr>
        <w:tc>
          <w:tcPr>
            <w:tcW w:type="dxa" w:w="1700"/>
            <w:tcBorders>
              <w:top w:val="single" w:sz="4" w:space="0" w:color="D9E0E8"/>
              <w:left w:val="single" w:sz="4" w:space="0" w:color="D9E0E8"/>
              <w:bottom w:val="single" w:sz="4" w:space="0" w:color="D9E0E8"/>
              <w:right w:val="single" w:sz="4" w:space="0" w:color="D9E0E8"/>
              <w:insideH w:val="single" w:sz="4" w:space="0" w:color="D9E0E8"/>
              <w:insideV w:val="single" w:sz="4" w:space="0" w:color="D9E0E8"/>
            </w:tcBorders>
            <w:tcMar>
              <w:top w:w="80" w:type="dxa"/>
              <w:start w:w="120" w:type="dxa"/>
              <w:bottom w:w="80" w:type="dxa"/>
              <w:end w:w="120" w:type="dxa"/>
            </w:tcMar>
            <w:vAlign w:val="center"/>
          </w:tcPr>
          <w:p>
            <w:pPr>
              <w:spacing w:after="0"/>
            </w:pPr>
            <w:r>
              <w:rPr>
                <w:rFonts w:ascii="Calibri" w:hAnsi="Calibri"/>
                <w:color w:val="273444"/>
                <w:sz w:val="20"/>
              </w:rPr>
              <w:t>Producto</w:t>
            </w:r>
          </w:p>
        </w:tc>
        <w:tc>
          <w:tcPr>
            <w:tcW w:type="dxa" w:w="5000"/>
            <w:tcBorders>
              <w:top w:val="single" w:sz="4" w:space="0" w:color="D9E0E8"/>
              <w:left w:val="single" w:sz="4" w:space="0" w:color="D9E0E8"/>
              <w:bottom w:val="single" w:sz="4" w:space="0" w:color="D9E0E8"/>
              <w:right w:val="single" w:sz="4" w:space="0" w:color="D9E0E8"/>
              <w:insideH w:val="single" w:sz="4" w:space="0" w:color="D9E0E8"/>
              <w:insideV w:val="single" w:sz="4" w:space="0" w:color="D9E0E8"/>
            </w:tcBorders>
            <w:tcMar>
              <w:top w:w="80" w:type="dxa"/>
              <w:start w:w="120" w:type="dxa"/>
              <w:bottom w:w="80" w:type="dxa"/>
              <w:end w:w="120" w:type="dxa"/>
            </w:tcMar>
            <w:vAlign w:val="center"/>
          </w:tcPr>
          <w:p>
            <w:pPr>
              <w:spacing w:after="0"/>
            </w:pPr>
            <w:r>
              <w:rPr>
                <w:rFonts w:ascii="Calibri" w:hAnsi="Calibri"/>
                <w:color w:val="273444"/>
                <w:sz w:val="20"/>
              </w:rPr>
              <w:t>Identifica qué mercancía es. Sus presentaciones aportan la forma física en que se opera.</w:t>
            </w:r>
          </w:p>
        </w:tc>
        <w:tc>
          <w:tcPr>
            <w:tcW w:type="dxa" w:w="2660"/>
            <w:tcBorders>
              <w:top w:val="single" w:sz="4" w:space="0" w:color="D9E0E8"/>
              <w:left w:val="single" w:sz="4" w:space="0" w:color="D9E0E8"/>
              <w:bottom w:val="single" w:sz="4" w:space="0" w:color="D9E0E8"/>
              <w:right w:val="single" w:sz="4" w:space="0" w:color="D9E0E8"/>
              <w:insideH w:val="single" w:sz="4" w:space="0" w:color="D9E0E8"/>
              <w:insideV w:val="single" w:sz="4" w:space="0" w:color="D9E0E8"/>
            </w:tcBorders>
            <w:tcMar>
              <w:top w:w="80" w:type="dxa"/>
              <w:start w:w="120" w:type="dxa"/>
              <w:bottom w:w="80" w:type="dxa"/>
              <w:end w:w="120" w:type="dxa"/>
            </w:tcMar>
            <w:vAlign w:val="center"/>
          </w:tcPr>
          <w:p>
            <w:pPr>
              <w:spacing w:after="0"/>
            </w:pPr>
            <w:r>
              <w:rPr>
                <w:rFonts w:ascii="Calibri" w:hAnsi="Calibri"/>
                <w:color w:val="273444"/>
                <w:sz w:val="20"/>
              </w:rPr>
              <w:t>Harina especial para panadería</w:t>
            </w:r>
          </w:p>
        </w:tc>
      </w:tr>
    </w:tbl>
    <w:p>
      <w:pPr>
        <w:spacing w:after="0"/>
      </w:pPr>
    </w:p>
    <w:p>
      <w:pPr>
        <w:pStyle w:val="Heading1"/>
      </w:pPr>
      <w:r>
        <w:t>3. Las estructuras son opcionales</w:t>
      </w:r>
    </w:p>
    <w:p>
      <w:r>
        <w:rPr>
          <w:rFonts w:ascii="Calibri" w:hAnsi="Calibri"/>
          <w:i w:val="0"/>
        </w:rPr>
        <w:t>Un almacén pequeño puede trabajar sin estructuras. El personal puede crear ubicaciones directamente bajo el almacén y comenzar a almacenar mercancía de inmediato.</w:t>
      </w:r>
    </w:p>
    <w:tbl>
      <w:tblPr>
        <w:tblStyle w:val="TableGrid"/>
        <w:tblW w:type="dxa" w:w="9360"/>
        <w:tblLayout w:type="fixed"/>
        <w:tblLook w:firstColumn="1" w:firstRow="1" w:lastColumn="0" w:lastRow="0" w:noHBand="0" w:noVBand="1" w:val="04A0"/>
        <w:jc w:val="left"/>
        <w:tblInd w:w="120" w:type="dxa"/>
      </w:tblPr>
      <w:tblGrid>
        <w:gridCol w:w="1700"/>
        <w:gridCol w:w="3850"/>
        <w:gridCol w:w="3810"/>
      </w:tblGrid>
      <w:tr>
        <w:trPr>
          <w:tblHeader w:val="true"/>
        </w:trPr>
        <w:tc>
          <w:tcPr>
            <w:tcW w:type="dxa" w:w="1700"/>
            <w:tcMar>
              <w:top w:w="80" w:type="dxa"/>
              <w:start w:w="120" w:type="dxa"/>
              <w:bottom w:w="80" w:type="dxa"/>
              <w:end w:w="120" w:type="dxa"/>
            </w:tcMar>
            <w:vAlign w:val="center"/>
            <w:shd w:fill="E8EEF5" w:val="clear"/>
            <w:tcBorders>
              <w:top w:val="single" w:sz="5" w:space="0" w:color="C8D4E2"/>
              <w:left w:val="single" w:sz="5" w:space="0" w:color="C8D4E2"/>
              <w:bottom w:val="single" w:sz="5" w:space="0" w:color="C8D4E2"/>
              <w:right w:val="single" w:sz="5" w:space="0" w:color="C8D4E2"/>
              <w:insideH w:val="single" w:sz="5" w:space="0" w:color="C8D4E2"/>
              <w:insideV w:val="single" w:sz="5" w:space="0" w:color="C8D4E2"/>
            </w:tcBorders>
          </w:tcPr>
          <w:p>
            <w:pPr>
              <w:spacing w:after="0"/>
            </w:pPr>
            <w:r>
              <w:rPr>
                <w:rFonts w:ascii="Calibri" w:hAnsi="Calibri"/>
                <w:b/>
                <w:color w:val="0B2545"/>
                <w:sz w:val="20"/>
              </w:rPr>
              <w:t>Modelo</w:t>
            </w:r>
          </w:p>
        </w:tc>
        <w:tc>
          <w:tcPr>
            <w:tcW w:type="dxa" w:w="3850"/>
            <w:tcMar>
              <w:top w:w="80" w:type="dxa"/>
              <w:start w:w="120" w:type="dxa"/>
              <w:bottom w:w="80" w:type="dxa"/>
              <w:end w:w="120" w:type="dxa"/>
            </w:tcMar>
            <w:vAlign w:val="center"/>
            <w:shd w:fill="E8EEF5" w:val="clear"/>
            <w:tcBorders>
              <w:top w:val="single" w:sz="5" w:space="0" w:color="C8D4E2"/>
              <w:left w:val="single" w:sz="5" w:space="0" w:color="C8D4E2"/>
              <w:bottom w:val="single" w:sz="5" w:space="0" w:color="C8D4E2"/>
              <w:right w:val="single" w:sz="5" w:space="0" w:color="C8D4E2"/>
              <w:insideH w:val="single" w:sz="5" w:space="0" w:color="C8D4E2"/>
              <w:insideV w:val="single" w:sz="5" w:space="0" w:color="C8D4E2"/>
            </w:tcBorders>
          </w:tcPr>
          <w:p>
            <w:pPr>
              <w:spacing w:after="0"/>
            </w:pPr>
            <w:r>
              <w:rPr>
                <w:rFonts w:ascii="Calibri" w:hAnsi="Calibri"/>
                <w:b/>
                <w:color w:val="0B2545"/>
                <w:sz w:val="20"/>
              </w:rPr>
              <w:t>Cómo se configura</w:t>
            </w:r>
          </w:p>
        </w:tc>
        <w:tc>
          <w:tcPr>
            <w:tcW w:type="dxa" w:w="3810"/>
            <w:tcMar>
              <w:top w:w="80" w:type="dxa"/>
              <w:start w:w="120" w:type="dxa"/>
              <w:bottom w:w="80" w:type="dxa"/>
              <w:end w:w="120" w:type="dxa"/>
            </w:tcMar>
            <w:vAlign w:val="center"/>
            <w:shd w:fill="E8EEF5" w:val="clear"/>
            <w:tcBorders>
              <w:top w:val="single" w:sz="5" w:space="0" w:color="C8D4E2"/>
              <w:left w:val="single" w:sz="5" w:space="0" w:color="C8D4E2"/>
              <w:bottom w:val="single" w:sz="5" w:space="0" w:color="C8D4E2"/>
              <w:right w:val="single" w:sz="5" w:space="0" w:color="C8D4E2"/>
              <w:insideH w:val="single" w:sz="5" w:space="0" w:color="C8D4E2"/>
              <w:insideV w:val="single" w:sz="5" w:space="0" w:color="C8D4E2"/>
            </w:tcBorders>
          </w:tcPr>
          <w:p>
            <w:pPr>
              <w:spacing w:after="0"/>
            </w:pPr>
            <w:r>
              <w:rPr>
                <w:rFonts w:ascii="Calibri" w:hAnsi="Calibri"/>
                <w:b/>
                <w:color w:val="0B2545"/>
                <w:sz w:val="20"/>
              </w:rPr>
              <w:t>Cuándo conviene</w:t>
            </w:r>
          </w:p>
        </w:tc>
      </w:tr>
      <w:tr>
        <w:tc>
          <w:tcPr>
            <w:tcW w:type="dxa" w:w="1700"/>
            <w:tcBorders>
              <w:top w:val="single" w:sz="4" w:space="0" w:color="D9E0E8"/>
              <w:left w:val="single" w:sz="4" w:space="0" w:color="D9E0E8"/>
              <w:bottom w:val="single" w:sz="4" w:space="0" w:color="D9E0E8"/>
              <w:right w:val="single" w:sz="4" w:space="0" w:color="D9E0E8"/>
              <w:insideH w:val="single" w:sz="4" w:space="0" w:color="D9E0E8"/>
              <w:insideV w:val="single" w:sz="4" w:space="0" w:color="D9E0E8"/>
            </w:tcBorders>
            <w:tcMar>
              <w:top w:w="80" w:type="dxa"/>
              <w:start w:w="120" w:type="dxa"/>
              <w:bottom w:w="80" w:type="dxa"/>
              <w:end w:w="120" w:type="dxa"/>
            </w:tcMar>
            <w:vAlign w:val="center"/>
          </w:tcPr>
          <w:p>
            <w:pPr>
              <w:spacing w:after="0"/>
            </w:pPr>
            <w:r>
              <w:rPr>
                <w:rFonts w:ascii="Calibri" w:hAnsi="Calibri"/>
                <w:color w:val="273444"/>
                <w:sz w:val="20"/>
              </w:rPr>
              <w:t>Sin estructuras</w:t>
            </w:r>
          </w:p>
        </w:tc>
        <w:tc>
          <w:tcPr>
            <w:tcW w:type="dxa" w:w="3850"/>
            <w:tcBorders>
              <w:top w:val="single" w:sz="4" w:space="0" w:color="D9E0E8"/>
              <w:left w:val="single" w:sz="4" w:space="0" w:color="D9E0E8"/>
              <w:bottom w:val="single" w:sz="4" w:space="0" w:color="D9E0E8"/>
              <w:right w:val="single" w:sz="4" w:space="0" w:color="D9E0E8"/>
              <w:insideH w:val="single" w:sz="4" w:space="0" w:color="D9E0E8"/>
              <w:insideV w:val="single" w:sz="4" w:space="0" w:color="D9E0E8"/>
            </w:tcBorders>
            <w:tcMar>
              <w:top w:w="80" w:type="dxa"/>
              <w:start w:w="120" w:type="dxa"/>
              <w:bottom w:w="80" w:type="dxa"/>
              <w:end w:w="120" w:type="dxa"/>
            </w:tcMar>
            <w:vAlign w:val="center"/>
          </w:tcPr>
          <w:p>
            <w:pPr>
              <w:spacing w:after="0"/>
            </w:pPr>
            <w:r>
              <w:rPr>
                <w:rFonts w:ascii="Calibri" w:hAnsi="Calibri"/>
                <w:color w:val="273444"/>
                <w:sz w:val="20"/>
              </w:rPr>
              <w:t>Almacén -&gt; Ubicación -&gt; Inventario. Cada ubicación se valida contra el límite del almacén.</w:t>
            </w:r>
          </w:p>
        </w:tc>
        <w:tc>
          <w:tcPr>
            <w:tcW w:type="dxa" w:w="3810"/>
            <w:tcBorders>
              <w:top w:val="single" w:sz="4" w:space="0" w:color="D9E0E8"/>
              <w:left w:val="single" w:sz="4" w:space="0" w:color="D9E0E8"/>
              <w:bottom w:val="single" w:sz="4" w:space="0" w:color="D9E0E8"/>
              <w:right w:val="single" w:sz="4" w:space="0" w:color="D9E0E8"/>
              <w:insideH w:val="single" w:sz="4" w:space="0" w:color="D9E0E8"/>
              <w:insideV w:val="single" w:sz="4" w:space="0" w:color="D9E0E8"/>
            </w:tcBorders>
            <w:tcMar>
              <w:top w:w="80" w:type="dxa"/>
              <w:start w:w="120" w:type="dxa"/>
              <w:bottom w:w="80" w:type="dxa"/>
              <w:end w:w="120" w:type="dxa"/>
            </w:tcMar>
            <w:vAlign w:val="center"/>
          </w:tcPr>
          <w:p>
            <w:pPr>
              <w:spacing w:after="0"/>
            </w:pPr>
            <w:r>
              <w:rPr>
                <w:rFonts w:ascii="Calibri" w:hAnsi="Calibri"/>
                <w:color w:val="273444"/>
                <w:sz w:val="20"/>
              </w:rPr>
              <w:t>Bodegas pequeñas, tiendas, cuartos de stock o zonas sin restricciones compartidas.</w:t>
            </w:r>
          </w:p>
        </w:tc>
      </w:tr>
      <w:tr>
        <w:tc>
          <w:tcPr>
            <w:tcW w:type="dxa" w:w="1700"/>
            <w:tcBorders>
              <w:top w:val="single" w:sz="4" w:space="0" w:color="D9E0E8"/>
              <w:left w:val="single" w:sz="4" w:space="0" w:color="D9E0E8"/>
              <w:bottom w:val="single" w:sz="4" w:space="0" w:color="D9E0E8"/>
              <w:right w:val="single" w:sz="4" w:space="0" w:color="D9E0E8"/>
              <w:insideH w:val="single" w:sz="4" w:space="0" w:color="D9E0E8"/>
              <w:insideV w:val="single" w:sz="4" w:space="0" w:color="D9E0E8"/>
            </w:tcBorders>
            <w:tcMar>
              <w:top w:w="80" w:type="dxa"/>
              <w:start w:w="120" w:type="dxa"/>
              <w:bottom w:w="80" w:type="dxa"/>
              <w:end w:w="120" w:type="dxa"/>
            </w:tcMar>
            <w:vAlign w:val="center"/>
          </w:tcPr>
          <w:p>
            <w:pPr>
              <w:spacing w:after="0"/>
            </w:pPr>
            <w:r>
              <w:rPr>
                <w:rFonts w:ascii="Calibri" w:hAnsi="Calibri"/>
                <w:color w:val="273444"/>
                <w:sz w:val="20"/>
              </w:rPr>
              <w:t>Con estructuras</w:t>
            </w:r>
          </w:p>
        </w:tc>
        <w:tc>
          <w:tcPr>
            <w:tcW w:type="dxa" w:w="3850"/>
            <w:tcBorders>
              <w:top w:val="single" w:sz="4" w:space="0" w:color="D9E0E8"/>
              <w:left w:val="single" w:sz="4" w:space="0" w:color="D9E0E8"/>
              <w:bottom w:val="single" w:sz="4" w:space="0" w:color="D9E0E8"/>
              <w:right w:val="single" w:sz="4" w:space="0" w:color="D9E0E8"/>
              <w:insideH w:val="single" w:sz="4" w:space="0" w:color="D9E0E8"/>
              <w:insideV w:val="single" w:sz="4" w:space="0" w:color="D9E0E8"/>
            </w:tcBorders>
            <w:tcMar>
              <w:top w:w="80" w:type="dxa"/>
              <w:start w:w="120" w:type="dxa"/>
              <w:bottom w:w="80" w:type="dxa"/>
              <w:end w:w="120" w:type="dxa"/>
            </w:tcMar>
            <w:vAlign w:val="center"/>
          </w:tcPr>
          <w:p>
            <w:pPr>
              <w:spacing w:after="0"/>
            </w:pPr>
            <w:r>
              <w:rPr>
                <w:rFonts w:ascii="Calibri" w:hAnsi="Calibri"/>
                <w:color w:val="273444"/>
                <w:sz w:val="20"/>
              </w:rPr>
              <w:t>Almacén -&gt; Estructura -&gt; Ubicación -&gt; Inventario. La ubicación se valida contra su estructura y los niveles superiores.</w:t>
            </w:r>
          </w:p>
        </w:tc>
        <w:tc>
          <w:tcPr>
            <w:tcW w:type="dxa" w:w="3810"/>
            <w:tcBorders>
              <w:top w:val="single" w:sz="4" w:space="0" w:color="D9E0E8"/>
              <w:left w:val="single" w:sz="4" w:space="0" w:color="D9E0E8"/>
              <w:bottom w:val="single" w:sz="4" w:space="0" w:color="D9E0E8"/>
              <w:right w:val="single" w:sz="4" w:space="0" w:color="D9E0E8"/>
              <w:insideH w:val="single" w:sz="4" w:space="0" w:color="D9E0E8"/>
              <w:insideV w:val="single" w:sz="4" w:space="0" w:color="D9E0E8"/>
            </w:tcBorders>
            <w:tcMar>
              <w:top w:w="80" w:type="dxa"/>
              <w:start w:w="120" w:type="dxa"/>
              <w:bottom w:w="80" w:type="dxa"/>
              <w:end w:w="120" w:type="dxa"/>
            </w:tcMar>
            <w:vAlign w:val="center"/>
          </w:tcPr>
          <w:p>
            <w:pPr>
              <w:spacing w:after="0"/>
            </w:pPr>
            <w:r>
              <w:rPr>
                <w:rFonts w:ascii="Calibri" w:hAnsi="Calibri"/>
                <w:color w:val="273444"/>
                <w:sz w:val="20"/>
              </w:rPr>
              <w:t>Racks, cámaras, niveles, bahías o zonas con límites físicos propios.</w:t>
            </w:r>
          </w:p>
        </w:tc>
      </w:tr>
    </w:tbl>
    <w:p>
      <w:pPr>
        <w:spacing w:after="0"/>
      </w:pP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FF8E8" w:val="clear"/>
            <w:tcBorders>
              <w:top w:val="single" w:sz="5" w:space="0" w:color="D4DCE6"/>
              <w:left w:val="single" w:sz="5" w:space="0" w:color="D4DCE6"/>
              <w:bottom w:val="single" w:sz="5" w:space="0" w:color="D4DCE6"/>
              <w:right w:val="single" w:sz="5" w:space="0" w:color="D4DCE6"/>
              <w:insideH w:val="single" w:sz="5" w:space="0" w:color="D4DCE6"/>
              <w:insideV w:val="single" w:sz="5" w:space="0" w:color="D4DCE6"/>
            </w:tcBorders>
          </w:tcPr>
          <w:p>
            <w:pPr>
              <w:spacing w:after="0"/>
            </w:pPr>
            <w:r>
              <w:rPr>
                <w:rFonts w:ascii="Calibri" w:hAnsi="Calibri"/>
                <w:b/>
                <w:color w:val="7A5A00"/>
              </w:rPr>
              <w:t xml:space="preserve">Regla práctica: </w:t>
            </w:r>
            <w:r>
              <w:rPr>
                <w:rFonts w:ascii="Calibri" w:hAnsi="Calibri"/>
                <w:color w:val="273444"/>
              </w:rPr>
              <w:t>si no existe una restricción compartida que deba controlarse, no es necesario crear una estructura. Crear estructuras por obligación solo añade trabajo y puede confundir al personal.</w:t>
            </w:r>
          </w:p>
        </w:tc>
      </w:tr>
    </w:tbl>
    <w:p>
      <w:pPr>
        <w:spacing w:after="0"/>
      </w:pPr>
    </w:p>
    <w:p>
      <w:pPr>
        <w:pStyle w:val="Heading1"/>
      </w:pPr>
      <w:r>
        <w:t>4. Capacidad: peso y volumen por separado</w:t>
      </w:r>
    </w:p>
    <w:p>
      <w:r>
        <w:rPr>
          <w:rFonts w:ascii="Calibri" w:hAnsi="Calibri"/>
          <w:i w:val="0"/>
        </w:rPr>
        <w:t>La capacidad no se calcula en pallets ni en una cantidad genérica de productos. El sistema compara dos métricas físicas independientes:</w:t>
      </w:r>
    </w:p>
    <w:p>
      <w:pPr>
        <w:pStyle w:val="ListBullet"/>
      </w:pPr>
      <w:r>
        <w:t>Peso: se expresa en kilogramos (kg) y controla cuánto peso puede soportar el alcance físico.</w:t>
      </w:r>
    </w:p>
    <w:p>
      <w:pPr>
        <w:pStyle w:val="ListBullet"/>
      </w:pPr>
      <w:r>
        <w:t>Volumen útil: se expresa en metros cúbicos (m³) y controla cuánto espacio utilizable está disponible.</w:t>
      </w:r>
    </w:p>
    <w:p>
      <w:r>
        <w:rPr>
          <w:rFonts w:ascii="Calibri" w:hAnsi="Calibri"/>
          <w:i w:val="0"/>
        </w:rPr>
        <w:t>Una mercancía puede ser ligera pero voluminosa, o pequeña pero pesada. Por eso el sistema no promedia ambas métricas.</w:t>
      </w:r>
    </w:p>
    <w:tbl>
      <w:tblPr>
        <w:tblStyle w:val="TableGrid"/>
        <w:tblW w:type="dxa" w:w="9360"/>
        <w:tblLayout w:type="fixed"/>
        <w:tblLook w:firstColumn="1" w:firstRow="1" w:lastColumn="0" w:lastRow="0" w:noHBand="0" w:noVBand="1" w:val="04A0"/>
        <w:jc w:val="left"/>
        <w:tblInd w:w="120" w:type="dxa"/>
      </w:tblPr>
      <w:tblGrid>
        <w:gridCol w:w="1900"/>
        <w:gridCol w:w="3850"/>
        <w:gridCol w:w="3610"/>
      </w:tblGrid>
      <w:tr>
        <w:trPr>
          <w:tblHeader w:val="true"/>
        </w:trPr>
        <w:tc>
          <w:tcPr>
            <w:tcW w:type="dxa" w:w="1900"/>
            <w:tcMar>
              <w:top w:w="80" w:type="dxa"/>
              <w:start w:w="120" w:type="dxa"/>
              <w:bottom w:w="80" w:type="dxa"/>
              <w:end w:w="120" w:type="dxa"/>
            </w:tcMar>
            <w:vAlign w:val="center"/>
            <w:shd w:fill="E8EEF5" w:val="clear"/>
            <w:tcBorders>
              <w:top w:val="single" w:sz="5" w:space="0" w:color="C8D4E2"/>
              <w:left w:val="single" w:sz="5" w:space="0" w:color="C8D4E2"/>
              <w:bottom w:val="single" w:sz="5" w:space="0" w:color="C8D4E2"/>
              <w:right w:val="single" w:sz="5" w:space="0" w:color="C8D4E2"/>
              <w:insideH w:val="single" w:sz="5" w:space="0" w:color="C8D4E2"/>
              <w:insideV w:val="single" w:sz="5" w:space="0" w:color="C8D4E2"/>
            </w:tcBorders>
          </w:tcPr>
          <w:p>
            <w:pPr>
              <w:spacing w:after="0"/>
            </w:pPr>
            <w:r>
              <w:rPr>
                <w:rFonts w:ascii="Calibri" w:hAnsi="Calibri"/>
                <w:b/>
                <w:color w:val="0B2545"/>
                <w:sz w:val="20"/>
              </w:rPr>
              <w:t>Tipo de límite</w:t>
            </w:r>
          </w:p>
        </w:tc>
        <w:tc>
          <w:tcPr>
            <w:tcW w:type="dxa" w:w="3850"/>
            <w:tcMar>
              <w:top w:w="80" w:type="dxa"/>
              <w:start w:w="120" w:type="dxa"/>
              <w:bottom w:w="80" w:type="dxa"/>
              <w:end w:w="120" w:type="dxa"/>
            </w:tcMar>
            <w:vAlign w:val="center"/>
            <w:shd w:fill="E8EEF5" w:val="clear"/>
            <w:tcBorders>
              <w:top w:val="single" w:sz="5" w:space="0" w:color="C8D4E2"/>
              <w:left w:val="single" w:sz="5" w:space="0" w:color="C8D4E2"/>
              <w:bottom w:val="single" w:sz="5" w:space="0" w:color="C8D4E2"/>
              <w:right w:val="single" w:sz="5" w:space="0" w:color="C8D4E2"/>
              <w:insideH w:val="single" w:sz="5" w:space="0" w:color="C8D4E2"/>
              <w:insideV w:val="single" w:sz="5" w:space="0" w:color="C8D4E2"/>
            </w:tcBorders>
          </w:tcPr>
          <w:p>
            <w:pPr>
              <w:spacing w:after="0"/>
            </w:pPr>
            <w:r>
              <w:rPr>
                <w:rFonts w:ascii="Calibri" w:hAnsi="Calibri"/>
                <w:b/>
                <w:color w:val="0B2545"/>
                <w:sz w:val="20"/>
              </w:rPr>
              <w:t>Qué significa</w:t>
            </w:r>
          </w:p>
        </w:tc>
        <w:tc>
          <w:tcPr>
            <w:tcW w:type="dxa" w:w="3610"/>
            <w:tcMar>
              <w:top w:w="80" w:type="dxa"/>
              <w:start w:w="120" w:type="dxa"/>
              <w:bottom w:w="80" w:type="dxa"/>
              <w:end w:w="120" w:type="dxa"/>
            </w:tcMar>
            <w:vAlign w:val="center"/>
            <w:shd w:fill="E8EEF5" w:val="clear"/>
            <w:tcBorders>
              <w:top w:val="single" w:sz="5" w:space="0" w:color="C8D4E2"/>
              <w:left w:val="single" w:sz="5" w:space="0" w:color="C8D4E2"/>
              <w:bottom w:val="single" w:sz="5" w:space="0" w:color="C8D4E2"/>
              <w:right w:val="single" w:sz="5" w:space="0" w:color="C8D4E2"/>
              <w:insideH w:val="single" w:sz="5" w:space="0" w:color="C8D4E2"/>
              <w:insideV w:val="single" w:sz="5" w:space="0" w:color="C8D4E2"/>
            </w:tcBorders>
          </w:tcPr>
          <w:p>
            <w:pPr>
              <w:spacing w:after="0"/>
            </w:pPr>
            <w:r>
              <w:rPr>
                <w:rFonts w:ascii="Calibri" w:hAnsi="Calibri"/>
                <w:b/>
                <w:color w:val="0B2545"/>
                <w:sz w:val="20"/>
              </w:rPr>
              <w:t>Comportamiento</w:t>
            </w:r>
          </w:p>
        </w:tc>
      </w:tr>
      <w:tr>
        <w:tc>
          <w:tcPr>
            <w:tcW w:type="dxa" w:w="1900"/>
            <w:tcBorders>
              <w:top w:val="single" w:sz="4" w:space="0" w:color="D9E0E8"/>
              <w:left w:val="single" w:sz="4" w:space="0" w:color="D9E0E8"/>
              <w:bottom w:val="single" w:sz="4" w:space="0" w:color="D9E0E8"/>
              <w:right w:val="single" w:sz="4" w:space="0" w:color="D9E0E8"/>
              <w:insideH w:val="single" w:sz="4" w:space="0" w:color="D9E0E8"/>
              <w:insideV w:val="single" w:sz="4" w:space="0" w:color="D9E0E8"/>
            </w:tcBorders>
            <w:tcMar>
              <w:top w:w="80" w:type="dxa"/>
              <w:start w:w="120" w:type="dxa"/>
              <w:bottom w:w="80" w:type="dxa"/>
              <w:end w:w="120" w:type="dxa"/>
            </w:tcMar>
            <w:vAlign w:val="center"/>
          </w:tcPr>
          <w:p>
            <w:pPr>
              <w:spacing w:after="0"/>
            </w:pPr>
            <w:r>
              <w:rPr>
                <w:rFonts w:ascii="Calibri" w:hAnsi="Calibri"/>
                <w:color w:val="273444"/>
                <w:sz w:val="20"/>
              </w:rPr>
              <w:t>Operativo</w:t>
            </w:r>
          </w:p>
        </w:tc>
        <w:tc>
          <w:tcPr>
            <w:tcW w:type="dxa" w:w="3850"/>
            <w:tcBorders>
              <w:top w:val="single" w:sz="4" w:space="0" w:color="D9E0E8"/>
              <w:left w:val="single" w:sz="4" w:space="0" w:color="D9E0E8"/>
              <w:bottom w:val="single" w:sz="4" w:space="0" w:color="D9E0E8"/>
              <w:right w:val="single" w:sz="4" w:space="0" w:color="D9E0E8"/>
              <w:insideH w:val="single" w:sz="4" w:space="0" w:color="D9E0E8"/>
              <w:insideV w:val="single" w:sz="4" w:space="0" w:color="D9E0E8"/>
            </w:tcBorders>
            <w:tcMar>
              <w:top w:w="80" w:type="dxa"/>
              <w:start w:w="120" w:type="dxa"/>
              <w:bottom w:w="80" w:type="dxa"/>
              <w:end w:w="120" w:type="dxa"/>
            </w:tcMar>
            <w:vAlign w:val="center"/>
          </w:tcPr>
          <w:p>
            <w:pPr>
              <w:spacing w:after="0"/>
            </w:pPr>
            <w:r>
              <w:rPr>
                <w:rFonts w:ascii="Calibri" w:hAnsi="Calibri"/>
                <w:color w:val="273444"/>
                <w:sz w:val="20"/>
              </w:rPr>
              <w:t>Máximo recomendado para trabajar diariamente con margen de seguridad.</w:t>
            </w:r>
          </w:p>
        </w:tc>
        <w:tc>
          <w:tcPr>
            <w:tcW w:type="dxa" w:w="3610"/>
            <w:tcBorders>
              <w:top w:val="single" w:sz="4" w:space="0" w:color="D9E0E8"/>
              <w:left w:val="single" w:sz="4" w:space="0" w:color="D9E0E8"/>
              <w:bottom w:val="single" w:sz="4" w:space="0" w:color="D9E0E8"/>
              <w:right w:val="single" w:sz="4" w:space="0" w:color="D9E0E8"/>
              <w:insideH w:val="single" w:sz="4" w:space="0" w:color="D9E0E8"/>
              <w:insideV w:val="single" w:sz="4" w:space="0" w:color="D9E0E8"/>
            </w:tcBorders>
            <w:tcMar>
              <w:top w:w="80" w:type="dxa"/>
              <w:start w:w="120" w:type="dxa"/>
              <w:bottom w:w="80" w:type="dxa"/>
              <w:end w:w="120" w:type="dxa"/>
            </w:tcMar>
            <w:vAlign w:val="center"/>
          </w:tcPr>
          <w:p>
            <w:pPr>
              <w:spacing w:after="0"/>
            </w:pPr>
            <w:r>
              <w:rPr>
                <w:rFonts w:ascii="Calibri" w:hAnsi="Calibri"/>
                <w:color w:val="273444"/>
                <w:sz w:val="20"/>
              </w:rPr>
              <w:t>Puede generar advertencia o bloquear entradas cuando se supera, según la política configurada.</w:t>
            </w:r>
          </w:p>
        </w:tc>
      </w:tr>
      <w:tr>
        <w:tc>
          <w:tcPr>
            <w:tcW w:type="dxa" w:w="1900"/>
            <w:tcBorders>
              <w:top w:val="single" w:sz="4" w:space="0" w:color="D9E0E8"/>
              <w:left w:val="single" w:sz="4" w:space="0" w:color="D9E0E8"/>
              <w:bottom w:val="single" w:sz="4" w:space="0" w:color="D9E0E8"/>
              <w:right w:val="single" w:sz="4" w:space="0" w:color="D9E0E8"/>
              <w:insideH w:val="single" w:sz="4" w:space="0" w:color="D9E0E8"/>
              <w:insideV w:val="single" w:sz="4" w:space="0" w:color="D9E0E8"/>
            </w:tcBorders>
            <w:tcMar>
              <w:top w:w="80" w:type="dxa"/>
              <w:start w:w="120" w:type="dxa"/>
              <w:bottom w:w="80" w:type="dxa"/>
              <w:end w:w="120" w:type="dxa"/>
            </w:tcMar>
            <w:vAlign w:val="center"/>
          </w:tcPr>
          <w:p>
            <w:pPr>
              <w:spacing w:after="0"/>
            </w:pPr>
            <w:r>
              <w:rPr>
                <w:rFonts w:ascii="Calibri" w:hAnsi="Calibri"/>
                <w:color w:val="273444"/>
                <w:sz w:val="20"/>
              </w:rPr>
              <w:t>Certificado</w:t>
            </w:r>
          </w:p>
        </w:tc>
        <w:tc>
          <w:tcPr>
            <w:tcW w:type="dxa" w:w="3850"/>
            <w:tcBorders>
              <w:top w:val="single" w:sz="4" w:space="0" w:color="D9E0E8"/>
              <w:left w:val="single" w:sz="4" w:space="0" w:color="D9E0E8"/>
              <w:bottom w:val="single" w:sz="4" w:space="0" w:color="D9E0E8"/>
              <w:right w:val="single" w:sz="4" w:space="0" w:color="D9E0E8"/>
              <w:insideH w:val="single" w:sz="4" w:space="0" w:color="D9E0E8"/>
              <w:insideV w:val="single" w:sz="4" w:space="0" w:color="D9E0E8"/>
            </w:tcBorders>
            <w:tcMar>
              <w:top w:w="80" w:type="dxa"/>
              <w:start w:w="120" w:type="dxa"/>
              <w:bottom w:w="80" w:type="dxa"/>
              <w:end w:w="120" w:type="dxa"/>
            </w:tcMar>
            <w:vAlign w:val="center"/>
          </w:tcPr>
          <w:p>
            <w:pPr>
              <w:spacing w:after="0"/>
            </w:pPr>
            <w:r>
              <w:rPr>
                <w:rFonts w:ascii="Calibri" w:hAnsi="Calibri"/>
                <w:color w:val="273444"/>
                <w:sz w:val="20"/>
              </w:rPr>
              <w:t>Máximo físico, estructural o regulatorio aprobado por la operación o un responsable técnico.</w:t>
            </w:r>
          </w:p>
        </w:tc>
        <w:tc>
          <w:tcPr>
            <w:tcW w:type="dxa" w:w="3610"/>
            <w:tcBorders>
              <w:top w:val="single" w:sz="4" w:space="0" w:color="D9E0E8"/>
              <w:left w:val="single" w:sz="4" w:space="0" w:color="D9E0E8"/>
              <w:bottom w:val="single" w:sz="4" w:space="0" w:color="D9E0E8"/>
              <w:right w:val="single" w:sz="4" w:space="0" w:color="D9E0E8"/>
              <w:insideH w:val="single" w:sz="4" w:space="0" w:color="D9E0E8"/>
              <w:insideV w:val="single" w:sz="4" w:space="0" w:color="D9E0E8"/>
            </w:tcBorders>
            <w:tcMar>
              <w:top w:w="80" w:type="dxa"/>
              <w:start w:w="120" w:type="dxa"/>
              <w:bottom w:w="80" w:type="dxa"/>
              <w:end w:w="120" w:type="dxa"/>
            </w:tcMar>
            <w:vAlign w:val="center"/>
          </w:tcPr>
          <w:p>
            <w:pPr>
              <w:spacing w:after="0"/>
            </w:pPr>
            <w:r>
              <w:rPr>
                <w:rFonts w:ascii="Calibri" w:hAnsi="Calibri"/>
                <w:color w:val="273444"/>
                <w:sz w:val="20"/>
              </w:rPr>
              <w:t>No se puede superar. Una autorización operativa no lo relaja.</w:t>
            </w:r>
          </w:p>
        </w:tc>
      </w:tr>
    </w:tbl>
    <w:p>
      <w:pPr>
        <w:spacing w:after="0"/>
      </w:pP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val="clear"/>
            <w:tcBorders>
              <w:top w:val="single" w:sz="5" w:space="0" w:color="D4DCE6"/>
              <w:left w:val="single" w:sz="5" w:space="0" w:color="D4DCE6"/>
              <w:bottom w:val="single" w:sz="5" w:space="0" w:color="D4DCE6"/>
              <w:right w:val="single" w:sz="5" w:space="0" w:color="D4DCE6"/>
              <w:insideH w:val="single" w:sz="5" w:space="0" w:color="D4DCE6"/>
              <w:insideV w:val="single" w:sz="5" w:space="0" w:color="D4DCE6"/>
            </w:tcBorders>
          </w:tcPr>
          <w:p>
            <w:pPr>
              <w:spacing w:after="0"/>
            </w:pPr>
            <w:r>
              <w:rPr>
                <w:rFonts w:ascii="Calibri" w:hAnsi="Calibri"/>
                <w:b/>
                <w:color w:val="0B2545"/>
              </w:rPr>
              <w:t xml:space="preserve">Ejemplo: </w:t>
            </w:r>
            <w:r>
              <w:rPr>
                <w:rFonts w:ascii="Calibri" w:hAnsi="Calibri"/>
                <w:color w:val="273444"/>
              </w:rPr>
              <w:t>un rack puede tener 2,200 kg certificados y 1,900 kg operativos. La operación procura no superar 1,900 kg; superar 2,200 kg es un exceso físico certificado que debe bloquearse.</w:t>
            </w:r>
          </w:p>
        </w:tc>
      </w:tr>
    </w:tbl>
    <w:p>
      <w:pPr>
        <w:spacing w:after="0"/>
      </w:pPr>
    </w:p>
    <w:p>
      <w:pPr>
        <w:pStyle w:val="Heading1"/>
      </w:pPr>
      <w:r>
        <w:t>5. Cómo se calcula la utilización</w:t>
      </w:r>
    </w:p>
    <w:p>
      <w:r>
        <w:rPr>
          <w:rFonts w:ascii="Calibri" w:hAnsi="Calibri"/>
          <w:i w:val="0"/>
        </w:rPr>
        <w:t>Para cada alcance aplicable - ubicación, estructura antecesora y almacén - se calcula el consumo proyectado de peso y volumen.</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8FAFC" w:val="clear"/>
            <w:tcBorders>
              <w:top w:val="single" w:sz="5" w:space="0" w:color="D9E0E8"/>
              <w:left w:val="single" w:sz="5" w:space="0" w:color="D9E0E8"/>
              <w:bottom w:val="single" w:sz="5" w:space="0" w:color="D9E0E8"/>
              <w:right w:val="single" w:sz="5" w:space="0" w:color="D9E0E8"/>
              <w:insideH w:val="single" w:sz="5" w:space="0" w:color="D9E0E8"/>
              <w:insideV w:val="single" w:sz="5" w:space="0" w:color="D9E0E8"/>
            </w:tcBorders>
          </w:tcPr>
          <w:p>
            <w:pPr>
              <w:spacing w:after="0" w:line="276" w:lineRule="auto"/>
            </w:pPr>
            <w:r/>
            <w:r>
              <w:rPr>
                <w:rFonts w:ascii="Consolas" w:hAnsi="Consolas"/>
                <w:color w:val="0B2545"/>
                <w:sz w:val="21"/>
              </w:rPr>
              <w:t>Ocupado real = mercancía medida que ya está en la ubicación</w:t>
            </w:r>
          </w:p>
          <w:p>
            <w:pPr>
              <w:spacing w:after="0" w:line="276" w:lineRule="auto"/>
            </w:pPr>
            <w:r>
              <w:rPr>
                <w:rFonts w:ascii="Consolas" w:hAnsi="Consolas"/>
                <w:color w:val="0B2545"/>
                <w:sz w:val="21"/>
              </w:rPr>
              <w:t>Reservado = capacidad comprometida por reservas vigentes</w:t>
            </w:r>
          </w:p>
          <w:p>
            <w:pPr>
              <w:spacing w:after="0" w:line="276" w:lineRule="auto"/>
            </w:pPr>
            <w:r>
              <w:rPr>
                <w:rFonts w:ascii="Consolas" w:hAnsi="Consolas"/>
                <w:color w:val="0B2545"/>
                <w:sz w:val="21"/>
              </w:rPr>
              <w:t>Proyectado = ocupado real + reservas vigentes + nueva entrada</w:t>
            </w:r>
          </w:p>
          <w:p>
            <w:pPr>
              <w:spacing w:after="0" w:line="276" w:lineRule="auto"/>
            </w:pPr>
            <w:r>
              <w:rPr>
                <w:rFonts w:ascii="Consolas" w:hAnsi="Consolas"/>
                <w:color w:val="0B2545"/>
                <w:sz w:val="21"/>
              </w:rPr>
              <w:t>Utilización de peso = proyectado en kg / límite aplicable de peso x 100</w:t>
            </w:r>
          </w:p>
          <w:p>
            <w:pPr>
              <w:spacing w:after="0" w:line="276" w:lineRule="auto"/>
            </w:pPr>
            <w:r>
              <w:rPr>
                <w:rFonts w:ascii="Consolas" w:hAnsi="Consolas"/>
                <w:color w:val="0B2545"/>
                <w:sz w:val="21"/>
              </w:rPr>
              <w:t>Utilización de volumen = proyectado en m³ / límite aplicable de volumen x 100</w:t>
            </w:r>
          </w:p>
          <w:p>
            <w:pPr>
              <w:spacing w:after="0" w:line="276" w:lineRule="auto"/>
            </w:pPr>
            <w:r>
              <w:rPr>
                <w:rFonts w:ascii="Consolas" w:hAnsi="Consolas"/>
                <w:color w:val="0B2545"/>
                <w:sz w:val="21"/>
              </w:rPr>
              <w:t>Nivel limitante = la métrica con el mayor porcentaje de utilización</w:t>
            </w:r>
          </w:p>
        </w:tc>
      </w:tr>
    </w:tbl>
    <w:p>
      <w:pPr>
        <w:spacing w:after="0"/>
      </w:pPr>
    </w:p>
    <w:p>
      <w:r>
        <w:rPr>
          <w:rFonts w:ascii="Calibri" w:hAnsi="Calibri"/>
          <w:i w:val="0"/>
        </w:rPr>
        <w:t>La validación se realiza por separado para peso y volumen. En una ubicación con estructura se revisa la ruta completa; en una ubicación directa se revisa la ubicación y el almacén.</w:t>
      </w:r>
    </w:p>
    <w:tbl>
      <w:tblPr>
        <w:tblStyle w:val="TableGrid"/>
        <w:tblW w:type="dxa" w:w="9360"/>
        <w:tblLayout w:type="fixed"/>
        <w:tblLook w:firstColumn="1" w:firstRow="1" w:lastColumn="0" w:lastRow="0" w:noHBand="0" w:noVBand="1" w:val="04A0"/>
        <w:jc w:val="left"/>
        <w:tblInd w:w="120" w:type="dxa"/>
      </w:tblPr>
      <w:tblGrid>
        <w:gridCol w:w="3150"/>
        <w:gridCol w:w="6210"/>
      </w:tblGrid>
      <w:tr>
        <w:trPr>
          <w:tblHeader w:val="true"/>
        </w:trPr>
        <w:tc>
          <w:tcPr>
            <w:tcW w:type="dxa" w:w="3150"/>
            <w:tcMar>
              <w:top w:w="80" w:type="dxa"/>
              <w:start w:w="120" w:type="dxa"/>
              <w:bottom w:w="80" w:type="dxa"/>
              <w:end w:w="120" w:type="dxa"/>
            </w:tcMar>
            <w:vAlign w:val="center"/>
            <w:shd w:fill="E8EEF5" w:val="clear"/>
            <w:tcBorders>
              <w:top w:val="single" w:sz="5" w:space="0" w:color="C8D4E2"/>
              <w:left w:val="single" w:sz="5" w:space="0" w:color="C8D4E2"/>
              <w:bottom w:val="single" w:sz="5" w:space="0" w:color="C8D4E2"/>
              <w:right w:val="single" w:sz="5" w:space="0" w:color="C8D4E2"/>
              <w:insideH w:val="single" w:sz="5" w:space="0" w:color="C8D4E2"/>
              <w:insideV w:val="single" w:sz="5" w:space="0" w:color="C8D4E2"/>
            </w:tcBorders>
          </w:tcPr>
          <w:p>
            <w:pPr>
              <w:spacing w:after="0"/>
            </w:pPr>
            <w:r>
              <w:rPr>
                <w:rFonts w:ascii="Calibri" w:hAnsi="Calibri"/>
                <w:b/>
                <w:color w:val="0B2545"/>
                <w:sz w:val="20"/>
              </w:rPr>
              <w:t>Situación</w:t>
            </w:r>
          </w:p>
        </w:tc>
        <w:tc>
          <w:tcPr>
            <w:tcW w:type="dxa" w:w="6210"/>
            <w:tcMar>
              <w:top w:w="80" w:type="dxa"/>
              <w:start w:w="120" w:type="dxa"/>
              <w:bottom w:w="80" w:type="dxa"/>
              <w:end w:w="120" w:type="dxa"/>
            </w:tcMar>
            <w:vAlign w:val="center"/>
            <w:shd w:fill="E8EEF5" w:val="clear"/>
            <w:tcBorders>
              <w:top w:val="single" w:sz="5" w:space="0" w:color="C8D4E2"/>
              <w:left w:val="single" w:sz="5" w:space="0" w:color="C8D4E2"/>
              <w:bottom w:val="single" w:sz="5" w:space="0" w:color="C8D4E2"/>
              <w:right w:val="single" w:sz="5" w:space="0" w:color="C8D4E2"/>
              <w:insideH w:val="single" w:sz="5" w:space="0" w:color="C8D4E2"/>
              <w:insideV w:val="single" w:sz="5" w:space="0" w:color="C8D4E2"/>
            </w:tcBorders>
          </w:tcPr>
          <w:p>
            <w:pPr>
              <w:spacing w:after="0"/>
            </w:pPr>
            <w:r>
              <w:rPr>
                <w:rFonts w:ascii="Calibri" w:hAnsi="Calibri"/>
                <w:b/>
                <w:color w:val="0B2545"/>
                <w:sz w:val="20"/>
              </w:rPr>
              <w:t>Resultado</w:t>
            </w:r>
          </w:p>
        </w:tc>
      </w:tr>
      <w:tr>
        <w:tc>
          <w:tcPr>
            <w:tcW w:type="dxa" w:w="3150"/>
            <w:tcBorders>
              <w:top w:val="single" w:sz="4" w:space="0" w:color="D9E0E8"/>
              <w:left w:val="single" w:sz="4" w:space="0" w:color="D9E0E8"/>
              <w:bottom w:val="single" w:sz="4" w:space="0" w:color="D9E0E8"/>
              <w:right w:val="single" w:sz="4" w:space="0" w:color="D9E0E8"/>
              <w:insideH w:val="single" w:sz="4" w:space="0" w:color="D9E0E8"/>
              <w:insideV w:val="single" w:sz="4" w:space="0" w:color="D9E0E8"/>
            </w:tcBorders>
            <w:tcMar>
              <w:top w:w="80" w:type="dxa"/>
              <w:start w:w="120" w:type="dxa"/>
              <w:bottom w:w="80" w:type="dxa"/>
              <w:end w:w="120" w:type="dxa"/>
            </w:tcMar>
            <w:vAlign w:val="center"/>
          </w:tcPr>
          <w:p>
            <w:pPr>
              <w:spacing w:after="0"/>
            </w:pPr>
            <w:r>
              <w:rPr>
                <w:rFonts w:ascii="Calibri" w:hAnsi="Calibri"/>
                <w:color w:val="273444"/>
                <w:sz w:val="20"/>
              </w:rPr>
              <w:t>Peso disponible, volumen excedido</w:t>
            </w:r>
          </w:p>
        </w:tc>
        <w:tc>
          <w:tcPr>
            <w:tcW w:type="dxa" w:w="6210"/>
            <w:tcBorders>
              <w:top w:val="single" w:sz="4" w:space="0" w:color="D9E0E8"/>
              <w:left w:val="single" w:sz="4" w:space="0" w:color="D9E0E8"/>
              <w:bottom w:val="single" w:sz="4" w:space="0" w:color="D9E0E8"/>
              <w:right w:val="single" w:sz="4" w:space="0" w:color="D9E0E8"/>
              <w:insideH w:val="single" w:sz="4" w:space="0" w:color="D9E0E8"/>
              <w:insideV w:val="single" w:sz="4" w:space="0" w:color="D9E0E8"/>
            </w:tcBorders>
            <w:tcMar>
              <w:top w:w="80" w:type="dxa"/>
              <w:start w:w="120" w:type="dxa"/>
              <w:bottom w:w="80" w:type="dxa"/>
              <w:end w:w="120" w:type="dxa"/>
            </w:tcMar>
            <w:vAlign w:val="center"/>
          </w:tcPr>
          <w:p>
            <w:pPr>
              <w:spacing w:after="0"/>
            </w:pPr>
            <w:r>
              <w:rPr>
                <w:rFonts w:ascii="Calibri" w:hAnsi="Calibri"/>
                <w:color w:val="273444"/>
                <w:sz w:val="20"/>
              </w:rPr>
              <w:t>La entrada se limita por volumen; el peso no compensa el exceso.</w:t>
            </w:r>
          </w:p>
        </w:tc>
      </w:tr>
      <w:tr>
        <w:tc>
          <w:tcPr>
            <w:tcW w:type="dxa" w:w="3150"/>
            <w:tcBorders>
              <w:top w:val="single" w:sz="4" w:space="0" w:color="D9E0E8"/>
              <w:left w:val="single" w:sz="4" w:space="0" w:color="D9E0E8"/>
              <w:bottom w:val="single" w:sz="4" w:space="0" w:color="D9E0E8"/>
              <w:right w:val="single" w:sz="4" w:space="0" w:color="D9E0E8"/>
              <w:insideH w:val="single" w:sz="4" w:space="0" w:color="D9E0E8"/>
              <w:insideV w:val="single" w:sz="4" w:space="0" w:color="D9E0E8"/>
            </w:tcBorders>
            <w:tcMar>
              <w:top w:w="80" w:type="dxa"/>
              <w:start w:w="120" w:type="dxa"/>
              <w:bottom w:w="80" w:type="dxa"/>
              <w:end w:w="120" w:type="dxa"/>
            </w:tcMar>
            <w:vAlign w:val="center"/>
          </w:tcPr>
          <w:p>
            <w:pPr>
              <w:spacing w:after="0"/>
            </w:pPr>
            <w:r>
              <w:rPr>
                <w:rFonts w:ascii="Calibri" w:hAnsi="Calibri"/>
                <w:color w:val="273444"/>
                <w:sz w:val="20"/>
              </w:rPr>
              <w:t>Volumen disponible, peso excedido</w:t>
            </w:r>
          </w:p>
        </w:tc>
        <w:tc>
          <w:tcPr>
            <w:tcW w:type="dxa" w:w="6210"/>
            <w:tcBorders>
              <w:top w:val="single" w:sz="4" w:space="0" w:color="D9E0E8"/>
              <w:left w:val="single" w:sz="4" w:space="0" w:color="D9E0E8"/>
              <w:bottom w:val="single" w:sz="4" w:space="0" w:color="D9E0E8"/>
              <w:right w:val="single" w:sz="4" w:space="0" w:color="D9E0E8"/>
              <w:insideH w:val="single" w:sz="4" w:space="0" w:color="D9E0E8"/>
              <w:insideV w:val="single" w:sz="4" w:space="0" w:color="D9E0E8"/>
            </w:tcBorders>
            <w:tcMar>
              <w:top w:w="80" w:type="dxa"/>
              <w:start w:w="120" w:type="dxa"/>
              <w:bottom w:w="80" w:type="dxa"/>
              <w:end w:w="120" w:type="dxa"/>
            </w:tcMar>
            <w:vAlign w:val="center"/>
          </w:tcPr>
          <w:p>
            <w:pPr>
              <w:spacing w:after="0"/>
            </w:pPr>
            <w:r>
              <w:rPr>
                <w:rFonts w:ascii="Calibri" w:hAnsi="Calibri"/>
                <w:color w:val="273444"/>
                <w:sz w:val="20"/>
              </w:rPr>
              <w:t>La entrada se limita por peso; el espacio libre no compensa el exceso.</w:t>
            </w:r>
          </w:p>
        </w:tc>
      </w:tr>
      <w:tr>
        <w:tc>
          <w:tcPr>
            <w:tcW w:type="dxa" w:w="3150"/>
            <w:tcBorders>
              <w:top w:val="single" w:sz="4" w:space="0" w:color="D9E0E8"/>
              <w:left w:val="single" w:sz="4" w:space="0" w:color="D9E0E8"/>
              <w:bottom w:val="single" w:sz="4" w:space="0" w:color="D9E0E8"/>
              <w:right w:val="single" w:sz="4" w:space="0" w:color="D9E0E8"/>
              <w:insideH w:val="single" w:sz="4" w:space="0" w:color="D9E0E8"/>
              <w:insideV w:val="single" w:sz="4" w:space="0" w:color="D9E0E8"/>
            </w:tcBorders>
            <w:tcMar>
              <w:top w:w="80" w:type="dxa"/>
              <w:start w:w="120" w:type="dxa"/>
              <w:bottom w:w="80" w:type="dxa"/>
              <w:end w:w="120" w:type="dxa"/>
            </w:tcMar>
            <w:vAlign w:val="center"/>
          </w:tcPr>
          <w:p>
            <w:pPr>
              <w:spacing w:after="0"/>
            </w:pPr>
            <w:r>
              <w:rPr>
                <w:rFonts w:ascii="Calibri" w:hAnsi="Calibri"/>
                <w:color w:val="273444"/>
                <w:sz w:val="20"/>
              </w:rPr>
              <w:t>Faltan medidas de una unidad o reserva</w:t>
            </w:r>
          </w:p>
        </w:tc>
        <w:tc>
          <w:tcPr>
            <w:tcW w:type="dxa" w:w="6210"/>
            <w:tcBorders>
              <w:top w:val="single" w:sz="4" w:space="0" w:color="D9E0E8"/>
              <w:left w:val="single" w:sz="4" w:space="0" w:color="D9E0E8"/>
              <w:bottom w:val="single" w:sz="4" w:space="0" w:color="D9E0E8"/>
              <w:right w:val="single" w:sz="4" w:space="0" w:color="D9E0E8"/>
              <w:insideH w:val="single" w:sz="4" w:space="0" w:color="D9E0E8"/>
              <w:insideV w:val="single" w:sz="4" w:space="0" w:color="D9E0E8"/>
            </w:tcBorders>
            <w:tcMar>
              <w:top w:w="80" w:type="dxa"/>
              <w:start w:w="120" w:type="dxa"/>
              <w:bottom w:w="80" w:type="dxa"/>
              <w:end w:w="120" w:type="dxa"/>
            </w:tcMar>
            <w:vAlign w:val="center"/>
          </w:tcPr>
          <w:p>
            <w:pPr>
              <w:spacing w:after="0"/>
            </w:pPr>
            <w:r>
              <w:rPr>
                <w:rFonts w:ascii="Calibri" w:hAnsi="Calibri"/>
                <w:color w:val="273444"/>
                <w:sz w:val="20"/>
              </w:rPr>
              <w:t>La ocupación se muestra como desconocida o incompleta; no se inventa un valor de cero.</w:t>
            </w:r>
          </w:p>
        </w:tc>
      </w:tr>
      <w:tr>
        <w:tc>
          <w:tcPr>
            <w:tcW w:type="dxa" w:w="3150"/>
            <w:tcBorders>
              <w:top w:val="single" w:sz="4" w:space="0" w:color="D9E0E8"/>
              <w:left w:val="single" w:sz="4" w:space="0" w:color="D9E0E8"/>
              <w:bottom w:val="single" w:sz="4" w:space="0" w:color="D9E0E8"/>
              <w:right w:val="single" w:sz="4" w:space="0" w:color="D9E0E8"/>
              <w:insideH w:val="single" w:sz="4" w:space="0" w:color="D9E0E8"/>
              <w:insideV w:val="single" w:sz="4" w:space="0" w:color="D9E0E8"/>
            </w:tcBorders>
            <w:tcMar>
              <w:top w:w="80" w:type="dxa"/>
              <w:start w:w="120" w:type="dxa"/>
              <w:bottom w:w="80" w:type="dxa"/>
              <w:end w:w="120" w:type="dxa"/>
            </w:tcMar>
            <w:vAlign w:val="center"/>
          </w:tcPr>
          <w:p>
            <w:pPr>
              <w:spacing w:after="0"/>
            </w:pPr>
            <w:r>
              <w:rPr>
                <w:rFonts w:ascii="Calibri" w:hAnsi="Calibri"/>
                <w:color w:val="273444"/>
                <w:sz w:val="20"/>
              </w:rPr>
              <w:t>Máximos nominales de hijos superan al padre</w:t>
            </w:r>
          </w:p>
        </w:tc>
        <w:tc>
          <w:tcPr>
            <w:tcW w:type="dxa" w:w="6210"/>
            <w:tcBorders>
              <w:top w:val="single" w:sz="4" w:space="0" w:color="D9E0E8"/>
              <w:left w:val="single" w:sz="4" w:space="0" w:color="D9E0E8"/>
              <w:bottom w:val="single" w:sz="4" w:space="0" w:color="D9E0E8"/>
              <w:right w:val="single" w:sz="4" w:space="0" w:color="D9E0E8"/>
              <w:insideH w:val="single" w:sz="4" w:space="0" w:color="D9E0E8"/>
              <w:insideV w:val="single" w:sz="4" w:space="0" w:color="D9E0E8"/>
            </w:tcBorders>
            <w:tcMar>
              <w:top w:w="80" w:type="dxa"/>
              <w:start w:w="120" w:type="dxa"/>
              <w:bottom w:w="80" w:type="dxa"/>
              <w:end w:w="120" w:type="dxa"/>
            </w:tcMar>
            <w:vAlign w:val="center"/>
          </w:tcPr>
          <w:p>
            <w:pPr>
              <w:spacing w:after="0"/>
            </w:pPr>
            <w:r>
              <w:rPr>
                <w:rFonts w:ascii="Calibri" w:hAnsi="Calibri"/>
                <w:color w:val="273444"/>
                <w:sz w:val="20"/>
              </w:rPr>
              <w:t>Se muestra una advertencia de planificación; no se interpreta como ocupación real automática.</w:t>
            </w:r>
          </w:p>
        </w:tc>
      </w:tr>
    </w:tbl>
    <w:p>
      <w:pPr>
        <w:spacing w:after="0"/>
      </w:pPr>
    </w:p>
    <w:p>
      <w:pPr>
        <w:pStyle w:val="Heading1"/>
      </w:pPr>
      <w:r>
        <w:t>6. Validación jerárquica</w:t>
      </w:r>
    </w:p>
    <w:p>
      <w:r>
        <w:rPr>
          <w:rFonts w:ascii="Calibri" w:hAnsi="Calibri"/>
          <w:i w:val="0"/>
        </w:rPr>
        <w:t>Cuando existen estructuras, la capacidad se controla de abajo hacia arriba:</w:t>
      </w:r>
    </w:p>
    <w:p>
      <w:pPr>
        <w:pStyle w:val="ListNumber"/>
      </w:pPr>
      <w:r>
        <w:t>Se valida la capacidad propia de la ubicación.</w:t>
      </w:r>
    </w:p>
    <w:p>
      <w:pPr>
        <w:pStyle w:val="ListNumber"/>
      </w:pPr>
      <w:r>
        <w:t>Se valida la estructura inmediata, si la ubicación pertenece a una.</w:t>
      </w:r>
    </w:p>
    <w:p>
      <w:pPr>
        <w:pStyle w:val="ListNumber"/>
      </w:pPr>
      <w:r>
        <w:t>Se validan las estructuras superiores hasta llegar al almacén.</w:t>
      </w:r>
    </w:p>
    <w:p>
      <w:pPr>
        <w:pStyle w:val="ListNumber"/>
      </w:pPr>
      <w:r>
        <w:t>Se valida el límite general del almacén.</w:t>
      </w:r>
    </w:p>
    <w:p>
      <w:r>
        <w:rPr>
          <w:rFonts w:ascii="Calibri" w:hAnsi="Calibri"/>
          <w:i w:val="0"/>
        </w:rPr>
        <w:t>Si un padre no tiene configurada una métrica, el sistema puede permitir la configuración, pero debe dejar claro que ese límite está pendiente de definir. La ausencia de límite no significa que exista capacidad ilimitada garantizada.</w:t>
      </w:r>
    </w:p>
    <w:p>
      <w:pPr>
        <w:pStyle w:val="Heading1"/>
      </w:pPr>
      <w:r>
        <w:t>7. Ejemplos de operación</w:t>
      </w:r>
    </w:p>
    <w:p>
      <w:pPr>
        <w:pStyle w:val="Heading2"/>
      </w:pPr>
      <w:r>
        <w:t>Ejemplo A: bodega sin estructuras</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8FAFC" w:val="clear"/>
            <w:tcBorders>
              <w:top w:val="single" w:sz="5" w:space="0" w:color="D9E0E8"/>
              <w:left w:val="single" w:sz="5" w:space="0" w:color="D9E0E8"/>
              <w:bottom w:val="single" w:sz="5" w:space="0" w:color="D9E0E8"/>
              <w:right w:val="single" w:sz="5" w:space="0" w:color="D9E0E8"/>
              <w:insideH w:val="single" w:sz="5" w:space="0" w:color="D9E0E8"/>
              <w:insideV w:val="single" w:sz="5" w:space="0" w:color="D9E0E8"/>
            </w:tcBorders>
          </w:tcPr>
          <w:p>
            <w:pPr>
              <w:spacing w:after="0" w:line="276" w:lineRule="auto"/>
            </w:pPr>
            <w:r/>
            <w:r>
              <w:rPr>
                <w:rFonts w:ascii="Consolas" w:hAnsi="Consolas"/>
                <w:color w:val="0B2545"/>
                <w:sz w:val="21"/>
              </w:rPr>
              <w:t>Bodega de tienda</w:t>
            </w:r>
          </w:p>
          <w:p>
            <w:pPr>
              <w:spacing w:after="0" w:line="276" w:lineRule="auto"/>
            </w:pPr>
            <w:r>
              <w:rPr>
                <w:rFonts w:ascii="Consolas" w:hAnsi="Consolas"/>
                <w:color w:val="0B2545"/>
                <w:sz w:val="21"/>
              </w:rPr>
              <w:t>+-- SEC-01 (ubicación directa)</w:t>
            </w:r>
          </w:p>
          <w:p>
            <w:pPr>
              <w:spacing w:after="0" w:line="276" w:lineRule="auto"/>
            </w:pPr>
            <w:r>
              <w:rPr>
                <w:rFonts w:ascii="Consolas" w:hAnsi="Consolas"/>
                <w:color w:val="0B2545"/>
                <w:sz w:val="21"/>
              </w:rPr>
              <w:t>+-- SEC-02 (ubicación directa)</w:t>
            </w:r>
          </w:p>
          <w:p>
            <w:pPr>
              <w:spacing w:after="0" w:line="276" w:lineRule="auto"/>
            </w:pPr>
            <w:r>
              <w:rPr>
                <w:rFonts w:ascii="Consolas" w:hAnsi="Consolas"/>
                <w:color w:val="0B2545"/>
                <w:sz w:val="21"/>
              </w:rPr>
              <w:t>+-- EMP-01 (ubicación directa)</w:t>
            </w:r>
          </w:p>
        </w:tc>
      </w:tr>
    </w:tbl>
    <w:p>
      <w:pPr>
        <w:spacing w:after="0"/>
      </w:pPr>
    </w:p>
    <w:p>
      <w:r>
        <w:rPr>
          <w:rFonts w:ascii="Calibri" w:hAnsi="Calibri"/>
          <w:i w:val="0"/>
        </w:rPr>
        <w:t>El empleado crea ubicaciones y asigna inventario directamente. Cada entrada se compara con la capacidad de la ubicación y el límite general del almacén.</w:t>
      </w:r>
    </w:p>
    <w:p>
      <w:pPr>
        <w:pStyle w:val="Heading2"/>
      </w:pPr>
      <w:r>
        <w:t>Ejemplo B: rack con ubicaciones</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8FAFC" w:val="clear"/>
            <w:tcBorders>
              <w:top w:val="single" w:sz="5" w:space="0" w:color="D9E0E8"/>
              <w:left w:val="single" w:sz="5" w:space="0" w:color="D9E0E8"/>
              <w:bottom w:val="single" w:sz="5" w:space="0" w:color="D9E0E8"/>
              <w:right w:val="single" w:sz="5" w:space="0" w:color="D9E0E8"/>
              <w:insideH w:val="single" w:sz="5" w:space="0" w:color="D9E0E8"/>
              <w:insideV w:val="single" w:sz="5" w:space="0" w:color="D9E0E8"/>
            </w:tcBorders>
          </w:tcPr>
          <w:p>
            <w:pPr>
              <w:spacing w:after="0" w:line="276" w:lineRule="auto"/>
            </w:pPr>
            <w:r/>
            <w:r>
              <w:rPr>
                <w:rFonts w:ascii="Consolas" w:hAnsi="Consolas"/>
                <w:color w:val="0B2545"/>
                <w:sz w:val="21"/>
              </w:rPr>
              <w:t>Almacén</w:t>
            </w:r>
          </w:p>
          <w:p>
            <w:pPr>
              <w:spacing w:after="0" w:line="276" w:lineRule="auto"/>
            </w:pPr>
            <w:r>
              <w:rPr>
                <w:rFonts w:ascii="Consolas" w:hAnsi="Consolas"/>
                <w:color w:val="0B2545"/>
                <w:sz w:val="21"/>
              </w:rPr>
              <w:t>+-- Rack A (2,200 kg certificado / 1,900 kg operativo)</w:t>
            </w:r>
          </w:p>
          <w:p>
            <w:pPr>
              <w:spacing w:after="0" w:line="276" w:lineRule="auto"/>
            </w:pPr>
            <w:r>
              <w:rPr>
                <w:rFonts w:ascii="Consolas" w:hAnsi="Consolas"/>
                <w:color w:val="0B2545"/>
                <w:sz w:val="21"/>
              </w:rPr>
              <w:t xml:space="preserve">    +-- Nivel 1 (1,700 kg certificado / 1,400 kg operativo)</w:t>
            </w:r>
          </w:p>
          <w:p>
            <w:pPr>
              <w:spacing w:after="0" w:line="276" w:lineRule="auto"/>
            </w:pPr>
            <w:r>
              <w:rPr>
                <w:rFonts w:ascii="Consolas" w:hAnsi="Consolas"/>
                <w:color w:val="0B2545"/>
                <w:sz w:val="21"/>
              </w:rPr>
              <w:t xml:space="preserve">    |   +-- A01-N01</w:t>
            </w:r>
          </w:p>
          <w:p>
            <w:pPr>
              <w:spacing w:after="0" w:line="276" w:lineRule="auto"/>
            </w:pPr>
            <w:r>
              <w:rPr>
                <w:rFonts w:ascii="Consolas" w:hAnsi="Consolas"/>
                <w:color w:val="0B2545"/>
                <w:sz w:val="21"/>
              </w:rPr>
              <w:t xml:space="preserve">    |   +-- A02-N01</w:t>
            </w:r>
          </w:p>
          <w:p>
            <w:pPr>
              <w:spacing w:after="0" w:line="276" w:lineRule="auto"/>
            </w:pPr>
            <w:r>
              <w:rPr>
                <w:rFonts w:ascii="Consolas" w:hAnsi="Consolas"/>
                <w:color w:val="0B2545"/>
                <w:sz w:val="21"/>
              </w:rPr>
              <w:t xml:space="preserve">    +-- Nivel 2</w:t>
            </w:r>
          </w:p>
          <w:p>
            <w:pPr>
              <w:spacing w:after="0" w:line="276" w:lineRule="auto"/>
            </w:pPr>
            <w:r>
              <w:rPr>
                <w:rFonts w:ascii="Consolas" w:hAnsi="Consolas"/>
                <w:color w:val="0B2545"/>
                <w:sz w:val="21"/>
              </w:rPr>
              <w:t xml:space="preserve">        +-- A01-N02</w:t>
            </w:r>
          </w:p>
        </w:tc>
      </w:tr>
    </w:tbl>
    <w:p>
      <w:pPr>
        <w:spacing w:after="0"/>
      </w:pPr>
    </w:p>
    <w:p>
      <w:r>
        <w:rPr>
          <w:rFonts w:ascii="Calibri" w:hAnsi="Calibri"/>
          <w:i w:val="0"/>
        </w:rPr>
        <w:t>El inventario se guarda en A01-N01, pero la entrada debe caber en la ubicación, el Nivel 1, el Rack A y el almacén. El rack no recibe productos directamente.</w:t>
      </w:r>
    </w:p>
    <w:p>
      <w:pPr>
        <w:pStyle w:val="Heading1"/>
      </w:pPr>
      <w:r>
        <w:t>8. Qué debe hacer el personal</w:t>
      </w:r>
    </w:p>
    <w:p>
      <w:pPr>
        <w:pStyle w:val="ListBullet"/>
      </w:pPr>
      <w:r>
        <w:t>Crear el almacén y definir sus límites solo cuando exista una aprobación física o técnica.</w:t>
      </w:r>
    </w:p>
    <w:p>
      <w:pPr>
        <w:pStyle w:val="ListBullet"/>
      </w:pPr>
      <w:r>
        <w:t>Crear estructuras únicamente para representar restricciones compartidas reales.</w:t>
      </w:r>
    </w:p>
    <w:p>
      <w:pPr>
        <w:pStyle w:val="ListBullet"/>
      </w:pPr>
      <w:r>
        <w:t>Crear ubicaciones con una dirección clara y asignarlas a una estructura solo cuando corresponda.</w:t>
      </w:r>
    </w:p>
    <w:p>
      <w:pPr>
        <w:pStyle w:val="ListBullet"/>
      </w:pPr>
      <w:r>
        <w:t>Registrar el inventario en la ubicación, no en la estructura.</w:t>
      </w:r>
    </w:p>
    <w:p>
      <w:pPr>
        <w:pStyle w:val="ListBullet"/>
      </w:pPr>
      <w:r>
        <w:t>Verificar que peso, volumen y dimensiones de la mercancía sean confiables antes de ponerla disponible.</w:t>
      </w:r>
    </w:p>
    <w:p>
      <w:pPr>
        <w:pStyle w:val="ListBullet"/>
      </w:pPr>
      <w:r>
        <w:t>Tratar una ocupación desconocida como pendiente de medición, no como espacio libre.</w:t>
      </w:r>
    </w:p>
    <w:p>
      <w:pPr>
        <w:pStyle w:val="Heading1"/>
      </w:pPr>
      <w:r>
        <w:t>9. Resumen rápido</w:t>
      </w:r>
    </w:p>
    <w:tbl>
      <w:tblPr>
        <w:tblStyle w:val="TableGrid"/>
        <w:tblW w:type="dxa" w:w="9360"/>
        <w:tblLayout w:type="fixed"/>
        <w:tblLook w:firstColumn="1" w:firstRow="1" w:lastColumn="0" w:lastRow="0" w:noHBand="0" w:noVBand="1" w:val="04A0"/>
        <w:jc w:val="left"/>
        <w:tblInd w:w="120" w:type="dxa"/>
      </w:tblPr>
      <w:tblGrid>
        <w:gridCol w:w="2700"/>
        <w:gridCol w:w="6660"/>
      </w:tblGrid>
      <w:tr>
        <w:tc>
          <w:tcPr>
            <w:tcW w:type="dxa" w:w="2700"/>
            <w:shd w:fill="F2F4F7" w:val="clear"/>
            <w:tcBorders>
              <w:top w:val="single" w:sz="4" w:space="0" w:color="D9E0E8"/>
              <w:left w:val="single" w:sz="4" w:space="0" w:color="D9E0E8"/>
              <w:bottom w:val="single" w:sz="4" w:space="0" w:color="D9E0E8"/>
              <w:right w:val="single" w:sz="4" w:space="0" w:color="D9E0E8"/>
              <w:insideH w:val="single" w:sz="4" w:space="0" w:color="D9E0E8"/>
              <w:insideV w:val="single" w:sz="4" w:space="0" w:color="D9E0E8"/>
            </w:tcBorders>
            <w:tcMar>
              <w:top w:w="80" w:type="dxa"/>
              <w:start w:w="120" w:type="dxa"/>
              <w:bottom w:w="80" w:type="dxa"/>
              <w:end w:w="120" w:type="dxa"/>
            </w:tcMar>
            <w:vAlign w:val="center"/>
          </w:tcPr>
          <w:p>
            <w:pPr>
              <w:spacing w:after="0"/>
            </w:pPr>
            <w:r>
              <w:rPr>
                <w:rFonts w:ascii="Calibri" w:hAnsi="Calibri"/>
                <w:b/>
                <w:color w:val="0B2545"/>
                <w:sz w:val="20"/>
              </w:rPr>
              <w:t>Dónde se guarda el inventario</w:t>
            </w:r>
          </w:p>
        </w:tc>
        <w:tc>
          <w:tcPr>
            <w:tcW w:type="dxa" w:w="6660"/>
            <w:tcBorders>
              <w:top w:val="single" w:sz="4" w:space="0" w:color="D9E0E8"/>
              <w:left w:val="single" w:sz="4" w:space="0" w:color="D9E0E8"/>
              <w:bottom w:val="single" w:sz="4" w:space="0" w:color="D9E0E8"/>
              <w:right w:val="single" w:sz="4" w:space="0" w:color="D9E0E8"/>
              <w:insideH w:val="single" w:sz="4" w:space="0" w:color="D9E0E8"/>
              <w:insideV w:val="single" w:sz="4" w:space="0" w:color="D9E0E8"/>
            </w:tcBorders>
            <w:tcMar>
              <w:top w:w="80" w:type="dxa"/>
              <w:start w:w="120" w:type="dxa"/>
              <w:bottom w:w="80" w:type="dxa"/>
              <w:end w:w="120" w:type="dxa"/>
            </w:tcMar>
            <w:vAlign w:val="center"/>
          </w:tcPr>
          <w:p>
            <w:pPr>
              <w:spacing w:after="0"/>
            </w:pPr>
            <w:r>
              <w:rPr>
                <w:rFonts w:ascii="Calibri" w:hAnsi="Calibri"/>
                <w:color w:val="273444"/>
                <w:sz w:val="20"/>
              </w:rPr>
              <w:t>En las ubicaciones.</w:t>
            </w:r>
          </w:p>
        </w:tc>
      </w:tr>
      <w:tr>
        <w:tc>
          <w:tcPr>
            <w:tcW w:type="dxa" w:w="2700"/>
            <w:shd w:fill="F2F4F7" w:val="clear"/>
            <w:tcBorders>
              <w:top w:val="single" w:sz="4" w:space="0" w:color="D9E0E8"/>
              <w:left w:val="single" w:sz="4" w:space="0" w:color="D9E0E8"/>
              <w:bottom w:val="single" w:sz="4" w:space="0" w:color="D9E0E8"/>
              <w:right w:val="single" w:sz="4" w:space="0" w:color="D9E0E8"/>
              <w:insideH w:val="single" w:sz="4" w:space="0" w:color="D9E0E8"/>
              <w:insideV w:val="single" w:sz="4" w:space="0" w:color="D9E0E8"/>
            </w:tcBorders>
            <w:tcMar>
              <w:top w:w="80" w:type="dxa"/>
              <w:start w:w="120" w:type="dxa"/>
              <w:bottom w:w="80" w:type="dxa"/>
              <w:end w:w="120" w:type="dxa"/>
            </w:tcMar>
            <w:vAlign w:val="center"/>
          </w:tcPr>
          <w:p>
            <w:pPr>
              <w:spacing w:after="0"/>
            </w:pPr>
            <w:r>
              <w:rPr>
                <w:rFonts w:ascii="Calibri" w:hAnsi="Calibri"/>
                <w:b/>
                <w:color w:val="0B2545"/>
                <w:sz w:val="20"/>
              </w:rPr>
              <w:t>¿Son obligatorias las estructuras?</w:t>
            </w:r>
          </w:p>
        </w:tc>
        <w:tc>
          <w:tcPr>
            <w:tcW w:type="dxa" w:w="6660"/>
            <w:tcBorders>
              <w:top w:val="single" w:sz="4" w:space="0" w:color="D9E0E8"/>
              <w:left w:val="single" w:sz="4" w:space="0" w:color="D9E0E8"/>
              <w:bottom w:val="single" w:sz="4" w:space="0" w:color="D9E0E8"/>
              <w:right w:val="single" w:sz="4" w:space="0" w:color="D9E0E8"/>
              <w:insideH w:val="single" w:sz="4" w:space="0" w:color="D9E0E8"/>
              <w:insideV w:val="single" w:sz="4" w:space="0" w:color="D9E0E8"/>
            </w:tcBorders>
            <w:tcMar>
              <w:top w:w="80" w:type="dxa"/>
              <w:start w:w="120" w:type="dxa"/>
              <w:bottom w:w="80" w:type="dxa"/>
              <w:end w:w="120" w:type="dxa"/>
            </w:tcMar>
            <w:vAlign w:val="center"/>
          </w:tcPr>
          <w:p>
            <w:pPr>
              <w:spacing w:after="0"/>
            </w:pPr>
            <w:r>
              <w:rPr>
                <w:rFonts w:ascii="Calibri" w:hAnsi="Calibri"/>
                <w:color w:val="273444"/>
                <w:sz w:val="20"/>
              </w:rPr>
              <w:t>No. Son opcionales.</w:t>
            </w:r>
          </w:p>
        </w:tc>
      </w:tr>
      <w:tr>
        <w:tc>
          <w:tcPr>
            <w:tcW w:type="dxa" w:w="2700"/>
            <w:shd w:fill="F2F4F7" w:val="clear"/>
            <w:tcBorders>
              <w:top w:val="single" w:sz="4" w:space="0" w:color="D9E0E8"/>
              <w:left w:val="single" w:sz="4" w:space="0" w:color="D9E0E8"/>
              <w:bottom w:val="single" w:sz="4" w:space="0" w:color="D9E0E8"/>
              <w:right w:val="single" w:sz="4" w:space="0" w:color="D9E0E8"/>
              <w:insideH w:val="single" w:sz="4" w:space="0" w:color="D9E0E8"/>
              <w:insideV w:val="single" w:sz="4" w:space="0" w:color="D9E0E8"/>
            </w:tcBorders>
            <w:tcMar>
              <w:top w:w="80" w:type="dxa"/>
              <w:start w:w="120" w:type="dxa"/>
              <w:bottom w:w="80" w:type="dxa"/>
              <w:end w:w="120" w:type="dxa"/>
            </w:tcMar>
            <w:vAlign w:val="center"/>
          </w:tcPr>
          <w:p>
            <w:pPr>
              <w:spacing w:after="0"/>
            </w:pPr>
            <w:r>
              <w:rPr>
                <w:rFonts w:ascii="Calibri" w:hAnsi="Calibri"/>
                <w:b/>
                <w:color w:val="0B2545"/>
                <w:sz w:val="20"/>
              </w:rPr>
              <w:t>Qué controla una estructura</w:t>
            </w:r>
          </w:p>
        </w:tc>
        <w:tc>
          <w:tcPr>
            <w:tcW w:type="dxa" w:w="6660"/>
            <w:tcBorders>
              <w:top w:val="single" w:sz="4" w:space="0" w:color="D9E0E8"/>
              <w:left w:val="single" w:sz="4" w:space="0" w:color="D9E0E8"/>
              <w:bottom w:val="single" w:sz="4" w:space="0" w:color="D9E0E8"/>
              <w:right w:val="single" w:sz="4" w:space="0" w:color="D9E0E8"/>
              <w:insideH w:val="single" w:sz="4" w:space="0" w:color="D9E0E8"/>
              <w:insideV w:val="single" w:sz="4" w:space="0" w:color="D9E0E8"/>
            </w:tcBorders>
            <w:tcMar>
              <w:top w:w="80" w:type="dxa"/>
              <w:start w:w="120" w:type="dxa"/>
              <w:bottom w:w="80" w:type="dxa"/>
              <w:end w:w="120" w:type="dxa"/>
            </w:tcMar>
            <w:vAlign w:val="center"/>
          </w:tcPr>
          <w:p>
            <w:pPr>
              <w:spacing w:after="0"/>
            </w:pPr>
            <w:r>
              <w:rPr>
                <w:rFonts w:ascii="Calibri" w:hAnsi="Calibri"/>
                <w:color w:val="273444"/>
                <w:sz w:val="20"/>
              </w:rPr>
              <w:t>El consumo combinado de sus ubicaciones y subestructuras.</w:t>
            </w:r>
          </w:p>
        </w:tc>
      </w:tr>
      <w:tr>
        <w:tc>
          <w:tcPr>
            <w:tcW w:type="dxa" w:w="2700"/>
            <w:shd w:fill="F2F4F7" w:val="clear"/>
            <w:tcBorders>
              <w:top w:val="single" w:sz="4" w:space="0" w:color="D9E0E8"/>
              <w:left w:val="single" w:sz="4" w:space="0" w:color="D9E0E8"/>
              <w:bottom w:val="single" w:sz="4" w:space="0" w:color="D9E0E8"/>
              <w:right w:val="single" w:sz="4" w:space="0" w:color="D9E0E8"/>
              <w:insideH w:val="single" w:sz="4" w:space="0" w:color="D9E0E8"/>
              <w:insideV w:val="single" w:sz="4" w:space="0" w:color="D9E0E8"/>
            </w:tcBorders>
            <w:tcMar>
              <w:top w:w="80" w:type="dxa"/>
              <w:start w:w="120" w:type="dxa"/>
              <w:bottom w:w="80" w:type="dxa"/>
              <w:end w:w="120" w:type="dxa"/>
            </w:tcMar>
            <w:vAlign w:val="center"/>
          </w:tcPr>
          <w:p>
            <w:pPr>
              <w:spacing w:after="0"/>
            </w:pPr>
            <w:r>
              <w:rPr>
                <w:rFonts w:ascii="Calibri" w:hAnsi="Calibri"/>
                <w:b/>
                <w:color w:val="0B2545"/>
                <w:sz w:val="20"/>
              </w:rPr>
              <w:t>Qué controla el almacén</w:t>
            </w:r>
          </w:p>
        </w:tc>
        <w:tc>
          <w:tcPr>
            <w:tcW w:type="dxa" w:w="6660"/>
            <w:tcBorders>
              <w:top w:val="single" w:sz="4" w:space="0" w:color="D9E0E8"/>
              <w:left w:val="single" w:sz="4" w:space="0" w:color="D9E0E8"/>
              <w:bottom w:val="single" w:sz="4" w:space="0" w:color="D9E0E8"/>
              <w:right w:val="single" w:sz="4" w:space="0" w:color="D9E0E8"/>
              <w:insideH w:val="single" w:sz="4" w:space="0" w:color="D9E0E8"/>
              <w:insideV w:val="single" w:sz="4" w:space="0" w:color="D9E0E8"/>
            </w:tcBorders>
            <w:tcMar>
              <w:top w:w="80" w:type="dxa"/>
              <w:start w:w="120" w:type="dxa"/>
              <w:bottom w:w="80" w:type="dxa"/>
              <w:end w:w="120" w:type="dxa"/>
            </w:tcMar>
            <w:vAlign w:val="center"/>
          </w:tcPr>
          <w:p>
            <w:pPr>
              <w:spacing w:after="0"/>
            </w:pPr>
            <w:r>
              <w:rPr>
                <w:rFonts w:ascii="Calibri" w:hAnsi="Calibri"/>
                <w:color w:val="273444"/>
                <w:sz w:val="20"/>
              </w:rPr>
              <w:t>El límite general de toda la instalación.</w:t>
            </w:r>
          </w:p>
        </w:tc>
      </w:tr>
      <w:tr>
        <w:tc>
          <w:tcPr>
            <w:tcW w:type="dxa" w:w="2700"/>
            <w:shd w:fill="F2F4F7" w:val="clear"/>
            <w:tcBorders>
              <w:top w:val="single" w:sz="4" w:space="0" w:color="D9E0E8"/>
              <w:left w:val="single" w:sz="4" w:space="0" w:color="D9E0E8"/>
              <w:bottom w:val="single" w:sz="4" w:space="0" w:color="D9E0E8"/>
              <w:right w:val="single" w:sz="4" w:space="0" w:color="D9E0E8"/>
              <w:insideH w:val="single" w:sz="4" w:space="0" w:color="D9E0E8"/>
              <w:insideV w:val="single" w:sz="4" w:space="0" w:color="D9E0E8"/>
            </w:tcBorders>
            <w:tcMar>
              <w:top w:w="80" w:type="dxa"/>
              <w:start w:w="120" w:type="dxa"/>
              <w:bottom w:w="80" w:type="dxa"/>
              <w:end w:w="120" w:type="dxa"/>
            </w:tcMar>
            <w:vAlign w:val="center"/>
          </w:tcPr>
          <w:p>
            <w:pPr>
              <w:spacing w:after="0"/>
            </w:pPr>
            <w:r>
              <w:rPr>
                <w:rFonts w:ascii="Calibri" w:hAnsi="Calibri"/>
                <w:b/>
                <w:color w:val="0B2545"/>
                <w:sz w:val="20"/>
              </w:rPr>
              <w:t>Métricas físicas</w:t>
            </w:r>
          </w:p>
        </w:tc>
        <w:tc>
          <w:tcPr>
            <w:tcW w:type="dxa" w:w="6660"/>
            <w:tcBorders>
              <w:top w:val="single" w:sz="4" w:space="0" w:color="D9E0E8"/>
              <w:left w:val="single" w:sz="4" w:space="0" w:color="D9E0E8"/>
              <w:bottom w:val="single" w:sz="4" w:space="0" w:color="D9E0E8"/>
              <w:right w:val="single" w:sz="4" w:space="0" w:color="D9E0E8"/>
              <w:insideH w:val="single" w:sz="4" w:space="0" w:color="D9E0E8"/>
              <w:insideV w:val="single" w:sz="4" w:space="0" w:color="D9E0E8"/>
            </w:tcBorders>
            <w:tcMar>
              <w:top w:w="80" w:type="dxa"/>
              <w:start w:w="120" w:type="dxa"/>
              <w:bottom w:w="80" w:type="dxa"/>
              <w:end w:w="120" w:type="dxa"/>
            </w:tcMar>
            <w:vAlign w:val="center"/>
          </w:tcPr>
          <w:p>
            <w:pPr>
              <w:spacing w:after="0"/>
            </w:pPr>
            <w:r>
              <w:rPr>
                <w:rFonts w:ascii="Calibri" w:hAnsi="Calibri"/>
                <w:color w:val="273444"/>
                <w:sz w:val="20"/>
              </w:rPr>
              <w:t>Peso (kg) y volumen útil (m³), calculados por separado.</w:t>
            </w:r>
          </w:p>
        </w:tc>
      </w:tr>
      <w:tr>
        <w:tc>
          <w:tcPr>
            <w:tcW w:type="dxa" w:w="2700"/>
            <w:shd w:fill="F2F4F7" w:val="clear"/>
            <w:tcBorders>
              <w:top w:val="single" w:sz="4" w:space="0" w:color="D9E0E8"/>
              <w:left w:val="single" w:sz="4" w:space="0" w:color="D9E0E8"/>
              <w:bottom w:val="single" w:sz="4" w:space="0" w:color="D9E0E8"/>
              <w:right w:val="single" w:sz="4" w:space="0" w:color="D9E0E8"/>
              <w:insideH w:val="single" w:sz="4" w:space="0" w:color="D9E0E8"/>
              <w:insideV w:val="single" w:sz="4" w:space="0" w:color="D9E0E8"/>
            </w:tcBorders>
            <w:tcMar>
              <w:top w:w="80" w:type="dxa"/>
              <w:start w:w="120" w:type="dxa"/>
              <w:bottom w:w="80" w:type="dxa"/>
              <w:end w:w="120" w:type="dxa"/>
            </w:tcMar>
            <w:vAlign w:val="center"/>
          </w:tcPr>
          <w:p>
            <w:pPr>
              <w:spacing w:after="0"/>
            </w:pPr>
            <w:r>
              <w:rPr>
                <w:rFonts w:ascii="Calibri" w:hAnsi="Calibri"/>
                <w:b/>
                <w:color w:val="0B2545"/>
                <w:sz w:val="20"/>
              </w:rPr>
              <w:t>Capacidad operativa</w:t>
            </w:r>
          </w:p>
        </w:tc>
        <w:tc>
          <w:tcPr>
            <w:tcW w:type="dxa" w:w="6660"/>
            <w:tcBorders>
              <w:top w:val="single" w:sz="4" w:space="0" w:color="D9E0E8"/>
              <w:left w:val="single" w:sz="4" w:space="0" w:color="D9E0E8"/>
              <w:bottom w:val="single" w:sz="4" w:space="0" w:color="D9E0E8"/>
              <w:right w:val="single" w:sz="4" w:space="0" w:color="D9E0E8"/>
              <w:insideH w:val="single" w:sz="4" w:space="0" w:color="D9E0E8"/>
              <w:insideV w:val="single" w:sz="4" w:space="0" w:color="D9E0E8"/>
            </w:tcBorders>
            <w:tcMar>
              <w:top w:w="80" w:type="dxa"/>
              <w:start w:w="120" w:type="dxa"/>
              <w:bottom w:w="80" w:type="dxa"/>
              <w:end w:w="120" w:type="dxa"/>
            </w:tcMar>
            <w:vAlign w:val="center"/>
          </w:tcPr>
          <w:p>
            <w:pPr>
              <w:spacing w:after="0"/>
            </w:pPr>
            <w:r>
              <w:rPr>
                <w:rFonts w:ascii="Calibri" w:hAnsi="Calibri"/>
                <w:color w:val="273444"/>
                <w:sz w:val="20"/>
              </w:rPr>
              <w:t>Límite de trabajo diario con margen de seguridad.</w:t>
            </w:r>
          </w:p>
        </w:tc>
      </w:tr>
      <w:tr>
        <w:tc>
          <w:tcPr>
            <w:tcW w:type="dxa" w:w="2700"/>
            <w:shd w:fill="F2F4F7" w:val="clear"/>
            <w:tcBorders>
              <w:top w:val="single" w:sz="4" w:space="0" w:color="D9E0E8"/>
              <w:left w:val="single" w:sz="4" w:space="0" w:color="D9E0E8"/>
              <w:bottom w:val="single" w:sz="4" w:space="0" w:color="D9E0E8"/>
              <w:right w:val="single" w:sz="4" w:space="0" w:color="D9E0E8"/>
              <w:insideH w:val="single" w:sz="4" w:space="0" w:color="D9E0E8"/>
              <w:insideV w:val="single" w:sz="4" w:space="0" w:color="D9E0E8"/>
            </w:tcBorders>
            <w:tcMar>
              <w:top w:w="80" w:type="dxa"/>
              <w:start w:w="120" w:type="dxa"/>
              <w:bottom w:w="80" w:type="dxa"/>
              <w:end w:w="120" w:type="dxa"/>
            </w:tcMar>
            <w:vAlign w:val="center"/>
          </w:tcPr>
          <w:p>
            <w:pPr>
              <w:spacing w:after="0"/>
            </w:pPr>
            <w:r>
              <w:rPr>
                <w:rFonts w:ascii="Calibri" w:hAnsi="Calibri"/>
                <w:b/>
                <w:color w:val="0B2545"/>
                <w:sz w:val="20"/>
              </w:rPr>
              <w:t>Capacidad certificada</w:t>
            </w:r>
          </w:p>
        </w:tc>
        <w:tc>
          <w:tcPr>
            <w:tcW w:type="dxa" w:w="6660"/>
            <w:tcBorders>
              <w:top w:val="single" w:sz="4" w:space="0" w:color="D9E0E8"/>
              <w:left w:val="single" w:sz="4" w:space="0" w:color="D9E0E8"/>
              <w:bottom w:val="single" w:sz="4" w:space="0" w:color="D9E0E8"/>
              <w:right w:val="single" w:sz="4" w:space="0" w:color="D9E0E8"/>
              <w:insideH w:val="single" w:sz="4" w:space="0" w:color="D9E0E8"/>
              <w:insideV w:val="single" w:sz="4" w:space="0" w:color="D9E0E8"/>
            </w:tcBorders>
            <w:tcMar>
              <w:top w:w="80" w:type="dxa"/>
              <w:start w:w="120" w:type="dxa"/>
              <w:bottom w:w="80" w:type="dxa"/>
              <w:end w:w="120" w:type="dxa"/>
            </w:tcMar>
            <w:vAlign w:val="center"/>
          </w:tcPr>
          <w:p>
            <w:pPr>
              <w:spacing w:after="0"/>
            </w:pPr>
            <w:r>
              <w:rPr>
                <w:rFonts w:ascii="Calibri" w:hAnsi="Calibri"/>
                <w:color w:val="273444"/>
                <w:sz w:val="20"/>
              </w:rPr>
              <w:t>Límite físico o regulatorio que nunca se debe superar.</w:t>
            </w:r>
          </w:p>
        </w:tc>
      </w:tr>
    </w:tbl>
    <w:p>
      <w:pPr>
        <w:spacing w:after="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color w:val="6B7280"/>
        <w:sz w:val="18"/>
      </w:rPr>
      <w:t xml:space="preserve">ERP System | Página </w:t>
    </w:r>
    <w:r>
      <w:rPr>
        <w:rFonts w:ascii="Calibri" w:hAnsi="Calibri"/>
        <w:color w:val="6B7280"/>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Calibri" w:hAnsi="Calibri"/>
        <w:b/>
        <w:color w:val="6B7280"/>
        <w:sz w:val="18"/>
      </w:rPr>
      <w:t>Guía de almacenes y capacidad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20293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Guia Almacenes Estructuras Ubicaciones Capacidad</dc:title>
  <dc:subject>Guía operativa del ERP</dc:subject>
  <dc:creator>ERP System</dc:creator>
  <cp:keywords/>
  <dc:description>Documento generado para operación y capacitación.</dc:description>
  <cp:lastModifiedBy/>
  <cp:revision>1</cp:revision>
  <dcterms:created xsi:type="dcterms:W3CDTF">2013-12-23T23:15:00Z</dcterms:created>
  <dcterms:modified xsi:type="dcterms:W3CDTF">2013-12-23T23:15:00Z</dcterms:modified>
  <cp:category/>
</cp:coreProperties>
</file>