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60"/>
      </w:pPr>
      <w:r>
        <w:rPr>
          <w:rFonts w:ascii="Calibri" w:hAnsi="Calibri"/>
          <w:b/>
          <w:color w:val="7A5A00"/>
          <w:sz w:val="20"/>
        </w:rPr>
        <w:t>GUÍA DE REFERENCIA</w:t>
      </w:r>
    </w:p>
    <w:p>
      <w:pPr>
        <w:spacing w:after="160"/>
      </w:pPr>
      <w:r>
        <w:rPr>
          <w:rFonts w:ascii="Calibri" w:hAnsi="Calibri"/>
          <w:b/>
          <w:color w:val="0B2545"/>
          <w:sz w:val="58"/>
        </w:rPr>
        <w:t>Estructura y manejo de productos</w:t>
      </w:r>
    </w:p>
    <w:p>
      <w:pPr>
        <w:spacing w:after="360"/>
      </w:pPr>
      <w:r>
        <w:rPr>
          <w:rFonts w:ascii="Calibri" w:hAnsi="Calibri"/>
          <w:color w:val="555555"/>
          <w:sz w:val="26"/>
        </w:rPr>
        <w:t>Del producto maestro al lote, la unidad logística y el saldo de inventario.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  <w:insideH w:val="single" w:sz="4" w:space="0" w:color="D9E0E8"/>
              <w:insideV w:val="single" w:sz="4" w:space="0" w:color="D9E0E8"/>
            </w:tcBorders>
            <w:shd w:fill="E8EEF5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Ámbito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  <w:insideH w:val="single" w:sz="4" w:space="0" w:color="D9E0E8"/>
              <w:insideV w:val="single" w:sz="4" w:space="0" w:color="D9E0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555555"/>
                <w:sz w:val="20"/>
              </w:rPr>
              <w:t>Catálogo, presentaciones, recepción, trazabilidad e inventario físico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  <w:insideH w:val="single" w:sz="4" w:space="0" w:color="D9E0E8"/>
              <w:insideV w:val="single" w:sz="4" w:space="0" w:color="D9E0E8"/>
            </w:tcBorders>
            <w:shd w:fill="E8EEF5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Versión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  <w:insideH w:val="single" w:sz="4" w:space="0" w:color="D9E0E8"/>
              <w:insideV w:val="single" w:sz="4" w:space="0" w:color="D9E0E8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555555"/>
                <w:sz w:val="20"/>
              </w:rPr>
              <w:t>Guía operativa | Agosto 2026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5EF" w:val="clear"/>
            <w:tcBorders>
              <w:top w:val="single" w:sz="5" w:space="0" w:color="D4DCE6"/>
              <w:left w:val="single" w:sz="5" w:space="0" w:color="D4DCE6"/>
              <w:bottom w:val="single" w:sz="5" w:space="0" w:color="D4DCE6"/>
              <w:right w:val="single" w:sz="5" w:space="0" w:color="D4DCE6"/>
              <w:insideH w:val="single" w:sz="5" w:space="0" w:color="D4DCE6"/>
              <w:insideV w:val="single" w:sz="5" w:space="0" w:color="D4DCE6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F6B4F"/>
              </w:rPr>
              <w:t xml:space="preserve">Idea central: </w:t>
            </w:r>
            <w:r>
              <w:rPr>
                <w:rFonts w:ascii="Calibri" w:hAnsi="Calibri"/>
                <w:color w:val="273444"/>
              </w:rPr>
              <w:t>el producto identifica la mercancía; la presentación describe cómo se empaca; la recepción crea la trazabilidad física; y la unidad logística termina ubicada en una ubicación concreta.</w:t>
            </w:r>
          </w:p>
        </w:tc>
      </w:tr>
    </w:tbl>
    <w:p>
      <w:pPr>
        <w:spacing w:after="0"/>
      </w:pPr>
    </w:p>
    <w:p>
      <w:pPr>
        <w:pStyle w:val="Heading1"/>
      </w:pPr>
      <w:r>
        <w:t>1. La cadena completa del producto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 w:val="clear"/>
            <w:tcBorders>
              <w:top w:val="single" w:sz="5" w:space="0" w:color="D9E0E8"/>
              <w:left w:val="single" w:sz="5" w:space="0" w:color="D9E0E8"/>
              <w:bottom w:val="single" w:sz="5" w:space="0" w:color="D9E0E8"/>
              <w:right w:val="single" w:sz="5" w:space="0" w:color="D9E0E8"/>
              <w:insideH w:val="single" w:sz="5" w:space="0" w:color="D9E0E8"/>
              <w:insideV w:val="single" w:sz="5" w:space="0" w:color="D9E0E8"/>
            </w:tcBorders>
          </w:tcPr>
          <w:p>
            <w:pPr>
              <w:spacing w:after="0" w:line="276" w:lineRule="auto"/>
            </w:pPr>
            <w:r/>
            <w:r>
              <w:rPr>
                <w:rFonts w:ascii="Consolas" w:hAnsi="Consolas"/>
                <w:color w:val="0B2545"/>
                <w:sz w:val="21"/>
              </w:rPr>
              <w:t>Producto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B2545"/>
                <w:sz w:val="21"/>
              </w:rPr>
              <w:t>+-- Presentación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B2545"/>
                <w:sz w:val="21"/>
              </w:rPr>
              <w:t xml:space="preserve">    +-- Recepción de inventario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B2545"/>
                <w:sz w:val="21"/>
              </w:rPr>
              <w:t xml:space="preserve">        +-- Unidad logística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B2545"/>
                <w:sz w:val="21"/>
              </w:rPr>
              <w:t xml:space="preserve">            +-- Lote y vencimiento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B2545"/>
                <w:sz w:val="21"/>
              </w:rPr>
              <w:t xml:space="preserve">            +-- Peso y volumen reales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B2545"/>
                <w:sz w:val="21"/>
              </w:rPr>
              <w:t xml:space="preserve">            +-- Ubicación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B2545"/>
                <w:sz w:val="21"/>
              </w:rPr>
              <w:t xml:space="preserve">                +-- Saldo de inventario</w:t>
            </w:r>
          </w:p>
        </w:tc>
      </w:tr>
    </w:tbl>
    <w:p>
      <w:pPr>
        <w:spacing w:after="0"/>
      </w:pPr>
    </w:p>
    <w:p>
      <w:r>
        <w:rPr>
          <w:rFonts w:ascii="Calibri" w:hAnsi="Calibri"/>
          <w:i w:val="0"/>
        </w:rPr>
        <w:t>Cada nivel responde una pregunta distinta: qué es, cómo viene, cuándo entró, en qué bulto está, qué lote tiene, cuánto pesa, dónde está y cuánto queda.</w:t>
      </w:r>
    </w:p>
    <w:p>
      <w:pPr>
        <w:pStyle w:val="Heading1"/>
      </w:pPr>
      <w:r>
        <w:t>2. Producto: la identidad maestra</w:t>
      </w:r>
    </w:p>
    <w:p>
      <w:r>
        <w:rPr>
          <w:rFonts w:ascii="Calibri" w:hAnsi="Calibri"/>
          <w:i w:val="0"/>
        </w:rPr>
        <w:t>El producto es la ficha comercial y operativa de la mercancía. No representa una recepción concreta ni una existencia física individual.</w:t>
      </w:r>
    </w:p>
    <w:p>
      <w:pPr>
        <w:pStyle w:val="ListBullet"/>
      </w:pPr>
      <w:r>
        <w:t>Identifica la mercancía mediante SKU, nombre, categoría, clasificación y estado.</w:t>
      </w:r>
    </w:p>
    <w:p>
      <w:pPr>
        <w:pStyle w:val="ListBullet"/>
      </w:pPr>
      <w:r>
        <w:t>Define unidades comerciales o de abastecimiento de referencia.</w:t>
      </w:r>
    </w:p>
    <w:p>
      <w:pPr>
        <w:pStyle w:val="ListBullet"/>
      </w:pPr>
      <w:r>
        <w:t>Puede tener datos descriptivos de peso, dimensiones o volumen de la unidad base cuando sean confiables.</w:t>
      </w:r>
    </w:p>
    <w:p>
      <w:pPr>
        <w:pStyle w:val="ListBullet"/>
      </w:pPr>
      <w:r>
        <w:t>Puede tener variantes cuando cambian atributos comerciales relevantes, como sabor, color, tamaño o formulación.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 w:val="clear"/>
            <w:tcBorders>
              <w:top w:val="single" w:sz="5" w:space="0" w:color="D4DCE6"/>
              <w:left w:val="single" w:sz="5" w:space="0" w:color="D4DCE6"/>
              <w:bottom w:val="single" w:sz="5" w:space="0" w:color="D4DCE6"/>
              <w:right w:val="single" w:sz="5" w:space="0" w:color="D4DCE6"/>
              <w:insideH w:val="single" w:sz="5" w:space="0" w:color="D4DCE6"/>
              <w:insideV w:val="single" w:sz="5" w:space="0" w:color="D4DCE6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7A5A00"/>
              </w:rPr>
              <w:t xml:space="preserve">Importante: </w:t>
            </w:r>
            <w:r>
              <w:rPr>
                <w:rFonts w:ascii="Calibri" w:hAnsi="Calibri"/>
                <w:color w:val="273444"/>
              </w:rPr>
              <w:t>los datos físicos del producto no deben confundirse con las medidas del empaque completo. Para almacenar una caja, un saco o un bulto, la presentación o la medición real de la unidad logística tiene prioridad.</w:t>
            </w:r>
          </w:p>
        </w:tc>
      </w:tr>
    </w:tbl>
    <w:p>
      <w:pPr>
        <w:spacing w:after="0"/>
      </w:pPr>
    </w:p>
    <w:p>
      <w:pPr>
        <w:pStyle w:val="Heading1"/>
      </w:pPr>
      <w:r>
        <w:t>3. Presentación de inventario</w:t>
      </w:r>
    </w:p>
    <w:p>
      <w:r>
        <w:rPr>
          <w:rFonts w:ascii="Calibri" w:hAnsi="Calibri"/>
          <w:i w:val="0"/>
        </w:rPr>
        <w:t>Una presentación describe el formato físico con el que se compra, recibe, almacena o mueve un producto.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5000"/>
        <w:gridCol w:w="26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  <w:tcBorders>
              <w:top w:val="single" w:sz="5" w:space="0" w:color="C8D4E2"/>
              <w:left w:val="single" w:sz="5" w:space="0" w:color="C8D4E2"/>
              <w:bottom w:val="single" w:sz="5" w:space="0" w:color="C8D4E2"/>
              <w:right w:val="single" w:sz="5" w:space="0" w:color="C8D4E2"/>
              <w:insideH w:val="single" w:sz="5" w:space="0" w:color="C8D4E2"/>
              <w:insideV w:val="single" w:sz="5" w:space="0" w:color="C8D4E2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Concepto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  <w:tcBorders>
              <w:top w:val="single" w:sz="5" w:space="0" w:color="C8D4E2"/>
              <w:left w:val="single" w:sz="5" w:space="0" w:color="C8D4E2"/>
              <w:bottom w:val="single" w:sz="5" w:space="0" w:color="C8D4E2"/>
              <w:right w:val="single" w:sz="5" w:space="0" w:color="C8D4E2"/>
              <w:insideH w:val="single" w:sz="5" w:space="0" w:color="C8D4E2"/>
              <w:insideV w:val="single" w:sz="5" w:space="0" w:color="C8D4E2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Qué representa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  <w:tcBorders>
              <w:top w:val="single" w:sz="5" w:space="0" w:color="C8D4E2"/>
              <w:left w:val="single" w:sz="5" w:space="0" w:color="C8D4E2"/>
              <w:bottom w:val="single" w:sz="5" w:space="0" w:color="C8D4E2"/>
              <w:right w:val="single" w:sz="5" w:space="0" w:color="C8D4E2"/>
              <w:insideH w:val="single" w:sz="5" w:space="0" w:color="C8D4E2"/>
              <w:insideV w:val="single" w:sz="5" w:space="0" w:color="C8D4E2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Ejemplo</w:t>
            </w:r>
          </w:p>
        </w:tc>
      </w:tr>
      <w:tr>
        <w:tc>
          <w:tcPr>
            <w:tcW w:type="dxa" w:w="1700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  <w:insideH w:val="single" w:sz="4" w:space="0" w:color="D9E0E8"/>
              <w:insideV w:val="single" w:sz="4" w:space="0" w:color="D9E0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73444"/>
                <w:sz w:val="20"/>
              </w:rPr>
              <w:t>Producto</w:t>
            </w:r>
          </w:p>
        </w:tc>
        <w:tc>
          <w:tcPr>
            <w:tcW w:type="dxa" w:w="5000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  <w:insideH w:val="single" w:sz="4" w:space="0" w:color="D9E0E8"/>
              <w:insideV w:val="single" w:sz="4" w:space="0" w:color="D9E0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73444"/>
                <w:sz w:val="20"/>
              </w:rPr>
              <w:t>La mercancía como identidad comercial.</w:t>
            </w:r>
          </w:p>
        </w:tc>
        <w:tc>
          <w:tcPr>
            <w:tcW w:type="dxa" w:w="2660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  <w:insideH w:val="single" w:sz="4" w:space="0" w:color="D9E0E8"/>
              <w:insideV w:val="single" w:sz="4" w:space="0" w:color="D9E0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73444"/>
                <w:sz w:val="20"/>
              </w:rPr>
              <w:t>Harina especial</w:t>
            </w:r>
          </w:p>
        </w:tc>
      </w:tr>
      <w:tr>
        <w:tc>
          <w:tcPr>
            <w:tcW w:type="dxa" w:w="1700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  <w:insideH w:val="single" w:sz="4" w:space="0" w:color="D9E0E8"/>
              <w:insideV w:val="single" w:sz="4" w:space="0" w:color="D9E0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73444"/>
                <w:sz w:val="20"/>
              </w:rPr>
              <w:t>Variante</w:t>
            </w:r>
          </w:p>
        </w:tc>
        <w:tc>
          <w:tcPr>
            <w:tcW w:type="dxa" w:w="5000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  <w:insideH w:val="single" w:sz="4" w:space="0" w:color="D9E0E8"/>
              <w:insideV w:val="single" w:sz="4" w:space="0" w:color="D9E0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73444"/>
                <w:sz w:val="20"/>
              </w:rPr>
              <w:t>Una diferencia comercial del producto.</w:t>
            </w:r>
          </w:p>
        </w:tc>
        <w:tc>
          <w:tcPr>
            <w:tcW w:type="dxa" w:w="2660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  <w:insideH w:val="single" w:sz="4" w:space="0" w:color="D9E0E8"/>
              <w:insideV w:val="single" w:sz="4" w:space="0" w:color="D9E0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73444"/>
                <w:sz w:val="20"/>
              </w:rPr>
              <w:t>Harina especial 25 kg</w:t>
            </w:r>
          </w:p>
        </w:tc>
      </w:tr>
      <w:tr>
        <w:tc>
          <w:tcPr>
            <w:tcW w:type="dxa" w:w="1700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  <w:insideH w:val="single" w:sz="4" w:space="0" w:color="D9E0E8"/>
              <w:insideV w:val="single" w:sz="4" w:space="0" w:color="D9E0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73444"/>
                <w:sz w:val="20"/>
              </w:rPr>
              <w:t>Presentación</w:t>
            </w:r>
          </w:p>
        </w:tc>
        <w:tc>
          <w:tcPr>
            <w:tcW w:type="dxa" w:w="5000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  <w:insideH w:val="single" w:sz="4" w:space="0" w:color="D9E0E8"/>
              <w:insideV w:val="single" w:sz="4" w:space="0" w:color="D9E0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73444"/>
                <w:sz w:val="20"/>
              </w:rPr>
              <w:t>El formato de empaque o manejo.</w:t>
            </w:r>
          </w:p>
        </w:tc>
        <w:tc>
          <w:tcPr>
            <w:tcW w:type="dxa" w:w="2660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  <w:insideH w:val="single" w:sz="4" w:space="0" w:color="D9E0E8"/>
              <w:insideV w:val="single" w:sz="4" w:space="0" w:color="D9E0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73444"/>
                <w:sz w:val="20"/>
              </w:rPr>
              <w:t>Saco de harina 50 lb</w:t>
            </w:r>
          </w:p>
        </w:tc>
      </w:tr>
      <w:tr>
        <w:tc>
          <w:tcPr>
            <w:tcW w:type="dxa" w:w="1700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  <w:insideH w:val="single" w:sz="4" w:space="0" w:color="D9E0E8"/>
              <w:insideV w:val="single" w:sz="4" w:space="0" w:color="D9E0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73444"/>
                <w:sz w:val="20"/>
              </w:rPr>
              <w:t>Unidad base</w:t>
            </w:r>
          </w:p>
        </w:tc>
        <w:tc>
          <w:tcPr>
            <w:tcW w:type="dxa" w:w="5000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  <w:insideH w:val="single" w:sz="4" w:space="0" w:color="D9E0E8"/>
              <w:insideV w:val="single" w:sz="4" w:space="0" w:color="D9E0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73444"/>
                <w:sz w:val="20"/>
              </w:rPr>
              <w:t>La unidad común para expresar cantidades.</w:t>
            </w:r>
          </w:p>
        </w:tc>
        <w:tc>
          <w:tcPr>
            <w:tcW w:type="dxa" w:w="2660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  <w:insideH w:val="single" w:sz="4" w:space="0" w:color="D9E0E8"/>
              <w:insideV w:val="single" w:sz="4" w:space="0" w:color="D9E0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73444"/>
                <w:sz w:val="20"/>
              </w:rPr>
              <w:t>Unidad, kg, litro o pieza</w:t>
            </w:r>
          </w:p>
        </w:tc>
      </w:tr>
      <w:tr>
        <w:tc>
          <w:tcPr>
            <w:tcW w:type="dxa" w:w="1700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  <w:insideH w:val="single" w:sz="4" w:space="0" w:color="D9E0E8"/>
              <w:insideV w:val="single" w:sz="4" w:space="0" w:color="D9E0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73444"/>
                <w:sz w:val="20"/>
              </w:rPr>
              <w:t>Unidad logística</w:t>
            </w:r>
          </w:p>
        </w:tc>
        <w:tc>
          <w:tcPr>
            <w:tcW w:type="dxa" w:w="5000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  <w:insideH w:val="single" w:sz="4" w:space="0" w:color="D9E0E8"/>
              <w:insideV w:val="single" w:sz="4" w:space="0" w:color="D9E0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73444"/>
                <w:sz w:val="20"/>
              </w:rPr>
              <w:t>El bulto real recibido y trazable.</w:t>
            </w:r>
          </w:p>
        </w:tc>
        <w:tc>
          <w:tcPr>
            <w:tcW w:type="dxa" w:w="2660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  <w:insideH w:val="single" w:sz="4" w:space="0" w:color="D9E0E8"/>
              <w:insideV w:val="single" w:sz="4" w:space="0" w:color="D9E0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73444"/>
                <w:sz w:val="20"/>
              </w:rPr>
              <w:t>Saco SACK-50-LB-0001</w:t>
            </w:r>
          </w:p>
        </w:tc>
      </w:tr>
    </w:tbl>
    <w:p>
      <w:pPr>
        <w:spacing w:after="0"/>
      </w:pPr>
    </w:p>
    <w:p>
      <w:pPr>
        <w:pStyle w:val="Heading2"/>
      </w:pPr>
      <w:r>
        <w:t>3.1 Datos de una presentación</w:t>
      </w:r>
    </w:p>
    <w:p>
      <w:pPr>
        <w:pStyle w:val="ListBullet"/>
      </w:pPr>
      <w:r>
        <w:t>Nombre y código de la presentación: por ejemplo, Saco 50 lb.</w:t>
      </w:r>
    </w:p>
    <w:p>
      <w:pPr>
        <w:pStyle w:val="ListBullet"/>
      </w:pPr>
      <w:r>
        <w:t>Tipo de empaque: pieza, caja, saco, paquete, rollo, tambor, contenedor o producto suelto.</w:t>
      </w:r>
    </w:p>
    <w:p>
      <w:pPr>
        <w:pStyle w:val="ListBullet"/>
      </w:pPr>
      <w:r>
        <w:t>Cantidad base contenida: cuántas unidades base representa un empaque completo.</w:t>
      </w:r>
    </w:p>
    <w:p>
      <w:pPr>
        <w:pStyle w:val="ListBullet"/>
      </w:pPr>
      <w:r>
        <w:t>Peso bruto, dimensiones exteriores y volumen del empaque completo.</w:t>
      </w:r>
    </w:p>
    <w:p>
      <w:pPr>
        <w:pStyle w:val="ListBullet"/>
      </w:pPr>
      <w:r>
        <w:t>Apilabilidad y máximo de apilado cuando se conozcan.</w:t>
      </w:r>
    </w:p>
    <w:p>
      <w:pPr>
        <w:pStyle w:val="ListBullet"/>
      </w:pPr>
      <w:r>
        <w:t>Versión vigente, para conservar la historia cuando cambie el empaque o la medición.</w:t>
      </w:r>
    </w:p>
    <w:p>
      <w:r>
        <w:rPr>
          <w:rFonts w:ascii="Calibri" w:hAnsi="Calibri"/>
          <w:i w:val="0"/>
        </w:rPr>
        <w:t>No existe problema en que el producto y la presentación tengan medidas, siempre que se entienda qué mide cada una. No se suman entre sí.</w:t>
      </w:r>
    </w:p>
    <w:p>
      <w:pPr>
        <w:pStyle w:val="Heading1"/>
      </w:pPr>
      <w:r>
        <w:t>4. Recepción de inventario</w:t>
      </w:r>
    </w:p>
    <w:p>
      <w:r>
        <w:rPr>
          <w:rFonts w:ascii="Calibri" w:hAnsi="Calibri"/>
          <w:i w:val="0"/>
        </w:rPr>
        <w:t>La recepción registra la entrada física de mercancía. En ella se seleccionan el producto, la presentación, la cantidad, el destino y los datos de trazabilidad.</w:t>
      </w:r>
    </w:p>
    <w:p>
      <w:pPr>
        <w:pStyle w:val="ListNumber"/>
      </w:pPr>
      <w:r>
        <w:t>Seleccionar el producto o variante inventariable.</w:t>
      </w:r>
    </w:p>
    <w:p>
      <w:pPr>
        <w:pStyle w:val="ListNumber"/>
      </w:pPr>
      <w:r>
        <w:t>Seleccionar la presentación recibida.</w:t>
      </w:r>
    </w:p>
    <w:p>
      <w:pPr>
        <w:pStyle w:val="ListNumber"/>
      </w:pPr>
      <w:r>
        <w:t>Indicar la cantidad base o cantidad de empaques.</w:t>
      </w:r>
    </w:p>
    <w:p>
      <w:pPr>
        <w:pStyle w:val="ListNumber"/>
      </w:pPr>
      <w:r>
        <w:t>Registrar el código del lote y la fecha de vencimiento cuando apliquen.</w:t>
      </w:r>
    </w:p>
    <w:p>
      <w:pPr>
        <w:pStyle w:val="ListNumber"/>
      </w:pPr>
      <w:r>
        <w:t>Crear o identificar la unidad logística recibida.</w:t>
      </w:r>
    </w:p>
    <w:p>
      <w:pPr>
        <w:pStyle w:val="ListNumber"/>
      </w:pPr>
      <w:r>
        <w:t>Registrar peso y volumen reales si se midieron en recepción.</w:t>
      </w:r>
    </w:p>
    <w:p>
      <w:pPr>
        <w:pStyle w:val="ListNumber"/>
      </w:pPr>
      <w:r>
        <w:t>Asignar la unidad logística a una ubicación y estado de inventario.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  <w:tcBorders>
              <w:top w:val="single" w:sz="5" w:space="0" w:color="D4DCE6"/>
              <w:left w:val="single" w:sz="5" w:space="0" w:color="D4DCE6"/>
              <w:bottom w:val="single" w:sz="5" w:space="0" w:color="D4DCE6"/>
              <w:right w:val="single" w:sz="5" w:space="0" w:color="D4DCE6"/>
              <w:insideH w:val="single" w:sz="5" w:space="0" w:color="D4DCE6"/>
              <w:insideV w:val="single" w:sz="5" w:space="0" w:color="D4DCE6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 xml:space="preserve">Estado actual del sistema: </w:t>
            </w:r>
            <w:r>
              <w:rPr>
                <w:rFonts w:ascii="Calibri" w:hAnsi="Calibri"/>
                <w:color w:val="273444"/>
              </w:rPr>
              <w:t>la API de backend ya soporta la recepción con lote, vencimiento, presentación, medidas y ubicación. La interfaz visual de recepción todavía está pendiente de completarse; por eso el panel actual puede mostrar lotes existentes sin ofrecer aún todo el formulario de alta.</w:t>
            </w:r>
          </w:p>
        </w:tc>
      </w:tr>
    </w:tbl>
    <w:p>
      <w:pPr>
        <w:spacing w:after="0"/>
      </w:pPr>
    </w:p>
    <w:p>
      <w:pPr>
        <w:pStyle w:val="Heading1"/>
      </w:pPr>
      <w:r>
        <w:t>5. Unidad logística</w:t>
      </w:r>
    </w:p>
    <w:p>
      <w:r>
        <w:rPr>
          <w:rFonts w:ascii="Calibri" w:hAnsi="Calibri"/>
          <w:i w:val="0"/>
        </w:rPr>
        <w:t>La unidad logística es el bulto o conjunto homogéneo que se mueve como una unidad operativa. Puede ser un saco, caja, paquete, rollo, tambor, contenedor o producto suelto.</w:t>
      </w:r>
    </w:p>
    <w:p>
      <w:pPr>
        <w:pStyle w:val="ListBullet"/>
      </w:pPr>
      <w:r>
        <w:t>Tiene un código único para poder localizarlo y moverlo.</w:t>
      </w:r>
    </w:p>
    <w:p>
      <w:pPr>
        <w:pStyle w:val="ListBullet"/>
      </w:pPr>
      <w:r>
        <w:t>Conserva una fotografía de los datos de la presentación vigente al momento de recibirla (snapshot).</w:t>
      </w:r>
    </w:p>
    <w:p>
      <w:pPr>
        <w:pStyle w:val="ListBullet"/>
      </w:pPr>
      <w:r>
        <w:t>Puede guardar medidas reales tomadas durante la recepción.</w:t>
      </w:r>
    </w:p>
    <w:p>
      <w:pPr>
        <w:pStyle w:val="ListBullet"/>
      </w:pPr>
      <w:r>
        <w:t>Se mueve completa en la primera versión; dividir, unir o reempacar debe ser una operación explícita.</w:t>
      </w:r>
    </w:p>
    <w:p>
      <w:pPr>
        <w:pStyle w:val="ListBullet"/>
      </w:pPr>
      <w:r>
        <w:t>No se anidan automáticamente unidades logísticas dentro de otras.</w:t>
      </w:r>
    </w:p>
    <w:p>
      <w:pPr>
        <w:pStyle w:val="Heading1"/>
      </w:pPr>
      <w:r>
        <w:t>6. Lote y vencimiento</w:t>
      </w:r>
    </w:p>
    <w:p>
      <w:r>
        <w:rPr>
          <w:rFonts w:ascii="Calibri" w:hAnsi="Calibri"/>
          <w:i w:val="0"/>
        </w:rPr>
        <w:t>El lote identifica una producción, fabricación o recepción que debe mantenerse trazable. La fecha de vencimiento indica hasta cuándo puede utilizarse o venderse según las reglas del negocio.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  <w:tcBorders>
              <w:top w:val="single" w:sz="5" w:space="0" w:color="C8D4E2"/>
              <w:left w:val="single" w:sz="5" w:space="0" w:color="C8D4E2"/>
              <w:bottom w:val="single" w:sz="5" w:space="0" w:color="C8D4E2"/>
              <w:right w:val="single" w:sz="5" w:space="0" w:color="C8D4E2"/>
              <w:insideH w:val="single" w:sz="5" w:space="0" w:color="C8D4E2"/>
              <w:insideV w:val="single" w:sz="5" w:space="0" w:color="C8D4E2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Pregunta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  <w:tcBorders>
              <w:top w:val="single" w:sz="5" w:space="0" w:color="C8D4E2"/>
              <w:left w:val="single" w:sz="5" w:space="0" w:color="C8D4E2"/>
              <w:bottom w:val="single" w:sz="5" w:space="0" w:color="C8D4E2"/>
              <w:right w:val="single" w:sz="5" w:space="0" w:color="C8D4E2"/>
              <w:insideH w:val="single" w:sz="5" w:space="0" w:color="C8D4E2"/>
              <w:insideV w:val="single" w:sz="5" w:space="0" w:color="C8D4E2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Respuesta en el sistema</w:t>
            </w:r>
          </w:p>
        </w:tc>
      </w:tr>
      <w:tr>
        <w:tc>
          <w:tcPr>
            <w:tcW w:type="dxa" w:w="3000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  <w:insideH w:val="single" w:sz="4" w:space="0" w:color="D9E0E8"/>
              <w:insideV w:val="single" w:sz="4" w:space="0" w:color="D9E0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73444"/>
                <w:sz w:val="20"/>
              </w:rPr>
              <w:t>¿El lote es un producto?</w:t>
            </w:r>
          </w:p>
        </w:tc>
        <w:tc>
          <w:tcPr>
            <w:tcW w:type="dxa" w:w="6360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  <w:insideH w:val="single" w:sz="4" w:space="0" w:color="D9E0E8"/>
              <w:insideV w:val="single" w:sz="4" w:space="0" w:color="D9E0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73444"/>
                <w:sz w:val="20"/>
              </w:rPr>
              <w:t>No. Es un dato de trazabilidad asociado a la entrada y a las existencias.</w:t>
            </w:r>
          </w:p>
        </w:tc>
      </w:tr>
      <w:tr>
        <w:tc>
          <w:tcPr>
            <w:tcW w:type="dxa" w:w="3000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  <w:insideH w:val="single" w:sz="4" w:space="0" w:color="D9E0E8"/>
              <w:insideV w:val="single" w:sz="4" w:space="0" w:color="D9E0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73444"/>
                <w:sz w:val="20"/>
              </w:rPr>
              <w:t>¿Existe una tabla independiente de lotes?</w:t>
            </w:r>
          </w:p>
        </w:tc>
        <w:tc>
          <w:tcPr>
            <w:tcW w:type="dxa" w:w="6360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  <w:insideH w:val="single" w:sz="4" w:space="0" w:color="D9E0E8"/>
              <w:insideV w:val="single" w:sz="4" w:space="0" w:color="D9E0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73444"/>
                <w:sz w:val="20"/>
              </w:rPr>
              <w:t>Actualmente no. El código y la fecha se conservan en líneas de movimiento, unidades logísticas y saldos.</w:t>
            </w:r>
          </w:p>
        </w:tc>
      </w:tr>
      <w:tr>
        <w:tc>
          <w:tcPr>
            <w:tcW w:type="dxa" w:w="3000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  <w:insideH w:val="single" w:sz="4" w:space="0" w:color="D9E0E8"/>
              <w:insideV w:val="single" w:sz="4" w:space="0" w:color="D9E0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73444"/>
                <w:sz w:val="20"/>
              </w:rPr>
              <w:t>¿Cuándo nace un lote?</w:t>
            </w:r>
          </w:p>
        </w:tc>
        <w:tc>
          <w:tcPr>
            <w:tcW w:type="dxa" w:w="6360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  <w:insideH w:val="single" w:sz="4" w:space="0" w:color="D9E0E8"/>
              <w:insideV w:val="single" w:sz="4" w:space="0" w:color="D9E0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73444"/>
                <w:sz w:val="20"/>
              </w:rPr>
              <w:t>Al registrar una recepción o ajuste de entrada con su código y vencimiento.</w:t>
            </w:r>
          </w:p>
        </w:tc>
      </w:tr>
      <w:tr>
        <w:tc>
          <w:tcPr>
            <w:tcW w:type="dxa" w:w="3000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  <w:insideH w:val="single" w:sz="4" w:space="0" w:color="D9E0E8"/>
              <w:insideV w:val="single" w:sz="4" w:space="0" w:color="D9E0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73444"/>
                <w:sz w:val="20"/>
              </w:rPr>
              <w:t>¿Todos los productos necesitan lote?</w:t>
            </w:r>
          </w:p>
        </w:tc>
        <w:tc>
          <w:tcPr>
            <w:tcW w:type="dxa" w:w="6360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  <w:insideH w:val="single" w:sz="4" w:space="0" w:color="D9E0E8"/>
              <w:insideV w:val="single" w:sz="4" w:space="0" w:color="D9E0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73444"/>
                <w:sz w:val="20"/>
              </w:rPr>
              <w:t>No. Solo los productos o procesos que requieran trazabilidad por lote.</w:t>
            </w:r>
          </w:p>
        </w:tc>
      </w:tr>
      <w:tr>
        <w:tc>
          <w:tcPr>
            <w:tcW w:type="dxa" w:w="3000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  <w:insideH w:val="single" w:sz="4" w:space="0" w:color="D9E0E8"/>
              <w:insideV w:val="single" w:sz="4" w:space="0" w:color="D9E0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73444"/>
                <w:sz w:val="20"/>
              </w:rPr>
              <w:t>¿Qué pasa con un lote vencido?</w:t>
            </w:r>
          </w:p>
        </w:tc>
        <w:tc>
          <w:tcPr>
            <w:tcW w:type="dxa" w:w="6360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  <w:insideH w:val="single" w:sz="4" w:space="0" w:color="D9E0E8"/>
              <w:insideV w:val="single" w:sz="4" w:space="0" w:color="D9E0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73444"/>
                <w:sz w:val="20"/>
              </w:rPr>
              <w:t>No debe ponerse disponible normalmente; el backend lo restringe a cuarentena.</w:t>
            </w:r>
          </w:p>
        </w:tc>
      </w:tr>
    </w:tbl>
    <w:p>
      <w:pPr>
        <w:spacing w:after="0"/>
      </w:pPr>
    </w:p>
    <w:p>
      <w:pPr>
        <w:pStyle w:val="Heading1"/>
      </w:pPr>
      <w:r>
        <w:t>7. Peso, volumen y medidas reales</w:t>
      </w:r>
    </w:p>
    <w:p>
      <w:r>
        <w:rPr>
          <w:rFonts w:ascii="Calibri" w:hAnsi="Calibri"/>
          <w:i w:val="0"/>
        </w:rPr>
        <w:t>El sistema distingue entre la medida maestra de la presentación y la medida real del bulto recibido.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  <w:tcBorders>
              <w:top w:val="single" w:sz="5" w:space="0" w:color="C8D4E2"/>
              <w:left w:val="single" w:sz="5" w:space="0" w:color="C8D4E2"/>
              <w:bottom w:val="single" w:sz="5" w:space="0" w:color="C8D4E2"/>
              <w:right w:val="single" w:sz="5" w:space="0" w:color="C8D4E2"/>
              <w:insideH w:val="single" w:sz="5" w:space="0" w:color="C8D4E2"/>
              <w:insideV w:val="single" w:sz="5" w:space="0" w:color="C8D4E2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Fuente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  <w:tcBorders>
              <w:top w:val="single" w:sz="5" w:space="0" w:color="C8D4E2"/>
              <w:left w:val="single" w:sz="5" w:space="0" w:color="C8D4E2"/>
              <w:bottom w:val="single" w:sz="5" w:space="0" w:color="C8D4E2"/>
              <w:right w:val="single" w:sz="5" w:space="0" w:color="C8D4E2"/>
              <w:insideH w:val="single" w:sz="5" w:space="0" w:color="C8D4E2"/>
              <w:insideV w:val="single" w:sz="5" w:space="0" w:color="C8D4E2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Uso</w:t>
            </w:r>
          </w:p>
        </w:tc>
      </w:tr>
      <w:tr>
        <w:tc>
          <w:tcPr>
            <w:tcW w:type="dxa" w:w="2500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  <w:insideH w:val="single" w:sz="4" w:space="0" w:color="D9E0E8"/>
              <w:insideV w:val="single" w:sz="4" w:space="0" w:color="D9E0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73444"/>
                <w:sz w:val="20"/>
              </w:rPr>
              <w:t>Presentación maestra</w:t>
            </w:r>
          </w:p>
        </w:tc>
        <w:tc>
          <w:tcPr>
            <w:tcW w:type="dxa" w:w="6860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  <w:insideH w:val="single" w:sz="4" w:space="0" w:color="D9E0E8"/>
              <w:insideV w:val="single" w:sz="4" w:space="0" w:color="D9E0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73444"/>
                <w:sz w:val="20"/>
              </w:rPr>
              <w:t>Estimación operativa para planificar y calcular el consumo cuando no existe una medición real.</w:t>
            </w:r>
          </w:p>
        </w:tc>
      </w:tr>
      <w:tr>
        <w:tc>
          <w:tcPr>
            <w:tcW w:type="dxa" w:w="2500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  <w:insideH w:val="single" w:sz="4" w:space="0" w:color="D9E0E8"/>
              <w:insideV w:val="single" w:sz="4" w:space="0" w:color="D9E0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73444"/>
                <w:sz w:val="20"/>
              </w:rPr>
              <w:t>Medición de recepción</w:t>
            </w:r>
          </w:p>
        </w:tc>
        <w:tc>
          <w:tcPr>
            <w:tcW w:type="dxa" w:w="6860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  <w:insideH w:val="single" w:sz="4" w:space="0" w:color="D9E0E8"/>
              <w:insideV w:val="single" w:sz="4" w:space="0" w:color="D9E0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73444"/>
                <w:sz w:val="20"/>
              </w:rPr>
              <w:t>Medida real del bulto completo. Tiene prioridad sobre la estimación de la presentación.</w:t>
            </w:r>
          </w:p>
        </w:tc>
      </w:tr>
      <w:tr>
        <w:tc>
          <w:tcPr>
            <w:tcW w:type="dxa" w:w="2500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  <w:insideH w:val="single" w:sz="4" w:space="0" w:color="D9E0E8"/>
              <w:insideV w:val="single" w:sz="4" w:space="0" w:color="D9E0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73444"/>
                <w:sz w:val="20"/>
              </w:rPr>
              <w:t>Medición verificada</w:t>
            </w:r>
          </w:p>
        </w:tc>
        <w:tc>
          <w:tcPr>
            <w:tcW w:type="dxa" w:w="6860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  <w:insideH w:val="single" w:sz="4" w:space="0" w:color="D9E0E8"/>
              <w:insideV w:val="single" w:sz="4" w:space="0" w:color="D9E0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73444"/>
                <w:sz w:val="20"/>
              </w:rPr>
              <w:t>Corrección manual o de dispositivo que deja trazabilidad y actualiza la unidad logística.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 w:val="clear"/>
            <w:tcBorders>
              <w:top w:val="single" w:sz="5" w:space="0" w:color="D4DCE6"/>
              <w:left w:val="single" w:sz="5" w:space="0" w:color="D4DCE6"/>
              <w:bottom w:val="single" w:sz="5" w:space="0" w:color="D4DCE6"/>
              <w:right w:val="single" w:sz="5" w:space="0" w:color="D4DCE6"/>
              <w:insideH w:val="single" w:sz="5" w:space="0" w:color="D4DCE6"/>
              <w:insideV w:val="single" w:sz="5" w:space="0" w:color="D4DCE6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9B1C1C"/>
              </w:rPr>
              <w:t xml:space="preserve">Regla de seguridad: </w:t>
            </w:r>
            <w:r>
              <w:rPr>
                <w:rFonts w:ascii="Calibri" w:hAnsi="Calibri"/>
                <w:color w:val="273444"/>
              </w:rPr>
              <w:t>si falta peso o volumen confiable, la mercancía no se convierte silenciosamente en cero. La unidad queda con medición incompleta y debe manejarse según el estado permitido, normalmente cuarentena hasta verificarla.</w:t>
            </w:r>
          </w:p>
        </w:tc>
      </w:tr>
    </w:tbl>
    <w:p>
      <w:pPr>
        <w:spacing w:after="0"/>
      </w:pPr>
    </w:p>
    <w:p>
      <w:pPr>
        <w:pStyle w:val="Heading1"/>
      </w:pPr>
      <w:r>
        <w:t>8. Ubicación y saldo de inventario</w:t>
      </w:r>
    </w:p>
    <w:p>
      <w:r>
        <w:rPr>
          <w:rFonts w:ascii="Calibri" w:hAnsi="Calibri"/>
          <w:i w:val="0"/>
        </w:rPr>
        <w:t>La ubicación es el lugar físico donde existe la mercancía. La estructura puede limitarla, pero nunca reemplaza a la ubicación como destino del inventario.</w:t>
      </w:r>
    </w:p>
    <w:p>
      <w:pPr>
        <w:pStyle w:val="ListBullet"/>
      </w:pPr>
      <w:r>
        <w:t>La unidad logística apunta a una ubicación concreta.</w:t>
      </w:r>
    </w:p>
    <w:p>
      <w:pPr>
        <w:pStyle w:val="ListBullet"/>
      </w:pPr>
      <w:r>
        <w:t>El saldo resume cuánto producto existe en una ubicación, separado por estado, lote y vencimiento cuando corresponda.</w:t>
      </w:r>
    </w:p>
    <w:p>
      <w:pPr>
        <w:pStyle w:val="ListBullet"/>
      </w:pPr>
      <w:r>
        <w:t>Los movimientos registran entradas, traslados, salidas y ajustes.</w:t>
      </w:r>
    </w:p>
    <w:p>
      <w:pPr>
        <w:pStyle w:val="ListBullet"/>
      </w:pPr>
      <w:r>
        <w:t>La capacidad usa el peso y volumen ocupados por las unidades logísticas y las reservas vigentes.</w:t>
      </w:r>
    </w:p>
    <w:p>
      <w:pPr>
        <w:pStyle w:val="Heading1"/>
      </w:pPr>
      <w:r>
        <w:t>9. Ejemplo completo: harina en sacos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F2F4F7" w:val="clear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  <w:insideH w:val="single" w:sz="4" w:space="0" w:color="D9E0E8"/>
              <w:insideV w:val="single" w:sz="4" w:space="0" w:color="D9E0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Producto</w:t>
            </w:r>
          </w:p>
        </w:tc>
        <w:tc>
          <w:tcPr>
            <w:tcW w:type="dxa" w:w="6660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  <w:insideH w:val="single" w:sz="4" w:space="0" w:color="D9E0E8"/>
              <w:insideV w:val="single" w:sz="4" w:space="0" w:color="D9E0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73444"/>
                <w:sz w:val="20"/>
              </w:rPr>
              <w:t>Harina especial para panadería</w:t>
            </w:r>
          </w:p>
        </w:tc>
      </w:tr>
      <w:tr>
        <w:tc>
          <w:tcPr>
            <w:tcW w:type="dxa" w:w="2700"/>
            <w:shd w:fill="F2F4F7" w:val="clear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  <w:insideH w:val="single" w:sz="4" w:space="0" w:color="D9E0E8"/>
              <w:insideV w:val="single" w:sz="4" w:space="0" w:color="D9E0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Unidad base</w:t>
            </w:r>
          </w:p>
        </w:tc>
        <w:tc>
          <w:tcPr>
            <w:tcW w:type="dxa" w:w="6660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  <w:insideH w:val="single" w:sz="4" w:space="0" w:color="D9E0E8"/>
              <w:insideV w:val="single" w:sz="4" w:space="0" w:color="D9E0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73444"/>
                <w:sz w:val="20"/>
              </w:rPr>
              <w:t>Unidad (u)</w:t>
            </w:r>
          </w:p>
        </w:tc>
      </w:tr>
      <w:tr>
        <w:tc>
          <w:tcPr>
            <w:tcW w:type="dxa" w:w="2700"/>
            <w:shd w:fill="F2F4F7" w:val="clear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  <w:insideH w:val="single" w:sz="4" w:space="0" w:color="D9E0E8"/>
              <w:insideV w:val="single" w:sz="4" w:space="0" w:color="D9E0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Presentación</w:t>
            </w:r>
          </w:p>
        </w:tc>
        <w:tc>
          <w:tcPr>
            <w:tcW w:type="dxa" w:w="6660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  <w:insideH w:val="single" w:sz="4" w:space="0" w:color="D9E0E8"/>
              <w:insideV w:val="single" w:sz="4" w:space="0" w:color="D9E0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73444"/>
                <w:sz w:val="20"/>
              </w:rPr>
              <w:t>Saco de harina 50 lb</w:t>
            </w:r>
          </w:p>
        </w:tc>
      </w:tr>
      <w:tr>
        <w:tc>
          <w:tcPr>
            <w:tcW w:type="dxa" w:w="2700"/>
            <w:shd w:fill="F2F4F7" w:val="clear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  <w:insideH w:val="single" w:sz="4" w:space="0" w:color="D9E0E8"/>
              <w:insideV w:val="single" w:sz="4" w:space="0" w:color="D9E0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Conversión</w:t>
            </w:r>
          </w:p>
        </w:tc>
        <w:tc>
          <w:tcPr>
            <w:tcW w:type="dxa" w:w="6660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  <w:insideH w:val="single" w:sz="4" w:space="0" w:color="D9E0E8"/>
              <w:insideV w:val="single" w:sz="4" w:space="0" w:color="D9E0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73444"/>
                <w:sz w:val="20"/>
              </w:rPr>
              <w:t>1 saco = 1 unidad base</w:t>
            </w:r>
          </w:p>
        </w:tc>
      </w:tr>
      <w:tr>
        <w:tc>
          <w:tcPr>
            <w:tcW w:type="dxa" w:w="2700"/>
            <w:shd w:fill="F2F4F7" w:val="clear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  <w:insideH w:val="single" w:sz="4" w:space="0" w:color="D9E0E8"/>
              <w:insideV w:val="single" w:sz="4" w:space="0" w:color="D9E0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Medidas de la presentación</w:t>
            </w:r>
          </w:p>
        </w:tc>
        <w:tc>
          <w:tcPr>
            <w:tcW w:type="dxa" w:w="6660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  <w:insideH w:val="single" w:sz="4" w:space="0" w:color="D9E0E8"/>
              <w:insideV w:val="single" w:sz="4" w:space="0" w:color="D9E0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73444"/>
                <w:sz w:val="20"/>
              </w:rPr>
              <w:t>22.68 kg y 0.072 m³ por saco</w:t>
            </w:r>
          </w:p>
        </w:tc>
      </w:tr>
      <w:tr>
        <w:tc>
          <w:tcPr>
            <w:tcW w:type="dxa" w:w="2700"/>
            <w:shd w:fill="F2F4F7" w:val="clear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  <w:insideH w:val="single" w:sz="4" w:space="0" w:color="D9E0E8"/>
              <w:insideV w:val="single" w:sz="4" w:space="0" w:color="D9E0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Recepción</w:t>
            </w:r>
          </w:p>
        </w:tc>
        <w:tc>
          <w:tcPr>
            <w:tcW w:type="dxa" w:w="6660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  <w:insideH w:val="single" w:sz="4" w:space="0" w:color="D9E0E8"/>
              <w:insideV w:val="single" w:sz="4" w:space="0" w:color="D9E0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73444"/>
                <w:sz w:val="20"/>
              </w:rPr>
              <w:t>10 sacos del lote HAR-2026-08-18</w:t>
            </w:r>
          </w:p>
        </w:tc>
      </w:tr>
      <w:tr>
        <w:tc>
          <w:tcPr>
            <w:tcW w:type="dxa" w:w="2700"/>
            <w:shd w:fill="F2F4F7" w:val="clear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  <w:insideH w:val="single" w:sz="4" w:space="0" w:color="D9E0E8"/>
              <w:insideV w:val="single" w:sz="4" w:space="0" w:color="D9E0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Unidad logística</w:t>
            </w:r>
          </w:p>
        </w:tc>
        <w:tc>
          <w:tcPr>
            <w:tcW w:type="dxa" w:w="6660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  <w:insideH w:val="single" w:sz="4" w:space="0" w:color="D9E0E8"/>
              <w:insideV w:val="single" w:sz="4" w:space="0" w:color="D9E0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73444"/>
                <w:sz w:val="20"/>
              </w:rPr>
              <w:t>SACK-50LB-0001, con 10 sacos homogéneos</w:t>
            </w:r>
          </w:p>
        </w:tc>
      </w:tr>
      <w:tr>
        <w:tc>
          <w:tcPr>
            <w:tcW w:type="dxa" w:w="2700"/>
            <w:shd w:fill="F2F4F7" w:val="clear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  <w:insideH w:val="single" w:sz="4" w:space="0" w:color="D9E0E8"/>
              <w:insideV w:val="single" w:sz="4" w:space="0" w:color="D9E0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Ubicación</w:t>
            </w:r>
          </w:p>
        </w:tc>
        <w:tc>
          <w:tcPr>
            <w:tcW w:type="dxa" w:w="6660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  <w:insideH w:val="single" w:sz="4" w:space="0" w:color="D9E0E8"/>
              <w:insideV w:val="single" w:sz="4" w:space="0" w:color="D9E0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73444"/>
                <w:sz w:val="20"/>
              </w:rPr>
              <w:t>SEC-A01</w:t>
            </w:r>
          </w:p>
        </w:tc>
      </w:tr>
    </w:tbl>
    <w:p>
      <w:pPr>
        <w:spacing w:after="0"/>
      </w:pPr>
    </w:p>
    <w:p>
      <w:r>
        <w:rPr>
          <w:rFonts w:ascii="Calibri" w:hAnsi="Calibri"/>
          <w:i w:val="0"/>
        </w:rPr>
        <w:t>Consumo aproximado de la recepción: 226.8 kg y 0.72 m³. Ese consumo se asigna a SEC-A01 y se refleja en el saldo del producto y del lote. Si la medición real del bulto indica otro valor, se utiliza la medición real.</w:t>
      </w:r>
    </w:p>
    <w:p>
      <w:pPr>
        <w:pStyle w:val="Heading1"/>
      </w:pPr>
      <w:r>
        <w:t>10. Ejemplo de conversión de cajas</w:t>
      </w:r>
    </w:p>
    <w:p>
      <w:r>
        <w:rPr>
          <w:rFonts w:ascii="Calibri" w:hAnsi="Calibri"/>
          <w:i w:val="0"/>
        </w:rPr>
        <w:t>Si una presentación es una caja de 12 unidades y se reciben 10 cajas: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 w:val="clear"/>
            <w:tcBorders>
              <w:top w:val="single" w:sz="5" w:space="0" w:color="D9E0E8"/>
              <w:left w:val="single" w:sz="5" w:space="0" w:color="D9E0E8"/>
              <w:bottom w:val="single" w:sz="5" w:space="0" w:color="D9E0E8"/>
              <w:right w:val="single" w:sz="5" w:space="0" w:color="D9E0E8"/>
              <w:insideH w:val="single" w:sz="5" w:space="0" w:color="D9E0E8"/>
              <w:insideV w:val="single" w:sz="5" w:space="0" w:color="D9E0E8"/>
            </w:tcBorders>
          </w:tcPr>
          <w:p>
            <w:pPr>
              <w:spacing w:after="0" w:line="276" w:lineRule="auto"/>
            </w:pPr>
            <w:r/>
            <w:r>
              <w:rPr>
                <w:rFonts w:ascii="Consolas" w:hAnsi="Consolas"/>
                <w:color w:val="0B2545"/>
                <w:sz w:val="21"/>
              </w:rPr>
              <w:t>10 cajas x 12 unidades por caja = 120 unidades base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B2545"/>
                <w:sz w:val="21"/>
              </w:rPr>
              <w:t>Peso total = peso de una caja x 10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B2545"/>
                <w:sz w:val="21"/>
              </w:rPr>
              <w:t>Volumen total = volumen de una caja x 10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B2545"/>
                <w:sz w:val="21"/>
              </w:rPr>
              <w:t>El saldo se registra como 120 unidades base, conservando la trazabilidad de las cajas recibidas</w:t>
            </w:r>
          </w:p>
        </w:tc>
      </w:tr>
    </w:tbl>
    <w:p>
      <w:pPr>
        <w:spacing w:after="0"/>
      </w:pPr>
    </w:p>
    <w:p>
      <w:pPr>
        <w:pStyle w:val="Heading1"/>
      </w:pPr>
      <w:r>
        <w:t>11. Reglas para no confundirse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500"/>
        <w:gridCol w:w="4860"/>
      </w:tblGrid>
      <w:tr>
        <w:trPr>
          <w:tblHeader w:val="true"/>
        </w:trPr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  <w:tcBorders>
              <w:top w:val="single" w:sz="5" w:space="0" w:color="C8D4E2"/>
              <w:left w:val="single" w:sz="5" w:space="0" w:color="C8D4E2"/>
              <w:bottom w:val="single" w:sz="5" w:space="0" w:color="C8D4E2"/>
              <w:right w:val="single" w:sz="5" w:space="0" w:color="C8D4E2"/>
              <w:insideH w:val="single" w:sz="5" w:space="0" w:color="C8D4E2"/>
              <w:insideV w:val="single" w:sz="5" w:space="0" w:color="C8D4E2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No hacer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  <w:tcBorders>
              <w:top w:val="single" w:sz="5" w:space="0" w:color="C8D4E2"/>
              <w:left w:val="single" w:sz="5" w:space="0" w:color="C8D4E2"/>
              <w:bottom w:val="single" w:sz="5" w:space="0" w:color="C8D4E2"/>
              <w:right w:val="single" w:sz="5" w:space="0" w:color="C8D4E2"/>
              <w:insideH w:val="single" w:sz="5" w:space="0" w:color="C8D4E2"/>
              <w:insideV w:val="single" w:sz="5" w:space="0" w:color="C8D4E2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Hacer</w:t>
            </w:r>
          </w:p>
        </w:tc>
      </w:tr>
      <w:tr>
        <w:tc>
          <w:tcPr>
            <w:tcW w:type="dxa" w:w="4500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  <w:insideH w:val="single" w:sz="4" w:space="0" w:color="D9E0E8"/>
              <w:insideV w:val="single" w:sz="4" w:space="0" w:color="D9E0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73444"/>
                <w:sz w:val="20"/>
              </w:rPr>
              <w:t>Crear un producto nuevo solo porque cambia el saco o la caja.</w:t>
            </w:r>
          </w:p>
        </w:tc>
        <w:tc>
          <w:tcPr>
            <w:tcW w:type="dxa" w:w="4860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  <w:insideH w:val="single" w:sz="4" w:space="0" w:color="D9E0E8"/>
              <w:insideV w:val="single" w:sz="4" w:space="0" w:color="D9E0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73444"/>
                <w:sz w:val="20"/>
              </w:rPr>
              <w:t>Crear una presentación nueva si la mercancía es la misma y cambia el formato físico.</w:t>
            </w:r>
          </w:p>
        </w:tc>
      </w:tr>
      <w:tr>
        <w:tc>
          <w:tcPr>
            <w:tcW w:type="dxa" w:w="4500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  <w:insideH w:val="single" w:sz="4" w:space="0" w:color="D9E0E8"/>
              <w:insideV w:val="single" w:sz="4" w:space="0" w:color="D9E0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73444"/>
                <w:sz w:val="20"/>
              </w:rPr>
              <w:t>Guardar inventario directamente en una estructura.</w:t>
            </w:r>
          </w:p>
        </w:tc>
        <w:tc>
          <w:tcPr>
            <w:tcW w:type="dxa" w:w="4860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  <w:insideH w:val="single" w:sz="4" w:space="0" w:color="D9E0E8"/>
              <w:insideV w:val="single" w:sz="4" w:space="0" w:color="D9E0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73444"/>
                <w:sz w:val="20"/>
              </w:rPr>
              <w:t>Guardar la unidad logística en una ubicación.</w:t>
            </w:r>
          </w:p>
        </w:tc>
      </w:tr>
      <w:tr>
        <w:tc>
          <w:tcPr>
            <w:tcW w:type="dxa" w:w="4500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  <w:insideH w:val="single" w:sz="4" w:space="0" w:color="D9E0E8"/>
              <w:insideV w:val="single" w:sz="4" w:space="0" w:color="D9E0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73444"/>
                <w:sz w:val="20"/>
              </w:rPr>
              <w:t>Sumar medidas del producto y del empaque.</w:t>
            </w:r>
          </w:p>
        </w:tc>
        <w:tc>
          <w:tcPr>
            <w:tcW w:type="dxa" w:w="4860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  <w:insideH w:val="single" w:sz="4" w:space="0" w:color="D9E0E8"/>
              <w:insideV w:val="single" w:sz="4" w:space="0" w:color="D9E0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73444"/>
                <w:sz w:val="20"/>
              </w:rPr>
              <w:t>Usar la medida de la presentación o la medición real del bulto completo.</w:t>
            </w:r>
          </w:p>
        </w:tc>
      </w:tr>
      <w:tr>
        <w:tc>
          <w:tcPr>
            <w:tcW w:type="dxa" w:w="4500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  <w:insideH w:val="single" w:sz="4" w:space="0" w:color="D9E0E8"/>
              <w:insideV w:val="single" w:sz="4" w:space="0" w:color="D9E0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73444"/>
                <w:sz w:val="20"/>
              </w:rPr>
              <w:t>Tratar una medida faltante como cero.</w:t>
            </w:r>
          </w:p>
        </w:tc>
        <w:tc>
          <w:tcPr>
            <w:tcW w:type="dxa" w:w="4860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  <w:insideH w:val="single" w:sz="4" w:space="0" w:color="D9E0E8"/>
              <w:insideV w:val="single" w:sz="4" w:space="0" w:color="D9E0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73444"/>
                <w:sz w:val="20"/>
              </w:rPr>
              <w:t>Marcar la unidad como incompleta y verificarla.</w:t>
            </w:r>
          </w:p>
        </w:tc>
      </w:tr>
      <w:tr>
        <w:tc>
          <w:tcPr>
            <w:tcW w:type="dxa" w:w="4500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  <w:insideH w:val="single" w:sz="4" w:space="0" w:color="D9E0E8"/>
              <w:insideV w:val="single" w:sz="4" w:space="0" w:color="D9E0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73444"/>
                <w:sz w:val="20"/>
              </w:rPr>
              <w:t>Crear un lote manual antes de recibir sin una necesidad de trazabilidad.</w:t>
            </w:r>
          </w:p>
        </w:tc>
        <w:tc>
          <w:tcPr>
            <w:tcW w:type="dxa" w:w="4860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  <w:insideH w:val="single" w:sz="4" w:space="0" w:color="D9E0E8"/>
              <w:insideV w:val="single" w:sz="4" w:space="0" w:color="D9E0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73444"/>
                <w:sz w:val="20"/>
              </w:rPr>
              <w:t>Registrar lote y vencimiento en la recepción cuando el proceso lo requiera.</w:t>
            </w:r>
          </w:p>
        </w:tc>
      </w:tr>
      <w:tr>
        <w:tc>
          <w:tcPr>
            <w:tcW w:type="dxa" w:w="4500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  <w:insideH w:val="single" w:sz="4" w:space="0" w:color="D9E0E8"/>
              <w:insideV w:val="single" w:sz="4" w:space="0" w:color="D9E0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73444"/>
                <w:sz w:val="20"/>
              </w:rPr>
              <w:t>Usar una variante para representar cada caja o saco.</w:t>
            </w:r>
          </w:p>
        </w:tc>
        <w:tc>
          <w:tcPr>
            <w:tcW w:type="dxa" w:w="4860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  <w:insideH w:val="single" w:sz="4" w:space="0" w:color="D9E0E8"/>
              <w:insideV w:val="single" w:sz="4" w:space="0" w:color="D9E0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73444"/>
                <w:sz w:val="20"/>
              </w:rPr>
              <w:t>Usar variantes para diferencias comerciales; usar presentaciones para empaques.</w:t>
            </w:r>
          </w:p>
        </w:tc>
      </w:tr>
    </w:tbl>
    <w:p>
      <w:pPr>
        <w:spacing w:after="0"/>
      </w:pPr>
    </w:p>
    <w:p>
      <w:pPr>
        <w:pStyle w:val="Heading1"/>
      </w:pPr>
      <w:r>
        <w:t>12. Resumen operativo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F2F4F7" w:val="clear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  <w:insideH w:val="single" w:sz="4" w:space="0" w:color="D9E0E8"/>
              <w:insideV w:val="single" w:sz="4" w:space="0" w:color="D9E0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Producto</w:t>
            </w:r>
          </w:p>
        </w:tc>
        <w:tc>
          <w:tcPr>
            <w:tcW w:type="dxa" w:w="6660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  <w:insideH w:val="single" w:sz="4" w:space="0" w:color="D9E0E8"/>
              <w:insideV w:val="single" w:sz="4" w:space="0" w:color="D9E0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73444"/>
                <w:sz w:val="20"/>
              </w:rPr>
              <w:t>Qué mercancía es.</w:t>
            </w:r>
          </w:p>
        </w:tc>
      </w:tr>
      <w:tr>
        <w:tc>
          <w:tcPr>
            <w:tcW w:type="dxa" w:w="2700"/>
            <w:shd w:fill="F2F4F7" w:val="clear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  <w:insideH w:val="single" w:sz="4" w:space="0" w:color="D9E0E8"/>
              <w:insideV w:val="single" w:sz="4" w:space="0" w:color="D9E0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Presentación</w:t>
            </w:r>
          </w:p>
        </w:tc>
        <w:tc>
          <w:tcPr>
            <w:tcW w:type="dxa" w:w="6660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  <w:insideH w:val="single" w:sz="4" w:space="0" w:color="D9E0E8"/>
              <w:insideV w:val="single" w:sz="4" w:space="0" w:color="D9E0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73444"/>
                <w:sz w:val="20"/>
              </w:rPr>
              <w:t>Cómo viene empacada y cuánto contiene.</w:t>
            </w:r>
          </w:p>
        </w:tc>
      </w:tr>
      <w:tr>
        <w:tc>
          <w:tcPr>
            <w:tcW w:type="dxa" w:w="2700"/>
            <w:shd w:fill="F2F4F7" w:val="clear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  <w:insideH w:val="single" w:sz="4" w:space="0" w:color="D9E0E8"/>
              <w:insideV w:val="single" w:sz="4" w:space="0" w:color="D9E0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Recepción</w:t>
            </w:r>
          </w:p>
        </w:tc>
        <w:tc>
          <w:tcPr>
            <w:tcW w:type="dxa" w:w="6660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  <w:insideH w:val="single" w:sz="4" w:space="0" w:color="D9E0E8"/>
              <w:insideV w:val="single" w:sz="4" w:space="0" w:color="D9E0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73444"/>
                <w:sz w:val="20"/>
              </w:rPr>
              <w:t>Cuándo y cómo entró físicamente.</w:t>
            </w:r>
          </w:p>
        </w:tc>
      </w:tr>
      <w:tr>
        <w:tc>
          <w:tcPr>
            <w:tcW w:type="dxa" w:w="2700"/>
            <w:shd w:fill="F2F4F7" w:val="clear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  <w:insideH w:val="single" w:sz="4" w:space="0" w:color="D9E0E8"/>
              <w:insideV w:val="single" w:sz="4" w:space="0" w:color="D9E0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Unidad logística</w:t>
            </w:r>
          </w:p>
        </w:tc>
        <w:tc>
          <w:tcPr>
            <w:tcW w:type="dxa" w:w="6660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  <w:insideH w:val="single" w:sz="4" w:space="0" w:color="D9E0E8"/>
              <w:insideV w:val="single" w:sz="4" w:space="0" w:color="D9E0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73444"/>
                <w:sz w:val="20"/>
              </w:rPr>
              <w:t>Qué bulto concreto se mueve.</w:t>
            </w:r>
          </w:p>
        </w:tc>
      </w:tr>
      <w:tr>
        <w:tc>
          <w:tcPr>
            <w:tcW w:type="dxa" w:w="2700"/>
            <w:shd w:fill="F2F4F7" w:val="clear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  <w:insideH w:val="single" w:sz="4" w:space="0" w:color="D9E0E8"/>
              <w:insideV w:val="single" w:sz="4" w:space="0" w:color="D9E0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Lote y vencimiento</w:t>
            </w:r>
          </w:p>
        </w:tc>
        <w:tc>
          <w:tcPr>
            <w:tcW w:type="dxa" w:w="6660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  <w:insideH w:val="single" w:sz="4" w:space="0" w:color="D9E0E8"/>
              <w:insideV w:val="single" w:sz="4" w:space="0" w:color="D9E0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73444"/>
                <w:sz w:val="20"/>
              </w:rPr>
              <w:t>Qué producción o periodo se debe rastrear.</w:t>
            </w:r>
          </w:p>
        </w:tc>
      </w:tr>
      <w:tr>
        <w:tc>
          <w:tcPr>
            <w:tcW w:type="dxa" w:w="2700"/>
            <w:shd w:fill="F2F4F7" w:val="clear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  <w:insideH w:val="single" w:sz="4" w:space="0" w:color="D9E0E8"/>
              <w:insideV w:val="single" w:sz="4" w:space="0" w:color="D9E0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Peso y volumen reales</w:t>
            </w:r>
          </w:p>
        </w:tc>
        <w:tc>
          <w:tcPr>
            <w:tcW w:type="dxa" w:w="6660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  <w:insideH w:val="single" w:sz="4" w:space="0" w:color="D9E0E8"/>
              <w:insideV w:val="single" w:sz="4" w:space="0" w:color="D9E0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73444"/>
                <w:sz w:val="20"/>
              </w:rPr>
              <w:t>Cuánto ocupa realmente el bulto.</w:t>
            </w:r>
          </w:p>
        </w:tc>
      </w:tr>
      <w:tr>
        <w:tc>
          <w:tcPr>
            <w:tcW w:type="dxa" w:w="2700"/>
            <w:shd w:fill="F2F4F7" w:val="clear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  <w:insideH w:val="single" w:sz="4" w:space="0" w:color="D9E0E8"/>
              <w:insideV w:val="single" w:sz="4" w:space="0" w:color="D9E0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Ubicación</w:t>
            </w:r>
          </w:p>
        </w:tc>
        <w:tc>
          <w:tcPr>
            <w:tcW w:type="dxa" w:w="6660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  <w:insideH w:val="single" w:sz="4" w:space="0" w:color="D9E0E8"/>
              <w:insideV w:val="single" w:sz="4" w:space="0" w:color="D9E0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73444"/>
                <w:sz w:val="20"/>
              </w:rPr>
              <w:t>Dónde está guardado.</w:t>
            </w:r>
          </w:p>
        </w:tc>
      </w:tr>
      <w:tr>
        <w:tc>
          <w:tcPr>
            <w:tcW w:type="dxa" w:w="2700"/>
            <w:shd w:fill="F2F4F7" w:val="clear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  <w:insideH w:val="single" w:sz="4" w:space="0" w:color="D9E0E8"/>
              <w:insideV w:val="single" w:sz="4" w:space="0" w:color="D9E0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Saldo</w:t>
            </w:r>
          </w:p>
        </w:tc>
        <w:tc>
          <w:tcPr>
            <w:tcW w:type="dxa" w:w="6660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  <w:insideH w:val="single" w:sz="4" w:space="0" w:color="D9E0E8"/>
              <w:insideV w:val="single" w:sz="4" w:space="0" w:color="D9E0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73444"/>
                <w:sz w:val="20"/>
              </w:rPr>
              <w:t>Cuánto queda disponible o en otro estado.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color w:val="6B7280"/>
        <w:sz w:val="18"/>
      </w:rPr>
      <w:t xml:space="preserve">ERP System | Página </w:t>
    </w:r>
    <w:r>
      <w:rPr>
        <w:rFonts w:ascii="Calibri" w:hAnsi="Calibri"/>
        <w:color w:val="6B728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b/>
        <w:color w:val="6B7280"/>
        <w:sz w:val="18"/>
      </w:rPr>
      <w:t>Guía de productos e inventario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029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Productos Presentaciones Inventario</dc:title>
  <dc:subject>Guía operativa del ERP</dc:subject>
  <dc:creator>ERP System</dc:creator>
  <cp:keywords/>
  <dc:description>Documento generado para operación y capacitación.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