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80E01" w14:textId="154CA14C" w:rsidR="005A44D5" w:rsidRPr="004E7B18" w:rsidRDefault="005A44D5" w:rsidP="004E7B18">
      <w:pPr>
        <w:jc w:val="center"/>
        <w:rPr>
          <w:rFonts w:ascii="Arial" w:hAnsi="Arial" w:cs="Arial"/>
          <w:b/>
          <w:bCs/>
          <w:i/>
          <w:iCs/>
          <w:sz w:val="28"/>
          <w:szCs w:val="28"/>
          <w:u w:val="single"/>
        </w:rPr>
      </w:pPr>
      <w:r w:rsidRPr="004E7B18">
        <w:rPr>
          <w:rFonts w:ascii="Arial" w:hAnsi="Arial" w:cs="Arial"/>
          <w:b/>
          <w:bCs/>
          <w:i/>
          <w:iCs/>
          <w:sz w:val="28"/>
          <w:szCs w:val="28"/>
          <w:u w:val="single"/>
        </w:rPr>
        <w:t>Lei de Moore</w:t>
      </w:r>
    </w:p>
    <w:p w14:paraId="2A1487F1" w14:textId="37D48DDE" w:rsidR="005A44D5" w:rsidRPr="004E7B18" w:rsidRDefault="005A44D5" w:rsidP="004E7B18">
      <w:pPr>
        <w:jc w:val="both"/>
        <w:rPr>
          <w:rFonts w:ascii="Arial" w:hAnsi="Arial" w:cs="Arial"/>
          <w:sz w:val="24"/>
          <w:szCs w:val="24"/>
        </w:rPr>
      </w:pPr>
      <w:r w:rsidRPr="004E7B18">
        <w:rPr>
          <w:rFonts w:ascii="Arial" w:hAnsi="Arial" w:cs="Arial"/>
          <w:sz w:val="24"/>
          <w:szCs w:val="24"/>
        </w:rPr>
        <w:t>A Lei de Moore, proposta por Gordon Moore em 1965, é um dos princípios fundamentais que tem impulsionado o desenvolvimento da tecnologia de semicondutores nas últimas décadas. Em sua formulação original, Moore observou uma tendência de crescimento exponencial na densidade de transistores em circuitos integrados, acompanhada pela redução de custos proporcionada pela miniaturização dos componentes eletrônicos.</w:t>
      </w:r>
    </w:p>
    <w:p w14:paraId="289567D1" w14:textId="05694F5B" w:rsidR="005A44D5" w:rsidRPr="004E7B18" w:rsidRDefault="005A44D5" w:rsidP="004E7B18">
      <w:pPr>
        <w:jc w:val="both"/>
        <w:rPr>
          <w:rFonts w:ascii="Arial" w:hAnsi="Arial" w:cs="Arial"/>
          <w:sz w:val="24"/>
          <w:szCs w:val="24"/>
        </w:rPr>
      </w:pPr>
      <w:r w:rsidRPr="004E7B18">
        <w:rPr>
          <w:rFonts w:ascii="Arial" w:hAnsi="Arial" w:cs="Arial"/>
          <w:sz w:val="24"/>
          <w:szCs w:val="24"/>
        </w:rPr>
        <w:t>Moore previu que o número de transistores em um chip dobraria a cada período de tempo,</w:t>
      </w:r>
      <w:r w:rsidRPr="004E7B18">
        <w:rPr>
          <w:rFonts w:ascii="Arial" w:hAnsi="Arial" w:cs="Arial"/>
          <w:sz w:val="24"/>
          <w:szCs w:val="24"/>
        </w:rPr>
        <w:t xml:space="preserve"> </w:t>
      </w:r>
      <w:r w:rsidRPr="004E7B18">
        <w:rPr>
          <w:rFonts w:ascii="Arial" w:hAnsi="Arial" w:cs="Arial"/>
          <w:sz w:val="24"/>
          <w:szCs w:val="24"/>
        </w:rPr>
        <w:t>inicialmente estimado em um ano. Posteriormente, em 1975, ele revisou sua projeção para um intervalo de aproximadamente dois anos. Essa observação reflete não apenas avanços tecnológicos, mas também os limites físicos e econômicos da produção de semicondutores.</w:t>
      </w:r>
    </w:p>
    <w:p w14:paraId="089255AD" w14:textId="3415FAC6" w:rsidR="005A44D5" w:rsidRPr="004E7B18" w:rsidRDefault="005A44D5" w:rsidP="004E7B18">
      <w:pPr>
        <w:jc w:val="both"/>
        <w:rPr>
          <w:rFonts w:ascii="Arial" w:hAnsi="Arial" w:cs="Arial"/>
          <w:sz w:val="24"/>
          <w:szCs w:val="24"/>
        </w:rPr>
      </w:pPr>
      <w:r w:rsidRPr="004E7B18">
        <w:rPr>
          <w:rFonts w:ascii="Arial" w:hAnsi="Arial" w:cs="Arial"/>
          <w:sz w:val="24"/>
          <w:szCs w:val="24"/>
        </w:rPr>
        <w:t>A Lei de Moore tem sido objeto de extenso estudo e análise por parte da comunidade científica e da indústria de semicondutores. Estudos recentes têm demonstrado que, embora o ritmo de aumento na densidade de transistores tenha diminuído em comparação com as projeções originais, a Lei de Moore continua a ser uma tendência válida na evolução da tecnologia de semicondutores.</w:t>
      </w:r>
    </w:p>
    <w:p w14:paraId="63C35099" w14:textId="4A4257EB" w:rsidR="005A44D5" w:rsidRPr="004E7B18" w:rsidRDefault="005A44D5" w:rsidP="004E7B18">
      <w:pPr>
        <w:jc w:val="both"/>
        <w:rPr>
          <w:rFonts w:ascii="Arial" w:hAnsi="Arial" w:cs="Arial"/>
          <w:sz w:val="24"/>
          <w:szCs w:val="24"/>
        </w:rPr>
      </w:pPr>
      <w:r w:rsidRPr="004E7B18">
        <w:rPr>
          <w:rFonts w:ascii="Arial" w:hAnsi="Arial" w:cs="Arial"/>
          <w:sz w:val="24"/>
          <w:szCs w:val="24"/>
        </w:rPr>
        <w:t>Vários fatores têm contribuído para a sustentação dessa tendência, incluindo avanços em técnicas de fabricação de semicondutores, novos materiais e arquiteturas de chips, além de demandas crescentes por poder computacional em uma variedade de aplicações, como inteligência artificial, computação em nuvem e dispositivos móveis.</w:t>
      </w:r>
    </w:p>
    <w:p w14:paraId="7E0D1086" w14:textId="6E33B1FA" w:rsidR="005A44D5" w:rsidRPr="004E7B18" w:rsidRDefault="005A44D5" w:rsidP="004E7B18">
      <w:pPr>
        <w:jc w:val="both"/>
        <w:rPr>
          <w:rFonts w:ascii="Arial" w:hAnsi="Arial" w:cs="Arial"/>
          <w:sz w:val="24"/>
          <w:szCs w:val="24"/>
        </w:rPr>
      </w:pPr>
      <w:r w:rsidRPr="004E7B18">
        <w:rPr>
          <w:rFonts w:ascii="Arial" w:hAnsi="Arial" w:cs="Arial"/>
          <w:sz w:val="24"/>
          <w:szCs w:val="24"/>
        </w:rPr>
        <w:t>No entanto, é importante notar que a Lei de Moore não é uma lei física fundamental, mas sim uma observação empírica baseada em tendências históricas na indústria de semicondutores. Portanto, sua continuidade no longo prazo não está garantida e depende da capacidade da indústria de superar os desafios tecnológicos e econômicos que surgem à medida que os limites da miniaturização são alcançados.</w:t>
      </w:r>
    </w:p>
    <w:p w14:paraId="699062A0" w14:textId="01345240" w:rsidR="005A44D5" w:rsidRPr="004E7B18" w:rsidRDefault="005A44D5" w:rsidP="004E7B18">
      <w:pPr>
        <w:rPr>
          <w:rFonts w:ascii="Arial" w:hAnsi="Arial" w:cs="Arial"/>
          <w:b/>
          <w:bCs/>
          <w:sz w:val="28"/>
          <w:szCs w:val="28"/>
        </w:rPr>
      </w:pPr>
      <w:r w:rsidRPr="004E7B18">
        <w:rPr>
          <w:rFonts w:ascii="Arial" w:hAnsi="Arial" w:cs="Arial"/>
          <w:b/>
          <w:bCs/>
          <w:sz w:val="28"/>
          <w:szCs w:val="28"/>
        </w:rPr>
        <w:t>Referências Bibliográficas:</w:t>
      </w:r>
    </w:p>
    <w:p w14:paraId="4DCD1494" w14:textId="0D57B121" w:rsidR="004E7B18" w:rsidRPr="004E7B18" w:rsidRDefault="004E7B18" w:rsidP="004E7B18">
      <w:pPr>
        <w:numPr>
          <w:ilvl w:val="0"/>
          <w:numId w:val="2"/>
        </w:numPr>
        <w:jc w:val="both"/>
        <w:rPr>
          <w:rFonts w:ascii="Arial" w:hAnsi="Arial" w:cs="Arial"/>
        </w:rPr>
      </w:pPr>
      <w:r w:rsidRPr="004E7B18">
        <w:rPr>
          <w:rFonts w:ascii="Arial" w:hAnsi="Arial" w:cs="Arial"/>
        </w:rPr>
        <w:t xml:space="preserve">K. </w:t>
      </w:r>
      <w:proofErr w:type="spellStart"/>
      <w:r w:rsidRPr="004E7B18">
        <w:rPr>
          <w:rFonts w:ascii="Arial" w:hAnsi="Arial" w:cs="Arial"/>
        </w:rPr>
        <w:t>Waldrop</w:t>
      </w:r>
      <w:proofErr w:type="spellEnd"/>
      <w:r w:rsidRPr="004E7B18">
        <w:rPr>
          <w:rFonts w:ascii="Arial" w:hAnsi="Arial" w:cs="Arial"/>
        </w:rPr>
        <w:t xml:space="preserve">, "The Chips Are Down for </w:t>
      </w:r>
      <w:proofErr w:type="spellStart"/>
      <w:r w:rsidRPr="004E7B18">
        <w:rPr>
          <w:rFonts w:ascii="Arial" w:hAnsi="Arial" w:cs="Arial"/>
        </w:rPr>
        <w:t>Moore’s</w:t>
      </w:r>
      <w:proofErr w:type="spellEnd"/>
      <w:r w:rsidRPr="004E7B18">
        <w:rPr>
          <w:rFonts w:ascii="Arial" w:hAnsi="Arial" w:cs="Arial"/>
        </w:rPr>
        <w:t xml:space="preserve"> Law", </w:t>
      </w:r>
      <w:proofErr w:type="spellStart"/>
      <w:r w:rsidRPr="004E7B18">
        <w:rPr>
          <w:rFonts w:ascii="Arial" w:hAnsi="Arial" w:cs="Arial"/>
        </w:rPr>
        <w:t>Nature</w:t>
      </w:r>
      <w:proofErr w:type="spellEnd"/>
      <w:r w:rsidRPr="004E7B18">
        <w:rPr>
          <w:rFonts w:ascii="Arial" w:hAnsi="Arial" w:cs="Arial"/>
        </w:rPr>
        <w:t xml:space="preserve">, vol. 530, no. 7589, pp. 144-147, 2016. </w:t>
      </w:r>
      <w:r w:rsidRPr="004E7B18">
        <w:rPr>
          <w:rFonts w:ascii="Arial" w:hAnsi="Arial" w:cs="Arial"/>
        </w:rPr>
        <w:t xml:space="preserve">Disponível em: </w:t>
      </w:r>
      <w:hyperlink r:id="rId5" w:history="1">
        <w:r w:rsidRPr="004E7B18">
          <w:rPr>
            <w:rStyle w:val="Hyperlink"/>
            <w:rFonts w:ascii="Arial" w:hAnsi="Arial" w:cs="Arial"/>
          </w:rPr>
          <w:t>https://www.nature.com/articles/530144a</w:t>
        </w:r>
      </w:hyperlink>
      <w:r w:rsidRPr="004E7B18">
        <w:rPr>
          <w:rFonts w:ascii="Arial" w:hAnsi="Arial" w:cs="Arial"/>
        </w:rPr>
        <w:t xml:space="preserve"> </w:t>
      </w:r>
    </w:p>
    <w:p w14:paraId="17CCBD88" w14:textId="79784A21" w:rsidR="004E7B18" w:rsidRPr="004E7B18" w:rsidRDefault="004E7B18" w:rsidP="004E7B18">
      <w:pPr>
        <w:numPr>
          <w:ilvl w:val="0"/>
          <w:numId w:val="2"/>
        </w:numPr>
        <w:jc w:val="both"/>
        <w:rPr>
          <w:rFonts w:ascii="Arial" w:hAnsi="Arial" w:cs="Arial"/>
        </w:rPr>
      </w:pPr>
      <w:r w:rsidRPr="004E7B18">
        <w:rPr>
          <w:rFonts w:ascii="Arial" w:hAnsi="Arial" w:cs="Arial"/>
        </w:rPr>
        <w:t>T. F. C. Smith, "</w:t>
      </w:r>
      <w:proofErr w:type="spellStart"/>
      <w:r w:rsidRPr="004E7B18">
        <w:rPr>
          <w:rFonts w:ascii="Arial" w:hAnsi="Arial" w:cs="Arial"/>
        </w:rPr>
        <w:t>Moore’s</w:t>
      </w:r>
      <w:proofErr w:type="spellEnd"/>
      <w:r w:rsidRPr="004E7B18">
        <w:rPr>
          <w:rFonts w:ascii="Arial" w:hAnsi="Arial" w:cs="Arial"/>
        </w:rPr>
        <w:t xml:space="preserve"> Law: </w:t>
      </w:r>
      <w:proofErr w:type="spellStart"/>
      <w:r w:rsidRPr="004E7B18">
        <w:rPr>
          <w:rFonts w:ascii="Arial" w:hAnsi="Arial" w:cs="Arial"/>
        </w:rPr>
        <w:t>Past</w:t>
      </w:r>
      <w:proofErr w:type="spellEnd"/>
      <w:r w:rsidRPr="004E7B18">
        <w:rPr>
          <w:rFonts w:ascii="Arial" w:hAnsi="Arial" w:cs="Arial"/>
        </w:rPr>
        <w:t xml:space="preserve">, </w:t>
      </w:r>
      <w:proofErr w:type="spellStart"/>
      <w:r w:rsidRPr="004E7B18">
        <w:rPr>
          <w:rFonts w:ascii="Arial" w:hAnsi="Arial" w:cs="Arial"/>
        </w:rPr>
        <w:t>Present</w:t>
      </w:r>
      <w:proofErr w:type="spellEnd"/>
      <w:r w:rsidRPr="004E7B18">
        <w:rPr>
          <w:rFonts w:ascii="Arial" w:hAnsi="Arial" w:cs="Arial"/>
        </w:rPr>
        <w:t xml:space="preserve"> </w:t>
      </w:r>
      <w:proofErr w:type="spellStart"/>
      <w:r w:rsidRPr="004E7B18">
        <w:rPr>
          <w:rFonts w:ascii="Arial" w:hAnsi="Arial" w:cs="Arial"/>
        </w:rPr>
        <w:t>and</w:t>
      </w:r>
      <w:proofErr w:type="spellEnd"/>
      <w:r w:rsidRPr="004E7B18">
        <w:rPr>
          <w:rFonts w:ascii="Arial" w:hAnsi="Arial" w:cs="Arial"/>
        </w:rPr>
        <w:t xml:space="preserve"> Future", </w:t>
      </w:r>
      <w:proofErr w:type="spellStart"/>
      <w:r w:rsidRPr="004E7B18">
        <w:rPr>
          <w:rFonts w:ascii="Arial" w:hAnsi="Arial" w:cs="Arial"/>
        </w:rPr>
        <w:t>Proceedings</w:t>
      </w:r>
      <w:proofErr w:type="spellEnd"/>
      <w:r w:rsidRPr="004E7B18">
        <w:rPr>
          <w:rFonts w:ascii="Arial" w:hAnsi="Arial" w:cs="Arial"/>
        </w:rPr>
        <w:t xml:space="preserve"> </w:t>
      </w:r>
      <w:proofErr w:type="spellStart"/>
      <w:r w:rsidRPr="004E7B18">
        <w:rPr>
          <w:rFonts w:ascii="Arial" w:hAnsi="Arial" w:cs="Arial"/>
        </w:rPr>
        <w:t>of</w:t>
      </w:r>
      <w:proofErr w:type="spellEnd"/>
      <w:r w:rsidRPr="004E7B18">
        <w:rPr>
          <w:rFonts w:ascii="Arial" w:hAnsi="Arial" w:cs="Arial"/>
        </w:rPr>
        <w:t xml:space="preserve"> </w:t>
      </w:r>
      <w:proofErr w:type="spellStart"/>
      <w:r w:rsidRPr="004E7B18">
        <w:rPr>
          <w:rFonts w:ascii="Arial" w:hAnsi="Arial" w:cs="Arial"/>
        </w:rPr>
        <w:t>the</w:t>
      </w:r>
      <w:proofErr w:type="spellEnd"/>
      <w:r w:rsidRPr="004E7B18">
        <w:rPr>
          <w:rFonts w:ascii="Arial" w:hAnsi="Arial" w:cs="Arial"/>
        </w:rPr>
        <w:t xml:space="preserve"> IEEE, vol. 86, no. 1, pp. 82-85, 1998. </w:t>
      </w:r>
      <w:hyperlink r:id="rId6" w:history="1">
        <w:r w:rsidRPr="004E7B18">
          <w:rPr>
            <w:rStyle w:val="Hyperlink"/>
            <w:rFonts w:ascii="Arial" w:hAnsi="Arial" w:cs="Arial"/>
          </w:rPr>
          <w:t>https://ieeexplore.ieee.org/document/658762</w:t>
        </w:r>
      </w:hyperlink>
      <w:r w:rsidRPr="004E7B18">
        <w:rPr>
          <w:rFonts w:ascii="Arial" w:hAnsi="Arial" w:cs="Arial"/>
        </w:rPr>
        <w:t xml:space="preserve"> </w:t>
      </w:r>
    </w:p>
    <w:p w14:paraId="3477F94A" w14:textId="5399770E" w:rsidR="005A44D5" w:rsidRPr="004E7B18" w:rsidRDefault="004E7B18" w:rsidP="004E7B18">
      <w:pPr>
        <w:numPr>
          <w:ilvl w:val="0"/>
          <w:numId w:val="2"/>
        </w:numPr>
        <w:jc w:val="both"/>
        <w:rPr>
          <w:rFonts w:ascii="Arial" w:hAnsi="Arial" w:cs="Arial"/>
        </w:rPr>
      </w:pPr>
      <w:r w:rsidRPr="004E7B18">
        <w:rPr>
          <w:rFonts w:ascii="Arial" w:hAnsi="Arial" w:cs="Arial"/>
        </w:rPr>
        <w:t xml:space="preserve">M. T. Bohr, "The Evolution </w:t>
      </w:r>
      <w:proofErr w:type="spellStart"/>
      <w:r w:rsidRPr="004E7B18">
        <w:rPr>
          <w:rFonts w:ascii="Arial" w:hAnsi="Arial" w:cs="Arial"/>
        </w:rPr>
        <w:t>of</w:t>
      </w:r>
      <w:proofErr w:type="spellEnd"/>
      <w:r w:rsidRPr="004E7B18">
        <w:rPr>
          <w:rFonts w:ascii="Arial" w:hAnsi="Arial" w:cs="Arial"/>
        </w:rPr>
        <w:t xml:space="preserve"> </w:t>
      </w:r>
      <w:proofErr w:type="spellStart"/>
      <w:r w:rsidRPr="004E7B18">
        <w:rPr>
          <w:rFonts w:ascii="Arial" w:hAnsi="Arial" w:cs="Arial"/>
        </w:rPr>
        <w:t>Moore’s</w:t>
      </w:r>
      <w:proofErr w:type="spellEnd"/>
      <w:r w:rsidRPr="004E7B18">
        <w:rPr>
          <w:rFonts w:ascii="Arial" w:hAnsi="Arial" w:cs="Arial"/>
        </w:rPr>
        <w:t xml:space="preserve"> Law", IEEE </w:t>
      </w:r>
      <w:proofErr w:type="spellStart"/>
      <w:r w:rsidRPr="004E7B18">
        <w:rPr>
          <w:rFonts w:ascii="Arial" w:hAnsi="Arial" w:cs="Arial"/>
        </w:rPr>
        <w:t>Solid-State</w:t>
      </w:r>
      <w:proofErr w:type="spellEnd"/>
      <w:r w:rsidRPr="004E7B18">
        <w:rPr>
          <w:rFonts w:ascii="Arial" w:hAnsi="Arial" w:cs="Arial"/>
        </w:rPr>
        <w:t xml:space="preserve"> </w:t>
      </w:r>
      <w:proofErr w:type="spellStart"/>
      <w:r w:rsidRPr="004E7B18">
        <w:rPr>
          <w:rFonts w:ascii="Arial" w:hAnsi="Arial" w:cs="Arial"/>
        </w:rPr>
        <w:t>Circuits</w:t>
      </w:r>
      <w:proofErr w:type="spellEnd"/>
      <w:r w:rsidRPr="004E7B18">
        <w:rPr>
          <w:rFonts w:ascii="Arial" w:hAnsi="Arial" w:cs="Arial"/>
        </w:rPr>
        <w:t xml:space="preserve"> Society Newsletter, vol. 16, no. 2, pp. 10-13, 2011. </w:t>
      </w:r>
      <w:hyperlink r:id="rId7" w:history="1">
        <w:r w:rsidRPr="004E7B18">
          <w:rPr>
            <w:rStyle w:val="Hyperlink"/>
            <w:rFonts w:ascii="Arial" w:hAnsi="Arial" w:cs="Arial"/>
          </w:rPr>
          <w:t>https://ieeexplore.ieee.org/document/5755505</w:t>
        </w:r>
      </w:hyperlink>
      <w:r w:rsidRPr="004E7B18">
        <w:rPr>
          <w:rFonts w:ascii="Arial" w:hAnsi="Arial" w:cs="Arial"/>
        </w:rPr>
        <w:t xml:space="preserve"> </w:t>
      </w:r>
    </w:p>
    <w:sectPr w:rsidR="005A44D5" w:rsidRPr="004E7B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80034"/>
    <w:multiLevelType w:val="multilevel"/>
    <w:tmpl w:val="0F32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8A3021"/>
    <w:multiLevelType w:val="multilevel"/>
    <w:tmpl w:val="46E8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0997787">
    <w:abstractNumId w:val="1"/>
  </w:num>
  <w:num w:numId="2" w16cid:durableId="2046830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4D5"/>
    <w:rsid w:val="004E5150"/>
    <w:rsid w:val="004E7B18"/>
    <w:rsid w:val="005A44D5"/>
    <w:rsid w:val="00870F50"/>
    <w:rsid w:val="00B331ED"/>
    <w:rsid w:val="00CB4A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AE93"/>
  <w15:chartTrackingRefBased/>
  <w15:docId w15:val="{E8D2680A-19E5-4A58-9B52-544D2464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A44D5"/>
    <w:rPr>
      <w:color w:val="0563C1" w:themeColor="hyperlink"/>
      <w:u w:val="single"/>
    </w:rPr>
  </w:style>
  <w:style w:type="character" w:styleId="MenoPendente">
    <w:name w:val="Unresolved Mention"/>
    <w:basedOn w:val="Fontepargpadro"/>
    <w:uiPriority w:val="99"/>
    <w:semiHidden/>
    <w:unhideWhenUsed/>
    <w:rsid w:val="005A44D5"/>
    <w:rPr>
      <w:color w:val="605E5C"/>
      <w:shd w:val="clear" w:color="auto" w:fill="E1DFDD"/>
    </w:rPr>
  </w:style>
  <w:style w:type="character" w:styleId="HiperlinkVisitado">
    <w:name w:val="FollowedHyperlink"/>
    <w:basedOn w:val="Fontepargpadro"/>
    <w:uiPriority w:val="99"/>
    <w:semiHidden/>
    <w:unhideWhenUsed/>
    <w:rsid w:val="004E7B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689375">
      <w:bodyDiv w:val="1"/>
      <w:marLeft w:val="0"/>
      <w:marRight w:val="0"/>
      <w:marTop w:val="0"/>
      <w:marBottom w:val="0"/>
      <w:divBdr>
        <w:top w:val="none" w:sz="0" w:space="0" w:color="auto"/>
        <w:left w:val="none" w:sz="0" w:space="0" w:color="auto"/>
        <w:bottom w:val="none" w:sz="0" w:space="0" w:color="auto"/>
        <w:right w:val="none" w:sz="0" w:space="0" w:color="auto"/>
      </w:divBdr>
    </w:div>
    <w:div w:id="1744529223">
      <w:bodyDiv w:val="1"/>
      <w:marLeft w:val="0"/>
      <w:marRight w:val="0"/>
      <w:marTop w:val="0"/>
      <w:marBottom w:val="0"/>
      <w:divBdr>
        <w:top w:val="none" w:sz="0" w:space="0" w:color="auto"/>
        <w:left w:val="none" w:sz="0" w:space="0" w:color="auto"/>
        <w:bottom w:val="none" w:sz="0" w:space="0" w:color="auto"/>
        <w:right w:val="none" w:sz="0" w:space="0" w:color="auto"/>
      </w:divBdr>
    </w:div>
    <w:div w:id="1846702905">
      <w:bodyDiv w:val="1"/>
      <w:marLeft w:val="0"/>
      <w:marRight w:val="0"/>
      <w:marTop w:val="0"/>
      <w:marBottom w:val="0"/>
      <w:divBdr>
        <w:top w:val="none" w:sz="0" w:space="0" w:color="auto"/>
        <w:left w:val="none" w:sz="0" w:space="0" w:color="auto"/>
        <w:bottom w:val="none" w:sz="0" w:space="0" w:color="auto"/>
        <w:right w:val="none" w:sz="0" w:space="0" w:color="auto"/>
      </w:divBdr>
    </w:div>
    <w:div w:id="186706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57555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658762" TargetMode="External"/><Relationship Id="rId5" Type="http://schemas.openxmlformats.org/officeDocument/2006/relationships/hyperlink" Target="https://www.nature.com/articles/530144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399</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EDUARDO ELESBAO FILHO</dc:creator>
  <cp:keywords/>
  <dc:description/>
  <cp:lastModifiedBy>JOSE EDUARDO ELESBAO FILHO</cp:lastModifiedBy>
  <cp:revision>1</cp:revision>
  <dcterms:created xsi:type="dcterms:W3CDTF">2024-04-15T12:41:00Z</dcterms:created>
  <dcterms:modified xsi:type="dcterms:W3CDTF">2024-04-15T13:11:00Z</dcterms:modified>
</cp:coreProperties>
</file>