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Adaptacion de dominio para reconocimiento automatico de modulaciones digitales</w:t>
      </w:r>
    </w:p>
    <w:p>
      <w:pPr>
        <w:pStyle w:val="Subtitle"/>
      </w:pPr>
      <w:r>
        <w:t>Senales IQ sinteticas, rasgos DSP e inteligencia artificial ligera</w:t>
      </w:r>
    </w:p>
    <w:p>
      <w:r>
        <w:rPr>
          <w:b/>
        </w:rPr>
        <w:t>Resumen ejecutivo para asesor</w:t>
      </w:r>
      <w:r>
        <w:t xml:space="preserve"> | Preparado para reunion con asesor: 18 de mayo de 2026</w:t>
      </w:r>
    </w:p>
    <w:p>
      <w:pPr>
        <w:pStyle w:val="Heading1"/>
      </w:pPr>
      <w:r>
        <w:t>Mensaje central</w:t>
      </w:r>
    </w:p>
    <w:p>
      <w:r>
        <w:t>El proyecto ya no se presenta como un clasificador comun de modulaciones. La vision defendible es estudiar la brecha entre entrenamiento sintetico controlado y evaluacion en condiciones objetivo mas realistas, usando una solucion ligera e interpretable.</w:t>
      </w:r>
    </w:p>
    <w:p>
      <w:pPr>
        <w:pStyle w:val="Heading1"/>
      </w:pPr>
      <w:r>
        <w:t>Estado actual</w:t>
      </w:r>
    </w:p>
    <w:p>
      <w:pPr>
        <w:pStyle w:val="ListBullet"/>
      </w:pPr>
      <w:r>
        <w:t>Pipeline funcional: generacion IQ, canal simulado, extraccion de 36 rasgos DSP y MLP ligero en NumPy.</w:t>
      </w:r>
    </w:p>
    <w:p>
      <w:pPr>
        <w:pStyle w:val="ListBullet"/>
      </w:pPr>
      <w:r>
        <w:t>Experimento base: 97.9% de accuracy de prueba.</w:t>
      </w:r>
    </w:p>
    <w:p>
      <w:pPr>
        <w:pStyle w:val="ListBullet"/>
      </w:pPr>
      <w:r>
        <w:t>Comparacion de soporte: MLP 98.0% contra baseline DSP 82.1%.</w:t>
      </w:r>
    </w:p>
    <w:p>
      <w:pPr>
        <w:pStyle w:val="ListBullet"/>
      </w:pPr>
      <w:r>
        <w:t>Diagnostico de cambio de dominio implementado como Fase 1.</w:t>
      </w:r>
    </w:p>
    <w:p>
      <w:pPr>
        <w:pStyle w:val="Heading1"/>
      </w:pPr>
      <w:r>
        <w:t>Resultado que justifica la investigacion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Escenario</w:t>
            </w:r>
          </w:p>
        </w:tc>
        <w:tc>
          <w:tcPr>
            <w:tcW w:type="dxa" w:w="2340"/>
            <w:shd w:fill="E8EEF5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Accuracy objetivo</w:t>
            </w:r>
          </w:p>
        </w:tc>
        <w:tc>
          <w:tcPr>
            <w:tcW w:type="dxa" w:w="2340"/>
            <w:shd w:fill="E8EEF5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Caida</w:t>
            </w:r>
          </w:p>
        </w:tc>
        <w:tc>
          <w:tcPr>
            <w:tcW w:type="dxa" w:w="2340"/>
            <w:shd w:fill="E8EEF5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Lectura para el asesor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source_holdout_awgn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0.0 pp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Referencia alta: entrenamiento y prueba similares.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target_awgn_low_snr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82.9%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17.1 pp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Baja por ruido y mayor offset; primer signo de fragilidad.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target_rayleigh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95.7%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4.3 pp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Se mantiene alto en esta simulacion.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target_multipath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73.3%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26.7 pp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Baja fuerte; multipath deforma la senal.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target_harsh_multipath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60.1%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39.9 pp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b w:val="0"/>
                <w:sz w:val="19"/>
              </w:rPr>
              <w:t>Caso critico; justifica adaptacion.</w:t>
            </w:r>
          </w:p>
        </w:tc>
      </w:tr>
    </w:tbl>
    <w:p>
      <w:pPr>
        <w:pStyle w:val="Heading1"/>
      </w:pPr>
      <w:r>
        <w:t>Antecedentes</w:t>
      </w:r>
    </w:p>
    <w:p>
      <w:r>
        <w:t>La clasificacion automatica de modulaciones y la adaptacion de dominio ya tienen antecedentes en la literatura. Por eso, el proyecto no debe defenderse como una novedad absoluta en AMC, sino como una propuesta ligera, interpretable y reproducible para medir y recuperar rendimiento ante cambio de dominio.</w:t>
      </w:r>
    </w:p>
    <w:p>
      <w:pPr>
        <w:pStyle w:val="Heading1"/>
      </w:pPr>
      <w:r>
        <w:t>Decision que se busca del asesor</w:t>
      </w:r>
    </w:p>
    <w:p>
      <w:pPr>
        <w:pStyle w:val="ListNumber"/>
      </w:pPr>
      <w:r>
        <w:t>Validar que el foco sea adaptacion de dominio y no solo clasificacion de modulaciones.</w:t>
      </w:r>
    </w:p>
    <w:p>
      <w:pPr>
        <w:pStyle w:val="ListNumber"/>
      </w:pPr>
      <w:r>
        <w:t>Aprobar la ruta Fase 2: normalizacion del dominio objetivo sin etiquetas.</w:t>
      </w:r>
    </w:p>
    <w:p>
      <w:pPr>
        <w:pStyle w:val="ListNumber"/>
      </w:pPr>
      <w:r>
        <w:t>Decidir si la version final debe quedarse sintetica-controlada o incorporar RadioML/capturas SDR como dominio objetivo.</w:t>
      </w:r>
    </w:p>
    <w:p>
      <w:pPr>
        <w:pStyle w:val="Heading1"/>
      </w:pPr>
      <w:r>
        <w:t>Siguiente paso propuesto</w:t>
      </w:r>
    </w:p>
    <w:p>
      <w:r>
        <w:t>Implementar Fase 2 y medir si la normalizacion del dominio objetivo recupera parte de la caida observada en multipath y bajo SNR.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4454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