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A365D"/>
          <w:sz w:val="44"/>
        </w:rPr>
        <w:t>Informe de Análisis y Evaluación de Rúbrica</w:t>
        <w:br/>
        <w:t>Clasificación de Imágenes CIFAR-10 con MLP</w:t>
      </w:r>
    </w:p>
    <w:p>
      <w:pPr>
        <w:spacing w:after="360"/>
      </w:pPr>
      <w:r>
        <w:rPr>
          <w:i/>
          <w:color w:val="4A5568"/>
          <w:sz w:val="24"/>
        </w:rPr>
        <w:t>Evaluación Parcial N°1 — DEEP LEARNING (DLY0100)</w:t>
        <w:br/>
        <w:t>Estudiante: Joscelynne Joice Díaz | Auditoría de Rúbrica y Evidencia de Notebook</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left w:val="single" w:sz="24" w:space="0" w:color="3182CE"/>
              <w:top w:val="none"/>
              <w:right w:val="none"/>
              <w:bottom w:val="none"/>
            </w:tcBorders>
          </w:tcPr>
          <w:p>
            <w:pPr>
              <w:spacing w:after="0"/>
            </w:pPr>
            <w:r>
              <w:rPr>
                <w:b/>
                <w:color w:val="2B6CB0"/>
              </w:rPr>
              <w:t xml:space="preserve">DECLARACIÓN DE AUDITORÍA: </w:t>
            </w:r>
            <w:r>
              <w:rPr>
                <w:color w:val="2D3748"/>
              </w:rPr>
              <w:t>Este informe analiza rigurosamente el contenido del notebook Evaluacion1_deep_learning.ipynb y sus salidas visibles contra la rúbrica oficial. No se ha reentrenado ningún modelo ni modificado el código original; se evalúa el cuaderno como evidencia empírica del trabajo realizado.</w:t>
            </w:r>
          </w:p>
        </w:tc>
      </w:tr>
    </w:tbl>
    <w:p>
      <w:pPr>
        <w:spacing w:after="120"/>
      </w:pPr>
    </w:p>
    <w:p>
      <w:pPr>
        <w:pStyle w:val="Heading1"/>
        <w:keepNext/>
        <w:spacing w:before="280" w:after="120"/>
      </w:pPr>
      <w:r>
        <w:rPr>
          <w:rFonts w:ascii="Calibri" w:hAnsi="Calibri"/>
          <w:b/>
          <w:color w:val="1A365D"/>
          <w:sz w:val="32"/>
        </w:rPr>
        <w:t>1. Verificación de Datos y Valores Recordados</w:t>
      </w:r>
    </w:p>
    <w:p>
      <w:r>
        <w:t>Se ha verificado cada una de las cifras recordadas por la estudiante directamente contra las salidas de código visibles en las celdas guardadas del notebook. La comprobación confirma un 100% de coincidencia exacta: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68"/>
        <w:gridCol w:w="2160"/>
        <w:gridCol w:w="1440"/>
        <w:gridCol w:w="2592"/>
      </w:tblGrid>
      <w:tr>
        <w:tc>
          <w:tcPr>
            <w:tcW w:type="dxa" w:w="2340"/>
            <w:shd w:fill="1A365D"/>
            <w:tcMar>
              <w:top w:w="120" w:type="dxa"/>
              <w:bottom w:w="120" w:type="dxa"/>
              <w:left w:w="120" w:type="dxa"/>
              <w:right w:w="120" w:type="dxa"/>
            </w:tcMar>
          </w:tcPr>
          <w:p>
            <w:r>
              <w:rPr>
                <w:b/>
                <w:color w:val="FFFFFF"/>
              </w:rPr>
              <w:t>Dato / Métrica Recordada</w:t>
            </w:r>
          </w:p>
        </w:tc>
        <w:tc>
          <w:tcPr>
            <w:tcW w:type="dxa" w:w="2340"/>
            <w:shd w:fill="1A365D"/>
            <w:tcMar>
              <w:top w:w="120" w:type="dxa"/>
              <w:bottom w:w="120" w:type="dxa"/>
              <w:left w:w="120" w:type="dxa"/>
              <w:right w:w="120" w:type="dxa"/>
            </w:tcMar>
          </w:tcPr>
          <w:p>
            <w:r>
              <w:rPr>
                <w:b/>
                <w:color w:val="FFFFFF"/>
              </w:rPr>
              <w:t>Valor Visible en Notebook</w:t>
            </w:r>
          </w:p>
        </w:tc>
        <w:tc>
          <w:tcPr>
            <w:tcW w:type="dxa" w:w="2340"/>
            <w:shd w:fill="1A365D"/>
            <w:tcMar>
              <w:top w:w="120" w:type="dxa"/>
              <w:bottom w:w="120" w:type="dxa"/>
              <w:left w:w="120" w:type="dxa"/>
              <w:right w:w="120" w:type="dxa"/>
            </w:tcMar>
          </w:tcPr>
          <w:p>
            <w:r>
              <w:rPr>
                <w:b/>
                <w:color w:val="FFFFFF"/>
              </w:rPr>
              <w:t>Resultado</w:t>
            </w:r>
          </w:p>
        </w:tc>
        <w:tc>
          <w:tcPr>
            <w:tcW w:type="dxa" w:w="2340"/>
            <w:shd w:fill="1A365D"/>
            <w:tcMar>
              <w:top w:w="120" w:type="dxa"/>
              <w:bottom w:w="120" w:type="dxa"/>
              <w:left w:w="120" w:type="dxa"/>
              <w:right w:w="120" w:type="dxa"/>
            </w:tcMar>
          </w:tcPr>
          <w:p>
            <w:r>
              <w:rPr>
                <w:b/>
                <w:color w:val="FFFFFF"/>
              </w:rPr>
              <w:t>Ubicación en Notebook</w:t>
            </w:r>
          </w:p>
        </w:tc>
      </w:tr>
      <w:tr>
        <w:tc>
          <w:tcPr>
            <w:tcW w:type="dxa" w:w="2340"/>
            <w:shd w:fill="FFFFFF"/>
            <w:tcMar>
              <w:top w:w="100" w:type="dxa"/>
              <w:bottom w:w="100" w:type="dxa"/>
              <w:left w:w="100" w:type="dxa"/>
              <w:right w:w="100" w:type="dxa"/>
            </w:tcMar>
          </w:tcPr>
          <w:p>
            <w:r>
              <w:t>Arquitectura Final</w:t>
            </w:r>
          </w:p>
        </w:tc>
        <w:tc>
          <w:tcPr>
            <w:tcW w:type="dxa" w:w="2340"/>
            <w:shd w:fill="FFFFFF"/>
            <w:tcMar>
              <w:top w:w="100" w:type="dxa"/>
              <w:bottom w:w="100" w:type="dxa"/>
              <w:left w:w="100" w:type="dxa"/>
              <w:right w:w="100" w:type="dxa"/>
            </w:tcMar>
          </w:tcPr>
          <w:p>
            <w:r>
              <w:t>512 - 256 - 128</w:t>
            </w:r>
          </w:p>
        </w:tc>
        <w:tc>
          <w:tcPr>
            <w:tcW w:type="dxa" w:w="2340"/>
            <w:shd w:fill="FFFFFF"/>
            <w:tcMar>
              <w:top w:w="100" w:type="dxa"/>
              <w:bottom w:w="100" w:type="dxa"/>
              <w:left w:w="100" w:type="dxa"/>
              <w:right w:w="100" w:type="dxa"/>
            </w:tcMar>
          </w:tcPr>
          <w:p>
            <w:r>
              <w:rPr>
                <w:b/>
                <w:color w:val="276749"/>
              </w:rPr>
              <w:t>Confirmado</w:t>
            </w:r>
          </w:p>
        </w:tc>
        <w:tc>
          <w:tcPr>
            <w:tcW w:type="dxa" w:w="2340"/>
            <w:shd w:fill="FFFFFF"/>
            <w:tcMar>
              <w:top w:w="100" w:type="dxa"/>
              <w:bottom w:w="100" w:type="dxa"/>
              <w:left w:w="100" w:type="dxa"/>
              <w:right w:w="100" w:type="dxa"/>
            </w:tcMar>
          </w:tcPr>
          <w:p>
            <w:r>
              <w:t>Celda 115 (Código y model.summary())</w:t>
            </w:r>
          </w:p>
        </w:tc>
      </w:tr>
      <w:tr>
        <w:tc>
          <w:tcPr>
            <w:tcW w:type="dxa" w:w="2340"/>
            <w:shd w:fill="F7FAFC"/>
            <w:tcMar>
              <w:top w:w="100" w:type="dxa"/>
              <w:bottom w:w="100" w:type="dxa"/>
              <w:left w:w="100" w:type="dxa"/>
              <w:right w:w="100" w:type="dxa"/>
            </w:tcMar>
          </w:tcPr>
          <w:p>
            <w:r>
              <w:t>Parámetros Entrenables</w:t>
            </w:r>
          </w:p>
        </w:tc>
        <w:tc>
          <w:tcPr>
            <w:tcW w:type="dxa" w:w="2340"/>
            <w:shd w:fill="F7FAFC"/>
            <w:tcMar>
              <w:top w:w="100" w:type="dxa"/>
              <w:bottom w:w="100" w:type="dxa"/>
              <w:left w:w="100" w:type="dxa"/>
              <w:right w:w="100" w:type="dxa"/>
            </w:tcMar>
          </w:tcPr>
          <w:p>
            <w:r>
              <w:t>1.738.890</w:t>
            </w:r>
          </w:p>
        </w:tc>
        <w:tc>
          <w:tcPr>
            <w:tcW w:type="dxa" w:w="2340"/>
            <w:shd w:fill="F7FAFC"/>
            <w:tcMar>
              <w:top w:w="100" w:type="dxa"/>
              <w:bottom w:w="100" w:type="dxa"/>
              <w:left w:w="100" w:type="dxa"/>
              <w:right w:w="100" w:type="dxa"/>
            </w:tcMar>
          </w:tcPr>
          <w:p>
            <w:r>
              <w:rPr>
                <w:b/>
                <w:color w:val="276749"/>
              </w:rPr>
              <w:t>Confirmado</w:t>
            </w:r>
          </w:p>
        </w:tc>
        <w:tc>
          <w:tcPr>
            <w:tcW w:type="dxa" w:w="2340"/>
            <w:shd w:fill="F7FAFC"/>
            <w:tcMar>
              <w:top w:w="100" w:type="dxa"/>
              <w:bottom w:w="100" w:type="dxa"/>
              <w:left w:w="100" w:type="dxa"/>
              <w:right w:w="100" w:type="dxa"/>
            </w:tcMar>
          </w:tcPr>
          <w:p>
            <w:r>
              <w:t>Celda 115 (Trainable params: 1,738,890)</w:t>
            </w:r>
          </w:p>
        </w:tc>
      </w:tr>
      <w:tr>
        <w:tc>
          <w:tcPr>
            <w:tcW w:type="dxa" w:w="2340"/>
            <w:shd w:fill="FFFFFF"/>
            <w:tcMar>
              <w:top w:w="100" w:type="dxa"/>
              <w:bottom w:w="100" w:type="dxa"/>
              <w:left w:w="100" w:type="dxa"/>
              <w:right w:w="100" w:type="dxa"/>
            </w:tcMar>
          </w:tcPr>
          <w:p>
            <w:r>
              <w:t>Mejor Accuracy Val. (ReduceLROnPlateau)</w:t>
            </w:r>
          </w:p>
        </w:tc>
        <w:tc>
          <w:tcPr>
            <w:tcW w:type="dxa" w:w="2340"/>
            <w:shd w:fill="FFFFFF"/>
            <w:tcMar>
              <w:top w:w="100" w:type="dxa"/>
              <w:bottom w:w="100" w:type="dxa"/>
              <w:left w:w="100" w:type="dxa"/>
              <w:right w:w="100" w:type="dxa"/>
            </w:tcMar>
          </w:tcPr>
          <w:p>
            <w:r>
              <w:t>50,46%</w:t>
            </w:r>
          </w:p>
        </w:tc>
        <w:tc>
          <w:tcPr>
            <w:tcW w:type="dxa" w:w="2340"/>
            <w:shd w:fill="FFFFFF"/>
            <w:tcMar>
              <w:top w:w="100" w:type="dxa"/>
              <w:bottom w:w="100" w:type="dxa"/>
              <w:left w:w="100" w:type="dxa"/>
              <w:right w:w="100" w:type="dxa"/>
            </w:tcMar>
          </w:tcPr>
          <w:p>
            <w:r>
              <w:rPr>
                <w:b/>
                <w:color w:val="276749"/>
              </w:rPr>
              <w:t>Confirmado</w:t>
            </w:r>
          </w:p>
        </w:tc>
        <w:tc>
          <w:tcPr>
            <w:tcW w:type="dxa" w:w="2340"/>
            <w:shd w:fill="FFFFFF"/>
            <w:tcMar>
              <w:top w:w="100" w:type="dxa"/>
              <w:bottom w:w="100" w:type="dxa"/>
              <w:left w:w="100" w:type="dxa"/>
              <w:right w:w="100" w:type="dxa"/>
            </w:tcMar>
          </w:tcPr>
          <w:p>
            <w:r>
              <w:t>Celdas 87, 90, 93, 94, 123 (Val Loss: 1.4816)</w:t>
            </w:r>
          </w:p>
        </w:tc>
      </w:tr>
      <w:tr>
        <w:tc>
          <w:tcPr>
            <w:tcW w:type="dxa" w:w="2340"/>
            <w:shd w:fill="F7FAFC"/>
            <w:tcMar>
              <w:top w:w="100" w:type="dxa"/>
              <w:bottom w:w="100" w:type="dxa"/>
              <w:left w:w="100" w:type="dxa"/>
              <w:right w:w="100" w:type="dxa"/>
            </w:tcMar>
          </w:tcPr>
          <w:p>
            <w:r>
              <w:t>Accuracy Validación Modelo Final</w:t>
            </w:r>
          </w:p>
        </w:tc>
        <w:tc>
          <w:tcPr>
            <w:tcW w:type="dxa" w:w="2340"/>
            <w:shd w:fill="F7FAFC"/>
            <w:tcMar>
              <w:top w:w="100" w:type="dxa"/>
              <w:bottom w:w="100" w:type="dxa"/>
              <w:left w:w="100" w:type="dxa"/>
              <w:right w:w="100" w:type="dxa"/>
            </w:tcMar>
          </w:tcPr>
          <w:p>
            <w:r>
              <w:t>40,58%</w:t>
            </w:r>
          </w:p>
        </w:tc>
        <w:tc>
          <w:tcPr>
            <w:tcW w:type="dxa" w:w="2340"/>
            <w:shd w:fill="F7FAFC"/>
            <w:tcMar>
              <w:top w:w="100" w:type="dxa"/>
              <w:bottom w:w="100" w:type="dxa"/>
              <w:left w:w="100" w:type="dxa"/>
              <w:right w:w="100" w:type="dxa"/>
            </w:tcMar>
          </w:tcPr>
          <w:p>
            <w:r>
              <w:rPr>
                <w:b/>
                <w:color w:val="276749"/>
              </w:rPr>
              <w:t>Confirmado</w:t>
            </w:r>
          </w:p>
        </w:tc>
        <w:tc>
          <w:tcPr>
            <w:tcW w:type="dxa" w:w="2340"/>
            <w:shd w:fill="F7FAFC"/>
            <w:tcMar>
              <w:top w:w="100" w:type="dxa"/>
              <w:bottom w:w="100" w:type="dxa"/>
              <w:left w:w="100" w:type="dxa"/>
              <w:right w:w="100" w:type="dxa"/>
            </w:tcMar>
          </w:tcPr>
          <w:p>
            <w:r>
              <w:t>Celdas 115, 123 (Val Loss: 1.6866, Época 30)</w:t>
            </w:r>
          </w:p>
        </w:tc>
      </w:tr>
      <w:tr>
        <w:tc>
          <w:tcPr>
            <w:tcW w:type="dxa" w:w="2340"/>
            <w:shd w:fill="FFFFFF"/>
            <w:tcMar>
              <w:top w:w="100" w:type="dxa"/>
              <w:bottom w:w="100" w:type="dxa"/>
              <w:left w:w="100" w:type="dxa"/>
              <w:right w:w="100" w:type="dxa"/>
            </w:tcMar>
          </w:tcPr>
          <w:p>
            <w:r>
              <w:t>Accuracy Prueba Modelo Final</w:t>
            </w:r>
          </w:p>
        </w:tc>
        <w:tc>
          <w:tcPr>
            <w:tcW w:type="dxa" w:w="2340"/>
            <w:shd w:fill="FFFFFF"/>
            <w:tcMar>
              <w:top w:w="100" w:type="dxa"/>
              <w:bottom w:w="100" w:type="dxa"/>
              <w:left w:w="100" w:type="dxa"/>
              <w:right w:w="100" w:type="dxa"/>
            </w:tcMar>
          </w:tcPr>
          <w:p>
            <w:r>
              <w:t>40,73%</w:t>
            </w:r>
          </w:p>
        </w:tc>
        <w:tc>
          <w:tcPr>
            <w:tcW w:type="dxa" w:w="2340"/>
            <w:shd w:fill="FFFFFF"/>
            <w:tcMar>
              <w:top w:w="100" w:type="dxa"/>
              <w:bottom w:w="100" w:type="dxa"/>
              <w:left w:w="100" w:type="dxa"/>
              <w:right w:w="100" w:type="dxa"/>
            </w:tcMar>
          </w:tcPr>
          <w:p>
            <w:r>
              <w:rPr>
                <w:b/>
                <w:color w:val="276749"/>
              </w:rPr>
              <w:t>Confirmado</w:t>
            </w:r>
          </w:p>
        </w:tc>
        <w:tc>
          <w:tcPr>
            <w:tcW w:type="dxa" w:w="2340"/>
            <w:shd w:fill="FFFFFF"/>
            <w:tcMar>
              <w:top w:w="100" w:type="dxa"/>
              <w:bottom w:w="100" w:type="dxa"/>
              <w:left w:w="100" w:type="dxa"/>
              <w:right w:w="100" w:type="dxa"/>
            </w:tcMar>
          </w:tcPr>
          <w:p>
            <w:r>
              <w:t>Celdas 119, 123, 124 (Test Loss: 1.6826)</w:t>
            </w:r>
          </w:p>
        </w:tc>
      </w:tr>
      <w:tr>
        <w:tc>
          <w:tcPr>
            <w:tcW w:type="dxa" w:w="2340"/>
            <w:shd w:fill="F7FAFC"/>
            <w:tcMar>
              <w:top w:w="100" w:type="dxa"/>
              <w:bottom w:w="100" w:type="dxa"/>
              <w:left w:w="100" w:type="dxa"/>
              <w:right w:w="100" w:type="dxa"/>
            </w:tcMar>
          </w:tcPr>
          <w:p>
            <w:r>
              <w:t>Precision Macro (Prueba)</w:t>
            </w:r>
          </w:p>
        </w:tc>
        <w:tc>
          <w:tcPr>
            <w:tcW w:type="dxa" w:w="2340"/>
            <w:shd w:fill="F7FAFC"/>
            <w:tcMar>
              <w:top w:w="100" w:type="dxa"/>
              <w:bottom w:w="100" w:type="dxa"/>
              <w:left w:w="100" w:type="dxa"/>
              <w:right w:w="100" w:type="dxa"/>
            </w:tcMar>
          </w:tcPr>
          <w:p>
            <w:r>
              <w:t>40,19%</w:t>
            </w:r>
          </w:p>
        </w:tc>
        <w:tc>
          <w:tcPr>
            <w:tcW w:type="dxa" w:w="2340"/>
            <w:shd w:fill="F7FAFC"/>
            <w:tcMar>
              <w:top w:w="100" w:type="dxa"/>
              <w:bottom w:w="100" w:type="dxa"/>
              <w:left w:w="100" w:type="dxa"/>
              <w:right w:w="100" w:type="dxa"/>
            </w:tcMar>
          </w:tcPr>
          <w:p>
            <w:r>
              <w:rPr>
                <w:b/>
                <w:color w:val="276749"/>
              </w:rPr>
              <w:t>Confirmado</w:t>
            </w:r>
          </w:p>
        </w:tc>
        <w:tc>
          <w:tcPr>
            <w:tcW w:type="dxa" w:w="2340"/>
            <w:shd w:fill="F7FAFC"/>
            <w:tcMar>
              <w:top w:w="100" w:type="dxa"/>
              <w:bottom w:w="100" w:type="dxa"/>
              <w:left w:w="100" w:type="dxa"/>
              <w:right w:w="100" w:type="dxa"/>
            </w:tcMar>
          </w:tcPr>
          <w:p>
            <w:r>
              <w:t>Celdas 119, 124 (classification_report)</w:t>
            </w:r>
          </w:p>
        </w:tc>
      </w:tr>
      <w:tr>
        <w:tc>
          <w:tcPr>
            <w:tcW w:type="dxa" w:w="2340"/>
            <w:shd w:fill="FFFFFF"/>
            <w:tcMar>
              <w:top w:w="100" w:type="dxa"/>
              <w:bottom w:w="100" w:type="dxa"/>
              <w:left w:w="100" w:type="dxa"/>
              <w:right w:w="100" w:type="dxa"/>
            </w:tcMar>
          </w:tcPr>
          <w:p>
            <w:r>
              <w:t>Recall Macro (Prueba)</w:t>
            </w:r>
          </w:p>
        </w:tc>
        <w:tc>
          <w:tcPr>
            <w:tcW w:type="dxa" w:w="2340"/>
            <w:shd w:fill="FFFFFF"/>
            <w:tcMar>
              <w:top w:w="100" w:type="dxa"/>
              <w:bottom w:w="100" w:type="dxa"/>
              <w:left w:w="100" w:type="dxa"/>
              <w:right w:w="100" w:type="dxa"/>
            </w:tcMar>
          </w:tcPr>
          <w:p>
            <w:r>
              <w:t>40,73%</w:t>
            </w:r>
          </w:p>
        </w:tc>
        <w:tc>
          <w:tcPr>
            <w:tcW w:type="dxa" w:w="2340"/>
            <w:shd w:fill="FFFFFF"/>
            <w:tcMar>
              <w:top w:w="100" w:type="dxa"/>
              <w:bottom w:w="100" w:type="dxa"/>
              <w:left w:w="100" w:type="dxa"/>
              <w:right w:w="100" w:type="dxa"/>
            </w:tcMar>
          </w:tcPr>
          <w:p>
            <w:r>
              <w:rPr>
                <w:b/>
                <w:color w:val="276749"/>
              </w:rPr>
              <w:t>Confirmado</w:t>
            </w:r>
          </w:p>
        </w:tc>
        <w:tc>
          <w:tcPr>
            <w:tcW w:type="dxa" w:w="2340"/>
            <w:shd w:fill="FFFFFF"/>
            <w:tcMar>
              <w:top w:w="100" w:type="dxa"/>
              <w:bottom w:w="100" w:type="dxa"/>
              <w:left w:w="100" w:type="dxa"/>
              <w:right w:w="100" w:type="dxa"/>
            </w:tcMar>
          </w:tcPr>
          <w:p>
            <w:r>
              <w:t>Celdas 119, 124 (classification_report)</w:t>
            </w:r>
          </w:p>
        </w:tc>
      </w:tr>
      <w:tr>
        <w:tc>
          <w:tcPr>
            <w:tcW w:type="dxa" w:w="2340"/>
            <w:shd w:fill="F7FAFC"/>
            <w:tcMar>
              <w:top w:w="100" w:type="dxa"/>
              <w:bottom w:w="100" w:type="dxa"/>
              <w:left w:w="100" w:type="dxa"/>
              <w:right w:w="100" w:type="dxa"/>
            </w:tcMar>
          </w:tcPr>
          <w:p>
            <w:r>
              <w:t>F1-Score Macro (Prueba)</w:t>
            </w:r>
          </w:p>
        </w:tc>
        <w:tc>
          <w:tcPr>
            <w:tcW w:type="dxa" w:w="2340"/>
            <w:shd w:fill="F7FAFC"/>
            <w:tcMar>
              <w:top w:w="100" w:type="dxa"/>
              <w:bottom w:w="100" w:type="dxa"/>
              <w:left w:w="100" w:type="dxa"/>
              <w:right w:w="100" w:type="dxa"/>
            </w:tcMar>
          </w:tcPr>
          <w:p>
            <w:r>
              <w:t>39,94%</w:t>
            </w:r>
          </w:p>
        </w:tc>
        <w:tc>
          <w:tcPr>
            <w:tcW w:type="dxa" w:w="2340"/>
            <w:shd w:fill="F7FAFC"/>
            <w:tcMar>
              <w:top w:w="100" w:type="dxa"/>
              <w:bottom w:w="100" w:type="dxa"/>
              <w:left w:w="100" w:type="dxa"/>
              <w:right w:w="100" w:type="dxa"/>
            </w:tcMar>
          </w:tcPr>
          <w:p>
            <w:r>
              <w:rPr>
                <w:b/>
                <w:color w:val="276749"/>
              </w:rPr>
              <w:t>Confirmado</w:t>
            </w:r>
          </w:p>
        </w:tc>
        <w:tc>
          <w:tcPr>
            <w:tcW w:type="dxa" w:w="2340"/>
            <w:shd w:fill="F7FAFC"/>
            <w:tcMar>
              <w:top w:w="100" w:type="dxa"/>
              <w:bottom w:w="100" w:type="dxa"/>
              <w:left w:w="100" w:type="dxa"/>
              <w:right w:w="100" w:type="dxa"/>
            </w:tcMar>
          </w:tcPr>
          <w:p>
            <w:r>
              <w:t>Celdas 119, 124 (classification_report)</w:t>
            </w:r>
          </w:p>
        </w:tc>
      </w:tr>
    </w:tbl>
    <w:p>
      <w:pPr>
        <w:spacing w:after="160"/>
      </w:pPr>
    </w:p>
    <w:p>
      <w:pPr>
        <w:pStyle w:val="Heading1"/>
        <w:keepNext/>
        <w:spacing w:before="280" w:after="120"/>
      </w:pPr>
      <w:r>
        <w:rPr>
          <w:rFonts w:ascii="Calibri" w:hAnsi="Calibri"/>
          <w:b/>
          <w:color w:val="1A365D"/>
          <w:sz w:val="32"/>
        </w:rPr>
        <w:t>2. Análisis de Discrepancias y Confusión entre Conjuntos (Train / Val / Test)</w:t>
      </w:r>
    </w:p>
    <w:p>
      <w:pPr>
        <w:pStyle w:val="Heading2"/>
        <w:keepNext/>
        <w:spacing w:before="280" w:after="120"/>
      </w:pPr>
      <w:r>
        <w:rPr>
          <w:rFonts w:ascii="Calibri" w:hAnsi="Calibri"/>
          <w:b/>
          <w:color w:val="2B6CB0"/>
          <w:sz w:val="26"/>
        </w:rPr>
        <w:t>2.1 Discrepancias Detectadas entre Texto Markdown y Salidas Visibles</w:t>
      </w:r>
    </w:p>
    <w:p>
      <w:r>
        <w:t>Al auditar minuciosamente el cuaderno celda por celda, se identificaron las siguientes discrepancias numéricas y de texto:</w:t>
      </w:r>
    </w:p>
    <w:p>
      <w:r>
        <w:rPr>
          <w:b/>
        </w:rPr>
        <w:t>1. Discrepancia en Sección 4 (Celdas 42 y 45 vs. Celdas 37 y 41):</w:t>
        <w:br/>
      </w:r>
      <w:r>
        <w:t>• Salida visible real (Celdas 37 y 41): El modelo base sin Dropout obtuvo Val Accuracy: 46,64% y Val Loss: 1,5004 en la época 9. El modelo con Dropout al 30% (Celda 39) obtuvo Val Accuracy: 39,88% y Val Loss: 1,6749 en la época 27.</w:t>
        <w:br/>
      </w:r>
      <w:r>
        <w:t>• Texto Markdown (Celdas 42 y 45): Afirma que el modelo base obtuvo 49,62% (Val Loss 1,4362) y habla de un 'Dropout del 10%' con 48,98%.</w:t>
        <w:br/>
      </w:r>
      <w:r>
        <w:t>• Origen del error: Las celdas Markdown 42 y 45 quedaron desactualizadas con respecto a una reejecución previa. Asimismo, la Celda 44 contiene una letra 'c' aislada resultante de un tipeo accidental.</w:t>
      </w:r>
    </w:p>
    <w:p>
      <w:r>
        <w:rPr>
          <w:b/>
        </w:rPr>
        <w:t>2. Discrepancia en Sección 5 (Celdas 54 y 55 vs. Celda 37):</w:t>
        <w:br/>
      </w:r>
      <w:r>
        <w:t>• Salida visible (Celda 54): Muestra un historial de 21 épocas con Val Accuracy: 49,62% y Val Loss: 1,4362 en la época 16.</w:t>
        <w:br/>
      </w:r>
      <w:r>
        <w:t>• Origen del error: La Celda 54 fue ejecutada sobre la variable historial_base procedente de una corrida con parámetros distintos a los mostrados en el gráfico de la Celda 37 (14 épocas con Val Acc 46,64%).</w:t>
      </w:r>
    </w:p>
    <w:p>
      <w:r>
        <w:rPr>
          <w:b/>
        </w:rPr>
        <w:t>3. Error Tipográfico en Tabla Markdown de Activaciones (Celda 72):</w:t>
        <w:br/>
      </w:r>
      <w:r>
        <w:t>• Texto Markdown (Celda 72): Indica que la pérdida de entrenamiento de Tanh es 31,8121.</w:t>
        <w:br/>
      </w:r>
      <w:r>
        <w:t>• Salida visible real (Celda 69 y texto Celda 70): La pérdida real de entrenamiento de Tanh es 1,8121. Se introdujo accidentalmente un dígito '3' al formatear la tabla manualmente.</w:t>
      </w:r>
    </w:p>
    <w:p>
      <w:pPr>
        <w:pStyle w:val="Heading2"/>
        <w:keepNext/>
        <w:spacing w:before="280" w:after="120"/>
      </w:pPr>
      <w:r>
        <w:rPr>
          <w:rFonts w:ascii="Calibri" w:hAnsi="Calibri"/>
          <w:b/>
          <w:color w:val="2B6CB0"/>
          <w:sz w:val="26"/>
        </w:rPr>
        <w:t>2.2 Evaluación del Rigor en la Distinción entre Entrenamiento, Validación y Prueba</w:t>
      </w:r>
    </w:p>
    <w:p>
      <w:r>
        <w:rPr>
          <w:b/>
        </w:rPr>
        <w:t xml:space="preserve">• Aislamiento del Conjunto de Prueba: </w:t>
      </w:r>
      <w:r>
        <w:t>Durante las Secciones 1 a 8, el código utiliza de forma estricta únicamente los conjuntos de Entrenamiento (40.000 imágenes) y Validación (10.000 imágenes). El conjunto de Prueba (10.000 imágenes) permanece completamente desacoplado hasta la Sección 9, evitando cualquier riesgo de data leakage.</w:t>
        <w:br/>
      </w:r>
      <w:r>
        <w:rPr>
          <w:b/>
        </w:rPr>
        <w:t xml:space="preserve">• Advertencia sobre Tablas Comparativas Finales (Celdas 123 y 127): </w:t>
      </w:r>
      <w:r>
        <w:t>En las tablas de resumen final (Celdas 123, 124 y 127), los valores presentados para los experimentos 1 a 8 corresponden exclusivamente a Accuracy de Validación. El modelo final es el único que incluye la métrica evaluada sobre el Conjunto de Prueba (40,73%). El texto del notebook (Celdas 124 y 127) advierte esto explícitamente, indicando que no se deben comparar directamente ambos conjuntos.</w:t>
      </w:r>
    </w:p>
    <w:p>
      <w:pPr>
        <w:pStyle w:val="Heading1"/>
        <w:keepNext/>
        <w:spacing w:before="280" w:after="120"/>
      </w:pPr>
      <w:r>
        <w:rPr>
          <w:rFonts w:ascii="Calibri" w:hAnsi="Calibri"/>
          <w:b/>
          <w:color w:val="1A365D"/>
          <w:sz w:val="32"/>
        </w:rPr>
        <w:t>3. Evaluación Detallada por Criterio de la Rúbrica</w:t>
      </w:r>
    </w:p>
    <w:p>
      <w:pPr>
        <w:pStyle w:val="Heading2"/>
        <w:keepNext/>
        <w:spacing w:before="280" w:after="120"/>
      </w:pPr>
      <w:r>
        <w:rPr>
          <w:rFonts w:ascii="Calibri" w:hAnsi="Calibri"/>
          <w:b/>
          <w:color w:val="2B6CB0"/>
          <w:sz w:val="26"/>
        </w:rPr>
        <w:t>3.1 Dimensión Grupal: Encargo (Ponderación 20%)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00" w:type="dxa"/>
              <w:bottom w:w="100" w:type="dxa"/>
              <w:left w:w="100" w:type="dxa"/>
              <w:right w:w="100" w:type="dxa"/>
            </w:tcMar>
          </w:tcPr>
          <w:p>
            <w:r>
              <w:rPr>
                <w:b/>
                <w:color w:val="FFFFFF"/>
              </w:rPr>
              <w:t>Criterio / Indicador</w:t>
            </w:r>
          </w:p>
        </w:tc>
        <w:tc>
          <w:tcPr>
            <w:tcW w:type="dxa" w:w="1872"/>
            <w:shd w:fill="1A365D"/>
            <w:tcMar>
              <w:top w:w="100" w:type="dxa"/>
              <w:bottom w:w="100" w:type="dxa"/>
              <w:left w:w="100" w:type="dxa"/>
              <w:right w:w="100" w:type="dxa"/>
            </w:tcMar>
          </w:tcPr>
          <w:p>
            <w:r>
              <w:rPr>
                <w:b/>
                <w:color w:val="FFFFFF"/>
              </w:rPr>
              <w:t>Estado</w:t>
            </w:r>
          </w:p>
        </w:tc>
        <w:tc>
          <w:tcPr>
            <w:tcW w:type="dxa" w:w="1872"/>
            <w:shd w:fill="1A365D"/>
            <w:tcMar>
              <w:top w:w="100" w:type="dxa"/>
              <w:bottom w:w="100" w:type="dxa"/>
              <w:left w:w="100" w:type="dxa"/>
              <w:right w:w="100" w:type="dxa"/>
            </w:tcMar>
          </w:tcPr>
          <w:p>
            <w:r>
              <w:rPr>
                <w:b/>
                <w:color w:val="FFFFFF"/>
              </w:rPr>
              <w:t>Evidencia Concreta (Celda)</w:t>
            </w:r>
          </w:p>
        </w:tc>
        <w:tc>
          <w:tcPr>
            <w:tcW w:type="dxa" w:w="1872"/>
            <w:shd w:fill="1A365D"/>
            <w:tcMar>
              <w:top w:w="100" w:type="dxa"/>
              <w:bottom w:w="100" w:type="dxa"/>
              <w:left w:w="100" w:type="dxa"/>
              <w:right w:w="100" w:type="dxa"/>
            </w:tcMar>
          </w:tcPr>
          <w:p>
            <w:r>
              <w:rPr>
                <w:b/>
                <w:color w:val="FFFFFF"/>
              </w:rPr>
              <w:t>Qué Presentar para Demostrarlo</w:t>
            </w:r>
          </w:p>
        </w:tc>
        <w:tc>
          <w:tcPr>
            <w:tcW w:type="dxa" w:w="1872"/>
            <w:shd w:fill="1A365D"/>
            <w:tcMar>
              <w:top w:w="100" w:type="dxa"/>
              <w:bottom w:w="100" w:type="dxa"/>
              <w:left w:w="100" w:type="dxa"/>
              <w:right w:w="100" w:type="dxa"/>
            </w:tcMar>
          </w:tcPr>
          <w:p>
            <w:r>
              <w:rPr>
                <w:b/>
                <w:color w:val="FFFFFF"/>
              </w:rPr>
              <w:t>Qué Falta o Aclarar</w:t>
            </w:r>
          </w:p>
        </w:tc>
      </w:tr>
      <w:tr>
        <w:tc>
          <w:tcPr>
            <w:tcW w:type="dxa" w:w="1872"/>
            <w:shd w:fill="FFFFFF"/>
            <w:tcMar>
              <w:top w:w="80" w:type="dxa"/>
              <w:bottom w:w="80" w:type="dxa"/>
              <w:left w:w="80" w:type="dxa"/>
              <w:right w:w="80" w:type="dxa"/>
            </w:tcMar>
          </w:tcPr>
          <w:p>
            <w:r>
              <w:t>IEE 1.1.1 Carga y preprocesamiento de datos (2%)</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12–19</w:t>
            </w:r>
          </w:p>
        </w:tc>
        <w:tc>
          <w:tcPr>
            <w:tcW w:type="dxa" w:w="1872"/>
            <w:shd w:fill="FFFFFF"/>
            <w:tcMar>
              <w:top w:w="80" w:type="dxa"/>
              <w:bottom w:w="80" w:type="dxa"/>
              <w:left w:w="80" w:type="dxa"/>
              <w:right w:w="80" w:type="dxa"/>
            </w:tcMar>
          </w:tcPr>
          <w:p>
            <w:r>
              <w:t>Tabla de tensores (Train 40k, Val 10k, Test 10k), escala [0,1], visualización por clase.</w:t>
            </w:r>
          </w:p>
        </w:tc>
        <w:tc>
          <w:tcPr>
            <w:tcW w:type="dxa" w:w="1872"/>
            <w:shd w:fill="FFFFFF"/>
            <w:tcMar>
              <w:top w:w="80" w:type="dxa"/>
              <w:bottom w:w="80" w:type="dxa"/>
              <w:left w:w="80" w:type="dxa"/>
              <w:right w:w="80" w:type="dxa"/>
            </w:tcMar>
          </w:tcPr>
          <w:p>
            <w:r>
              <w:t>Aclarar la división manual 80/20 sobre las 50k imágenes de entrenamiento.</w:t>
            </w:r>
          </w:p>
        </w:tc>
      </w:tr>
      <w:tr>
        <w:tc>
          <w:tcPr>
            <w:tcW w:type="dxa" w:w="1872"/>
            <w:shd w:fill="F7FAFC"/>
            <w:tcMar>
              <w:top w:w="80" w:type="dxa"/>
              <w:bottom w:w="80" w:type="dxa"/>
              <w:left w:w="80" w:type="dxa"/>
              <w:right w:w="80" w:type="dxa"/>
            </w:tcMar>
          </w:tcPr>
          <w:p>
            <w:r>
              <w:t>IEE 1.1.2 Configuración de parámetros clave (2%)</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Celdas 31, 96, 100, 102</w:t>
            </w:r>
          </w:p>
        </w:tc>
        <w:tc>
          <w:tcPr>
            <w:tcW w:type="dxa" w:w="1872"/>
            <w:shd w:fill="F7FAFC"/>
            <w:tcMar>
              <w:top w:w="80" w:type="dxa"/>
              <w:bottom w:w="80" w:type="dxa"/>
              <w:left w:w="80" w:type="dxa"/>
              <w:right w:w="80" w:type="dxa"/>
            </w:tcMar>
          </w:tcPr>
          <w:p>
            <w:r>
              <w:t>Tabla de matriz de hiperparámetros iniciales vs. experimentados (épocas, LR, batch).</w:t>
            </w:r>
          </w:p>
        </w:tc>
        <w:tc>
          <w:tcPr>
            <w:tcW w:type="dxa" w:w="1872"/>
            <w:shd w:fill="F7FAFC"/>
            <w:tcMar>
              <w:top w:w="80" w:type="dxa"/>
              <w:bottom w:w="80" w:type="dxa"/>
              <w:left w:w="80" w:type="dxa"/>
              <w:right w:w="80" w:type="dxa"/>
            </w:tcMar>
          </w:tcPr>
          <w:p>
            <w:r>
              <w:t>Justificar técnicamente la elección inicial de los valores base.</w:t>
            </w:r>
          </w:p>
        </w:tc>
      </w:tr>
      <w:tr>
        <w:tc>
          <w:tcPr>
            <w:tcW w:type="dxa" w:w="1872"/>
            <w:shd w:fill="FFFFFF"/>
            <w:tcMar>
              <w:top w:w="80" w:type="dxa"/>
              <w:bottom w:w="80" w:type="dxa"/>
              <w:left w:w="80" w:type="dxa"/>
              <w:right w:w="80" w:type="dxa"/>
            </w:tcMar>
          </w:tcPr>
          <w:p>
            <w:r>
              <w:t>IEE 1.1.3 Experimentos controlados OFAT (2%)</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96–107</w:t>
            </w:r>
          </w:p>
        </w:tc>
        <w:tc>
          <w:tcPr>
            <w:tcW w:type="dxa" w:w="1872"/>
            <w:shd w:fill="FFFFFF"/>
            <w:tcMar>
              <w:top w:w="80" w:type="dxa"/>
              <w:bottom w:w="80" w:type="dxa"/>
              <w:left w:w="80" w:type="dxa"/>
              <w:right w:w="80" w:type="dxa"/>
            </w:tcMar>
          </w:tcPr>
          <w:p>
            <w:r>
              <w:t>Gráficos y tabla comparativa OFAT de LR, Batch, Arquitectura y Optimizadores.</w:t>
            </w:r>
          </w:p>
        </w:tc>
        <w:tc>
          <w:tcPr>
            <w:tcW w:type="dxa" w:w="1872"/>
            <w:shd w:fill="FFFFFF"/>
            <w:tcMar>
              <w:top w:w="80" w:type="dxa"/>
              <w:bottom w:w="80" w:type="dxa"/>
              <w:left w:w="80" w:type="dxa"/>
              <w:right w:w="80" w:type="dxa"/>
            </w:tcMar>
          </w:tcPr>
          <w:p>
            <w:r>
              <w:t>Aclarar que variar un parámetro a la vez no evalúa las interacciones combinadas.</w:t>
            </w:r>
          </w:p>
        </w:tc>
      </w:tr>
      <w:tr>
        <w:tc>
          <w:tcPr>
            <w:tcW w:type="dxa" w:w="1872"/>
            <w:shd w:fill="F7FAFC"/>
            <w:tcMar>
              <w:top w:w="80" w:type="dxa"/>
              <w:bottom w:w="80" w:type="dxa"/>
              <w:left w:w="80" w:type="dxa"/>
              <w:right w:w="80" w:type="dxa"/>
            </w:tcMar>
          </w:tcPr>
          <w:p>
            <w:r>
              <w:t>IEE 1.1.4 Evaluación y ajuste según resultados (1%)</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Celdas 74, 94, 107, 112</w:t>
            </w:r>
          </w:p>
        </w:tc>
        <w:tc>
          <w:tcPr>
            <w:tcW w:type="dxa" w:w="1872"/>
            <w:shd w:fill="F7FAFC"/>
            <w:tcMar>
              <w:top w:w="80" w:type="dxa"/>
              <w:bottom w:w="80" w:type="dxa"/>
              <w:left w:w="80" w:type="dxa"/>
              <w:right w:w="80" w:type="dxa"/>
            </w:tcMar>
          </w:tcPr>
          <w:p>
            <w:r>
              <w:t>Diagrama de flujo de decisiones por etapa e hitos de mejora (ReduceLROnPlateau).</w:t>
            </w:r>
          </w:p>
        </w:tc>
        <w:tc>
          <w:tcPr>
            <w:tcW w:type="dxa" w:w="1872"/>
            <w:shd w:fill="F7FAFC"/>
            <w:tcMar>
              <w:top w:w="80" w:type="dxa"/>
              <w:bottom w:w="80" w:type="dxa"/>
              <w:left w:w="80" w:type="dxa"/>
              <w:right w:w="80" w:type="dxa"/>
            </w:tcMar>
          </w:tcPr>
          <w:p>
            <w:r>
              <w:t>Explicar por qué la combinación final no superó las pruebas individuales.</w:t>
            </w:r>
          </w:p>
        </w:tc>
      </w:tr>
      <w:tr>
        <w:tc>
          <w:tcPr>
            <w:tcW w:type="dxa" w:w="1872"/>
            <w:shd w:fill="FFFFFF"/>
            <w:tcMar>
              <w:top w:w="80" w:type="dxa"/>
              <w:bottom w:w="80" w:type="dxa"/>
              <w:left w:w="80" w:type="dxa"/>
              <w:right w:w="80" w:type="dxa"/>
            </w:tcMar>
          </w:tcPr>
          <w:p>
            <w:r>
              <w:t>IEE 1.2.1 Selección y justificación de funciones (1%)</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26, 57–74, 108–110</w:t>
            </w:r>
          </w:p>
        </w:tc>
        <w:tc>
          <w:tcPr>
            <w:tcW w:type="dxa" w:w="1872"/>
            <w:shd w:fill="FFFFFF"/>
            <w:tcMar>
              <w:top w:w="80" w:type="dxa"/>
              <w:bottom w:w="80" w:type="dxa"/>
              <w:left w:w="80" w:type="dxa"/>
              <w:right w:w="80" w:type="dxa"/>
            </w:tcMar>
          </w:tcPr>
          <w:p>
            <w:r>
              <w:t>Fórmulas de ReLU, Softmax y Crossentropy; justificación de la no-saturación de gradientes.</w:t>
            </w:r>
          </w:p>
        </w:tc>
        <w:tc>
          <w:tcPr>
            <w:tcW w:type="dxa" w:w="1872"/>
            <w:shd w:fill="FFFFFF"/>
            <w:tcMar>
              <w:top w:w="80" w:type="dxa"/>
              <w:bottom w:w="80" w:type="dxa"/>
              <w:left w:w="80" w:type="dxa"/>
              <w:right w:w="80" w:type="dxa"/>
            </w:tcMar>
          </w:tcPr>
          <w:p>
            <w:r>
              <w:t>Justificar teóricamente la superioridad de Categorical Crossentropy sobre MSE.</w:t>
            </w:r>
          </w:p>
        </w:tc>
      </w:tr>
      <w:tr>
        <w:tc>
          <w:tcPr>
            <w:tcW w:type="dxa" w:w="1872"/>
            <w:shd w:fill="F7FAFC"/>
            <w:tcMar>
              <w:top w:w="80" w:type="dxa"/>
              <w:bottom w:w="80" w:type="dxa"/>
              <w:left w:w="80" w:type="dxa"/>
              <w:right w:w="80" w:type="dxa"/>
            </w:tcMar>
          </w:tcPr>
          <w:p>
            <w:r>
              <w:t>IEE 1.2.2 Comparación de funciones de activación/error (2%)</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Celdas 66, 69, 72, 109, 110</w:t>
            </w:r>
          </w:p>
        </w:tc>
        <w:tc>
          <w:tcPr>
            <w:tcW w:type="dxa" w:w="1872"/>
            <w:shd w:fill="F7FAFC"/>
            <w:tcMar>
              <w:top w:w="80" w:type="dxa"/>
              <w:bottom w:w="80" w:type="dxa"/>
              <w:left w:w="80" w:type="dxa"/>
              <w:right w:w="80" w:type="dxa"/>
            </w:tcMar>
          </w:tcPr>
          <w:p>
            <w:r>
              <w:t>Gráficos de convergencia (ReLU, Sigmoid, Tanh) y comparación Crossentropy vs. MSE.</w:t>
            </w:r>
          </w:p>
        </w:tc>
        <w:tc>
          <w:tcPr>
            <w:tcW w:type="dxa" w:w="1872"/>
            <w:shd w:fill="F7FAFC"/>
            <w:tcMar>
              <w:top w:w="80" w:type="dxa"/>
              <w:bottom w:w="80" w:type="dxa"/>
              <w:left w:w="80" w:type="dxa"/>
              <w:right w:w="80" w:type="dxa"/>
            </w:tcMar>
          </w:tcPr>
          <w:p>
            <w:r>
              <w:t>Corregir en informe el error tipográfico de Tanh Train Loss (31,8121 -&gt; 1,8121).</w:t>
            </w:r>
          </w:p>
        </w:tc>
      </w:tr>
      <w:tr>
        <w:tc>
          <w:tcPr>
            <w:tcW w:type="dxa" w:w="1872"/>
            <w:shd w:fill="FFFFFF"/>
            <w:tcMar>
              <w:top w:w="80" w:type="dxa"/>
              <w:bottom w:w="80" w:type="dxa"/>
              <w:left w:w="80" w:type="dxa"/>
              <w:right w:w="80" w:type="dxa"/>
            </w:tcMar>
          </w:tcPr>
          <w:p>
            <w:r>
              <w:t>IE 1.2.3 Pertinencia de las funciones según caso (1%)</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57, 70, 74, 110, 128</w:t>
            </w:r>
          </w:p>
        </w:tc>
        <w:tc>
          <w:tcPr>
            <w:tcW w:type="dxa" w:w="1872"/>
            <w:shd w:fill="FFFFFF"/>
            <w:tcMar>
              <w:top w:w="80" w:type="dxa"/>
              <w:bottom w:w="80" w:type="dxa"/>
              <w:left w:w="80" w:type="dxa"/>
              <w:right w:w="80" w:type="dxa"/>
            </w:tcMar>
          </w:tcPr>
          <w:p>
            <w:r>
              <w:t>Justificación de Softmax para probabilidad de 10 clases mutuamente excluyentes.</w:t>
            </w:r>
          </w:p>
        </w:tc>
        <w:tc>
          <w:tcPr>
            <w:tcW w:type="dxa" w:w="1872"/>
            <w:shd w:fill="FFFFFF"/>
            <w:tcMar>
              <w:top w:w="80" w:type="dxa"/>
              <w:bottom w:w="80" w:type="dxa"/>
              <w:left w:w="80" w:type="dxa"/>
              <w:right w:w="80" w:type="dxa"/>
            </w:tcMar>
          </w:tcPr>
          <w:p>
            <w:r>
              <w:t>Relacionar uso de ReLU con la prevención de desvanecimiento de gradiente.</w:t>
            </w:r>
          </w:p>
        </w:tc>
      </w:tr>
      <w:tr>
        <w:tc>
          <w:tcPr>
            <w:tcW w:type="dxa" w:w="1872"/>
            <w:shd w:fill="F7FAFC"/>
            <w:tcMar>
              <w:top w:w="80" w:type="dxa"/>
              <w:bottom w:w="80" w:type="dxa"/>
              <w:left w:w="80" w:type="dxa"/>
              <w:right w:w="80" w:type="dxa"/>
            </w:tcMar>
          </w:tcPr>
          <w:p>
            <w:r>
              <w:t>IE 1.3.1 Arquitectura MLP coherente (1%)</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Celdas 22–28, 115</w:t>
            </w:r>
          </w:p>
        </w:tc>
        <w:tc>
          <w:tcPr>
            <w:tcW w:type="dxa" w:w="1872"/>
            <w:shd w:fill="F7FAFC"/>
            <w:tcMar>
              <w:top w:w="80" w:type="dxa"/>
              <w:bottom w:w="80" w:type="dxa"/>
              <w:left w:w="80" w:type="dxa"/>
              <w:right w:w="80" w:type="dxa"/>
            </w:tcMar>
          </w:tcPr>
          <w:p>
            <w:r>
              <w:t>Esquema visual de la red (Celda 28) y desglose de parámetros (1.738.890 totales).</w:t>
            </w:r>
          </w:p>
        </w:tc>
        <w:tc>
          <w:tcPr>
            <w:tcW w:type="dxa" w:w="1872"/>
            <w:shd w:fill="F7FAFC"/>
            <w:tcMar>
              <w:top w:w="80" w:type="dxa"/>
              <w:bottom w:w="80" w:type="dxa"/>
              <w:left w:w="80" w:type="dxa"/>
              <w:right w:w="80" w:type="dxa"/>
            </w:tcMar>
          </w:tcPr>
          <w:p>
            <w:r>
              <w:t>Justificar aplanamiento (Flatten) a 3072 y la pérdida de dimensión espacial.</w:t>
            </w:r>
          </w:p>
        </w:tc>
      </w:tr>
      <w:tr>
        <w:tc>
          <w:tcPr>
            <w:tcW w:type="dxa" w:w="1872"/>
            <w:shd w:fill="FFFFFF"/>
            <w:tcMar>
              <w:top w:w="80" w:type="dxa"/>
              <w:bottom w:w="80" w:type="dxa"/>
              <w:left w:w="80" w:type="dxa"/>
              <w:right w:w="80" w:type="dxa"/>
            </w:tcMar>
          </w:tcPr>
          <w:p>
            <w:r>
              <w:t>IEE 1.3.2 Optimización y regularización (2%)</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76–94</w:t>
            </w:r>
          </w:p>
        </w:tc>
        <w:tc>
          <w:tcPr>
            <w:tcW w:type="dxa" w:w="1872"/>
            <w:shd w:fill="FFFFFF"/>
            <w:tcMar>
              <w:top w:w="80" w:type="dxa"/>
              <w:bottom w:w="80" w:type="dxa"/>
              <w:left w:w="80" w:type="dxa"/>
              <w:right w:w="80" w:type="dxa"/>
            </w:tcMar>
          </w:tcPr>
          <w:p>
            <w:r>
              <w:t>Gráficos comparativos de sobreajuste con Dropout (10%, 30%), L2, BN y ReduceLR.</w:t>
            </w:r>
          </w:p>
        </w:tc>
        <w:tc>
          <w:tcPr>
            <w:tcW w:type="dxa" w:w="1872"/>
            <w:shd w:fill="FFFFFF"/>
            <w:tcMar>
              <w:top w:w="80" w:type="dxa"/>
              <w:bottom w:w="80" w:type="dxa"/>
              <w:left w:w="80" w:type="dxa"/>
              <w:right w:w="80" w:type="dxa"/>
            </w:tcMar>
          </w:tcPr>
          <w:p>
            <w:r>
              <w:t>Explicar por qué Batch Norm (43,88%) y Dropout 30% (39,54%) degradaron el MLP.</w:t>
            </w:r>
          </w:p>
        </w:tc>
      </w:tr>
      <w:tr>
        <w:tc>
          <w:tcPr>
            <w:tcW w:type="dxa" w:w="1872"/>
            <w:shd w:fill="F7FAFC"/>
            <w:tcMar>
              <w:top w:w="80" w:type="dxa"/>
              <w:bottom w:w="80" w:type="dxa"/>
              <w:left w:w="80" w:type="dxa"/>
              <w:right w:w="80" w:type="dxa"/>
            </w:tcMar>
          </w:tcPr>
          <w:p>
            <w:r>
              <w:t>IE 1.3.3 Análisis y ajuste de hiperparámetros (2%)</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Celdas 96–107</w:t>
            </w:r>
          </w:p>
        </w:tc>
        <w:tc>
          <w:tcPr>
            <w:tcW w:type="dxa" w:w="1872"/>
            <w:shd w:fill="F7FAFC"/>
            <w:tcMar>
              <w:top w:w="80" w:type="dxa"/>
              <w:bottom w:w="80" w:type="dxa"/>
              <w:left w:w="80" w:type="dxa"/>
              <w:right w:w="80" w:type="dxa"/>
            </w:tcMar>
          </w:tcPr>
          <w:p>
            <w:r>
              <w:t>Tabla consolidada de 12 configuraciones variadas de forma independiente.</w:t>
            </w:r>
          </w:p>
        </w:tc>
        <w:tc>
          <w:tcPr>
            <w:tcW w:type="dxa" w:w="1872"/>
            <w:shd w:fill="F7FAFC"/>
            <w:tcMar>
              <w:top w:w="80" w:type="dxa"/>
              <w:bottom w:w="80" w:type="dxa"/>
              <w:left w:w="80" w:type="dxa"/>
              <w:right w:w="80" w:type="dxa"/>
            </w:tcMar>
          </w:tcPr>
          <w:p>
            <w:r>
              <w:t>Argumentar por qué ganadores individuales fallaron al unirlos sin validación conjunta.</w:t>
            </w:r>
          </w:p>
        </w:tc>
      </w:tr>
      <w:tr>
        <w:tc>
          <w:tcPr>
            <w:tcW w:type="dxa" w:w="1872"/>
            <w:shd w:fill="FFFFFF"/>
            <w:tcMar>
              <w:top w:w="80" w:type="dxa"/>
              <w:bottom w:w="80" w:type="dxa"/>
              <w:left w:w="80" w:type="dxa"/>
              <w:right w:w="80" w:type="dxa"/>
            </w:tcMar>
          </w:tcPr>
          <w:p>
            <w:r>
              <w:t>IE 1.4.1 Evaluación mediante métricas (2%)</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118, 119, 124</w:t>
            </w:r>
          </w:p>
        </w:tc>
        <w:tc>
          <w:tcPr>
            <w:tcW w:type="dxa" w:w="1872"/>
            <w:shd w:fill="FFFFFF"/>
            <w:tcMar>
              <w:top w:w="80" w:type="dxa"/>
              <w:bottom w:w="80" w:type="dxa"/>
              <w:left w:w="80" w:type="dxa"/>
              <w:right w:w="80" w:type="dxa"/>
            </w:tcMar>
          </w:tcPr>
          <w:p>
            <w:r>
              <w:t>Classification report en Prueba: Acc 40,73%, Prec 40,19%, Rec 40,73%, F1 39,94%.</w:t>
            </w:r>
          </w:p>
        </w:tc>
        <w:tc>
          <w:tcPr>
            <w:tcW w:type="dxa" w:w="1872"/>
            <w:shd w:fill="FFFFFF"/>
            <w:tcMar>
              <w:top w:w="80" w:type="dxa"/>
              <w:bottom w:w="80" w:type="dxa"/>
              <w:left w:w="80" w:type="dxa"/>
              <w:right w:w="80" w:type="dxa"/>
            </w:tcMar>
          </w:tcPr>
          <w:p>
            <w:r>
              <w:t>Explicar la conveniencia de métricas Macro ante clases balanceadas.</w:t>
            </w:r>
          </w:p>
        </w:tc>
      </w:tr>
      <w:tr>
        <w:tc>
          <w:tcPr>
            <w:tcW w:type="dxa" w:w="1872"/>
            <w:shd w:fill="F7FAFC"/>
            <w:tcMar>
              <w:top w:w="80" w:type="dxa"/>
              <w:bottom w:w="80" w:type="dxa"/>
              <w:left w:w="80" w:type="dxa"/>
              <w:right w:w="80" w:type="dxa"/>
            </w:tcMar>
          </w:tcPr>
          <w:p>
            <w:r>
              <w:t>IE 1.4.2 Interpretación de métricas para mejora (1%)</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Celdas 120, 121, 124, 128</w:t>
            </w:r>
          </w:p>
        </w:tc>
        <w:tc>
          <w:tcPr>
            <w:tcW w:type="dxa" w:w="1872"/>
            <w:shd w:fill="F7FAFC"/>
            <w:tcMar>
              <w:top w:w="80" w:type="dxa"/>
              <w:bottom w:w="80" w:type="dxa"/>
              <w:left w:w="80" w:type="dxa"/>
              <w:right w:w="80" w:type="dxa"/>
            </w:tcMar>
          </w:tcPr>
          <w:p>
            <w:r>
              <w:t>Matriz de confusión anotada resaltando los pares con mayor error de clasificación.</w:t>
            </w:r>
          </w:p>
        </w:tc>
        <w:tc>
          <w:tcPr>
            <w:tcW w:type="dxa" w:w="1872"/>
            <w:shd w:fill="F7FAFC"/>
            <w:tcMar>
              <w:top w:w="80" w:type="dxa"/>
              <w:bottom w:w="80" w:type="dxa"/>
              <w:left w:w="80" w:type="dxa"/>
              <w:right w:w="80" w:type="dxa"/>
            </w:tcMar>
          </w:tcPr>
          <w:p>
            <w:r>
              <w:t>Vincular errores (Gato -&gt; Perro) a la falta de invariancia espacial en MLP.</w:t>
            </w:r>
          </w:p>
        </w:tc>
      </w:tr>
      <w:tr>
        <w:tc>
          <w:tcPr>
            <w:tcW w:type="dxa" w:w="1872"/>
            <w:shd w:fill="FFFFFF"/>
            <w:tcMar>
              <w:top w:w="80" w:type="dxa"/>
              <w:bottom w:w="80" w:type="dxa"/>
              <w:left w:w="80" w:type="dxa"/>
              <w:right w:w="80" w:type="dxa"/>
            </w:tcMar>
          </w:tcPr>
          <w:p>
            <w:r>
              <w:t>IE 1.4.3 Comparación de configuraciones (1%)</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94, 107, 123, 127</w:t>
            </w:r>
          </w:p>
        </w:tc>
        <w:tc>
          <w:tcPr>
            <w:tcW w:type="dxa" w:w="1872"/>
            <w:shd w:fill="FFFFFF"/>
            <w:tcMar>
              <w:top w:w="80" w:type="dxa"/>
              <w:bottom w:w="80" w:type="dxa"/>
              <w:left w:w="80" w:type="dxa"/>
              <w:right w:w="80" w:type="dxa"/>
            </w:tcMar>
          </w:tcPr>
          <w:p>
            <w:r>
              <w:t>Tabla de progresión del proyecto ordenada por validación vs. prueba final.</w:t>
            </w:r>
          </w:p>
        </w:tc>
        <w:tc>
          <w:tcPr>
            <w:tcW w:type="dxa" w:w="1872"/>
            <w:shd w:fill="FFFFFF"/>
            <w:tcMar>
              <w:top w:w="80" w:type="dxa"/>
              <w:bottom w:w="80" w:type="dxa"/>
              <w:left w:w="80" w:type="dxa"/>
              <w:right w:w="80" w:type="dxa"/>
            </w:tcMar>
          </w:tcPr>
          <w:p>
            <w:r>
              <w:t>Aclarar rigurosamente que las fases 1 a 8 muestran Val y la fase 9 muestra Prueba.</w:t>
            </w:r>
          </w:p>
        </w:tc>
      </w:tr>
    </w:tbl>
    <w:p>
      <w:pPr>
        <w:pStyle w:val="Heading2"/>
        <w:keepNext/>
        <w:spacing w:before="280" w:after="120"/>
      </w:pPr>
      <w:r>
        <w:rPr>
          <w:rFonts w:ascii="Calibri" w:hAnsi="Calibri"/>
          <w:b/>
          <w:color w:val="2B6CB0"/>
          <w:sz w:val="26"/>
        </w:rPr>
        <w:t>3.2 Dimensión Presentación Oral (Ponderación 80%)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00" w:type="dxa"/>
              <w:bottom w:w="100" w:type="dxa"/>
              <w:left w:w="100" w:type="dxa"/>
              <w:right w:w="100" w:type="dxa"/>
            </w:tcMar>
          </w:tcPr>
          <w:p>
            <w:r>
              <w:rPr>
                <w:b/>
                <w:color w:val="FFFFFF"/>
              </w:rPr>
              <w:t>Criterio / Indicador</w:t>
            </w:r>
          </w:p>
        </w:tc>
        <w:tc>
          <w:tcPr>
            <w:tcW w:type="dxa" w:w="1872"/>
            <w:shd w:fill="1A365D"/>
            <w:tcMar>
              <w:top w:w="100" w:type="dxa"/>
              <w:bottom w:w="100" w:type="dxa"/>
              <w:left w:w="100" w:type="dxa"/>
              <w:right w:w="100" w:type="dxa"/>
            </w:tcMar>
          </w:tcPr>
          <w:p>
            <w:r>
              <w:rPr>
                <w:b/>
                <w:color w:val="FFFFFF"/>
              </w:rPr>
              <w:t>Estado</w:t>
            </w:r>
          </w:p>
        </w:tc>
        <w:tc>
          <w:tcPr>
            <w:tcW w:type="dxa" w:w="1872"/>
            <w:shd w:fill="1A365D"/>
            <w:tcMar>
              <w:top w:w="100" w:type="dxa"/>
              <w:bottom w:w="100" w:type="dxa"/>
              <w:left w:w="100" w:type="dxa"/>
              <w:right w:w="100" w:type="dxa"/>
            </w:tcMar>
          </w:tcPr>
          <w:p>
            <w:r>
              <w:rPr>
                <w:b/>
                <w:color w:val="FFFFFF"/>
              </w:rPr>
              <w:t>Evidencia Concreta (Celda)</w:t>
            </w:r>
          </w:p>
        </w:tc>
        <w:tc>
          <w:tcPr>
            <w:tcW w:type="dxa" w:w="1872"/>
            <w:shd w:fill="1A365D"/>
            <w:tcMar>
              <w:top w:w="100" w:type="dxa"/>
              <w:bottom w:w="100" w:type="dxa"/>
              <w:left w:w="100" w:type="dxa"/>
              <w:right w:w="100" w:type="dxa"/>
            </w:tcMar>
          </w:tcPr>
          <w:p>
            <w:r>
              <w:rPr>
                <w:b/>
                <w:color w:val="FFFFFF"/>
              </w:rPr>
              <w:t>Qué Presentar para Demostrarlo</w:t>
            </w:r>
          </w:p>
        </w:tc>
        <w:tc>
          <w:tcPr>
            <w:tcW w:type="dxa" w:w="1872"/>
            <w:shd w:fill="1A365D"/>
            <w:tcMar>
              <w:top w:w="100" w:type="dxa"/>
              <w:bottom w:w="100" w:type="dxa"/>
              <w:left w:w="100" w:type="dxa"/>
              <w:right w:w="100" w:type="dxa"/>
            </w:tcMar>
          </w:tcPr>
          <w:p>
            <w:r>
              <w:rPr>
                <w:b/>
                <w:color w:val="FFFFFF"/>
              </w:rPr>
              <w:t>Qué Falta o Aclarar</w:t>
            </w:r>
          </w:p>
        </w:tc>
      </w:tr>
      <w:tr>
        <w:tc>
          <w:tcPr>
            <w:tcW w:type="dxa" w:w="1872"/>
            <w:shd w:fill="FFFFFF"/>
            <w:tcMar>
              <w:top w:w="80" w:type="dxa"/>
              <w:bottom w:w="80" w:type="dxa"/>
              <w:left w:w="80" w:type="dxa"/>
              <w:right w:w="80" w:type="dxa"/>
            </w:tcMar>
          </w:tcPr>
          <w:p>
            <w:r>
              <w:t>IP 1.1.1 Justifica carga y preproceso (8%)</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12–19</w:t>
            </w:r>
          </w:p>
        </w:tc>
        <w:tc>
          <w:tcPr>
            <w:tcW w:type="dxa" w:w="1872"/>
            <w:shd w:fill="FFFFFF"/>
            <w:tcMar>
              <w:top w:w="80" w:type="dxa"/>
              <w:bottom w:w="80" w:type="dxa"/>
              <w:left w:w="80" w:type="dxa"/>
              <w:right w:w="80" w:type="dxa"/>
            </w:tcMar>
          </w:tcPr>
          <w:p>
            <w:r>
              <w:t>Diapositiva con pipeline de datos, escalado /255.0 y muestras visuales.</w:t>
            </w:r>
          </w:p>
        </w:tc>
        <w:tc>
          <w:tcPr>
            <w:tcW w:type="dxa" w:w="1872"/>
            <w:shd w:fill="FFFFFF"/>
            <w:tcMar>
              <w:top w:w="80" w:type="dxa"/>
              <w:bottom w:w="80" w:type="dxa"/>
              <w:left w:w="80" w:type="dxa"/>
              <w:right w:w="80" w:type="dxa"/>
            </w:tcMar>
          </w:tcPr>
          <w:p>
            <w:r>
              <w:t>Explicar verbalmente por qué el escalado evita la saturación de los pesos.</w:t>
            </w:r>
          </w:p>
        </w:tc>
      </w:tr>
      <w:tr>
        <w:tc>
          <w:tcPr>
            <w:tcW w:type="dxa" w:w="1872"/>
            <w:shd w:fill="F7FAFC"/>
            <w:tcMar>
              <w:top w:w="80" w:type="dxa"/>
              <w:bottom w:w="80" w:type="dxa"/>
              <w:left w:w="80" w:type="dxa"/>
              <w:right w:w="80" w:type="dxa"/>
            </w:tcMar>
          </w:tcPr>
          <w:p>
            <w:r>
              <w:t>IP 1.1.2 Explica decisiones de configuración (8%)</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Celdas 41, 66, 81, 89, 100, 102, 106</w:t>
            </w:r>
          </w:p>
        </w:tc>
        <w:tc>
          <w:tcPr>
            <w:tcW w:type="dxa" w:w="1872"/>
            <w:shd w:fill="F7FAFC"/>
            <w:tcMar>
              <w:top w:w="80" w:type="dxa"/>
              <w:bottom w:w="80" w:type="dxa"/>
              <w:left w:w="80" w:type="dxa"/>
              <w:right w:w="80" w:type="dxa"/>
            </w:tcMar>
          </w:tcPr>
          <w:p>
            <w:r>
              <w:t>Láminas con comparativas gráficas de curvas de LR, Batch Size y Optimizadores.</w:t>
            </w:r>
          </w:p>
        </w:tc>
        <w:tc>
          <w:tcPr>
            <w:tcW w:type="dxa" w:w="1872"/>
            <w:shd w:fill="F7FAFC"/>
            <w:tcMar>
              <w:top w:w="80" w:type="dxa"/>
              <w:bottom w:w="80" w:type="dxa"/>
              <w:left w:w="80" w:type="dxa"/>
              <w:right w:w="80" w:type="dxa"/>
            </w:tcMar>
          </w:tcPr>
          <w:p>
            <w:r>
              <w:t>Interpretar visualmente curvas: convergencia suave vs. estancamiento u oscilaciones.</w:t>
            </w:r>
          </w:p>
        </w:tc>
      </w:tr>
      <w:tr>
        <w:tc>
          <w:tcPr>
            <w:tcW w:type="dxa" w:w="1872"/>
            <w:shd w:fill="FFFFFF"/>
            <w:tcMar>
              <w:top w:w="80" w:type="dxa"/>
              <w:bottom w:w="80" w:type="dxa"/>
              <w:left w:w="80" w:type="dxa"/>
              <w:right w:w="80" w:type="dxa"/>
            </w:tcMar>
          </w:tcPr>
          <w:p>
            <w:r>
              <w:t>IP 1.1.3 Evalúa críticamente los ajustes (8%)</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124, 127, 128</w:t>
            </w:r>
          </w:p>
        </w:tc>
        <w:tc>
          <w:tcPr>
            <w:tcW w:type="dxa" w:w="1872"/>
            <w:shd w:fill="FFFFFF"/>
            <w:tcMar>
              <w:top w:w="80" w:type="dxa"/>
              <w:bottom w:w="80" w:type="dxa"/>
              <w:left w:w="80" w:type="dxa"/>
              <w:right w:w="80" w:type="dxa"/>
            </w:tcMar>
          </w:tcPr>
          <w:p>
            <w:r>
              <w:t>Análisis del fallo del modelo final (40,58% val) frente a ReduceLROnPlateau (50,46% val).</w:t>
            </w:r>
          </w:p>
        </w:tc>
        <w:tc>
          <w:tcPr>
            <w:tcW w:type="dxa" w:w="1872"/>
            <w:shd w:fill="FFFFFF"/>
            <w:tcMar>
              <w:top w:w="80" w:type="dxa"/>
              <w:bottom w:w="80" w:type="dxa"/>
              <w:left w:w="80" w:type="dxa"/>
              <w:right w:w="80" w:type="dxa"/>
            </w:tcMar>
          </w:tcPr>
          <w:p>
            <w:r>
              <w:t>Defender por qué ocurrió este resultado como un hallazgo metodológico transparente.</w:t>
            </w:r>
          </w:p>
        </w:tc>
      </w:tr>
      <w:tr>
        <w:tc>
          <w:tcPr>
            <w:tcW w:type="dxa" w:w="1872"/>
            <w:shd w:fill="F7FAFC"/>
            <w:tcMar>
              <w:top w:w="80" w:type="dxa"/>
              <w:bottom w:w="80" w:type="dxa"/>
              <w:left w:w="80" w:type="dxa"/>
              <w:right w:w="80" w:type="dxa"/>
            </w:tcMar>
          </w:tcPr>
          <w:p>
            <w:r>
              <w:t>IP 1.2.1 Analiza efecto de las funciones (8%)</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 51</w:t>
            </w:r>
          </w:p>
        </w:tc>
        <w:tc>
          <w:tcPr>
            <w:tcW w:type="dxa" w:w="1872"/>
            <w:shd w:fill="F7FAFC"/>
            <w:tcMar>
              <w:top w:w="80" w:type="dxa"/>
              <w:bottom w:w="80" w:type="dxa"/>
              <w:left w:w="80" w:type="dxa"/>
              <w:right w:w="80" w:type="dxa"/>
            </w:tcMar>
          </w:tcPr>
          <w:p>
            <w:r>
              <w:t>Gráfico de propagación de activaciones por capa (Celda 51) para un Automóvil.</w:t>
            </w:r>
          </w:p>
        </w:tc>
        <w:tc>
          <w:tcPr>
            <w:tcW w:type="dxa" w:w="1872"/>
            <w:shd w:fill="F7FAFC"/>
            <w:tcMar>
              <w:top w:w="80" w:type="dxa"/>
              <w:bottom w:w="80" w:type="dxa"/>
              <w:left w:w="80" w:type="dxa"/>
              <w:right w:w="80" w:type="dxa"/>
            </w:tcMar>
          </w:tcPr>
          <w:p>
            <w:r>
              <w:t>Explicar el flujo desde píxeles de entrada hasta la salida Softmax.</w:t>
            </w:r>
          </w:p>
        </w:tc>
      </w:tr>
      <w:tr>
        <w:tc>
          <w:tcPr>
            <w:tcW w:type="dxa" w:w="1872"/>
            <w:shd w:fill="FFFFFF"/>
            <w:tcMar>
              <w:top w:w="80" w:type="dxa"/>
              <w:bottom w:w="80" w:type="dxa"/>
              <w:left w:w="80" w:type="dxa"/>
              <w:right w:w="80" w:type="dxa"/>
            </w:tcMar>
          </w:tcPr>
          <w:p>
            <w:r>
              <w:t>IP 1.2.2 Explica diferencias de desempeño (5%)</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60, 66, 72</w:t>
            </w:r>
          </w:p>
        </w:tc>
        <w:tc>
          <w:tcPr>
            <w:tcW w:type="dxa" w:w="1872"/>
            <w:shd w:fill="FFFFFF"/>
            <w:tcMar>
              <w:top w:w="80" w:type="dxa"/>
              <w:bottom w:w="80" w:type="dxa"/>
              <w:left w:w="80" w:type="dxa"/>
              <w:right w:w="80" w:type="dxa"/>
            </w:tcMar>
          </w:tcPr>
          <w:p>
            <w:r>
              <w:t>Visualización de curvas de pérdida y accuracy entre ReLU, Sigmoid y Tanh.</w:t>
            </w:r>
          </w:p>
        </w:tc>
        <w:tc>
          <w:tcPr>
            <w:tcW w:type="dxa" w:w="1872"/>
            <w:shd w:fill="FFFFFF"/>
            <w:tcMar>
              <w:top w:w="80" w:type="dxa"/>
              <w:bottom w:w="80" w:type="dxa"/>
              <w:left w:w="80" w:type="dxa"/>
              <w:right w:w="80" w:type="dxa"/>
            </w:tcMar>
          </w:tcPr>
          <w:p>
            <w:r>
              <w:t>Explicar por qué Tanh quedó en 34,54% y Sigmoid necesitó 27 épocas para converger.</w:t>
            </w:r>
          </w:p>
        </w:tc>
      </w:tr>
      <w:tr>
        <w:tc>
          <w:tcPr>
            <w:tcW w:type="dxa" w:w="1872"/>
            <w:shd w:fill="F7FAFC"/>
            <w:tcMar>
              <w:top w:w="80" w:type="dxa"/>
              <w:bottom w:w="80" w:type="dxa"/>
              <w:left w:w="80" w:type="dxa"/>
              <w:right w:w="80" w:type="dxa"/>
            </w:tcMar>
          </w:tcPr>
          <w:p>
            <w:r>
              <w:t>IP 1.2.3 Justifica selección final de funciones (8%)</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Celdas 74, 110, 128</w:t>
            </w:r>
          </w:p>
        </w:tc>
        <w:tc>
          <w:tcPr>
            <w:tcW w:type="dxa" w:w="1872"/>
            <w:shd w:fill="F7FAFC"/>
            <w:tcMar>
              <w:top w:w="80" w:type="dxa"/>
              <w:bottom w:w="80" w:type="dxa"/>
              <w:left w:w="80" w:type="dxa"/>
              <w:right w:w="80" w:type="dxa"/>
            </w:tcMar>
          </w:tcPr>
          <w:p>
            <w:r>
              <w:t>Tabla sintética con propiedades matemáticas de ReLU y Softmax + Crossentropy.</w:t>
            </w:r>
          </w:p>
        </w:tc>
        <w:tc>
          <w:tcPr>
            <w:tcW w:type="dxa" w:w="1872"/>
            <w:shd w:fill="F7FAFC"/>
            <w:tcMar>
              <w:top w:w="80" w:type="dxa"/>
              <w:bottom w:w="80" w:type="dxa"/>
              <w:left w:w="80" w:type="dxa"/>
              <w:right w:w="80" w:type="dxa"/>
            </w:tcMar>
          </w:tcPr>
          <w:p>
            <w:r>
              <w:t>Fundamentar la elección basándose en velocidad de cálculo y estabilidad del gradiente.</w:t>
            </w:r>
          </w:p>
        </w:tc>
      </w:tr>
      <w:tr>
        <w:tc>
          <w:tcPr>
            <w:tcW w:type="dxa" w:w="1872"/>
            <w:shd w:fill="FFFFFF"/>
            <w:tcMar>
              <w:top w:w="80" w:type="dxa"/>
              <w:bottom w:w="80" w:type="dxa"/>
              <w:left w:w="80" w:type="dxa"/>
              <w:right w:w="80" w:type="dxa"/>
            </w:tcMar>
          </w:tcPr>
          <w:p>
            <w:r>
              <w:t>IP 1.3.1 Defiende técnicamente la implementación (5%)</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Notebook completo</w:t>
            </w:r>
          </w:p>
        </w:tc>
        <w:tc>
          <w:tcPr>
            <w:tcW w:type="dxa" w:w="1872"/>
            <w:shd w:fill="FFFFFF"/>
            <w:tcMar>
              <w:top w:w="80" w:type="dxa"/>
              <w:bottom w:w="80" w:type="dxa"/>
              <w:left w:w="80" w:type="dxa"/>
              <w:right w:w="80" w:type="dxa"/>
            </w:tcMar>
          </w:tcPr>
          <w:p>
            <w:r>
              <w:t>Resumen técnico integral: 512-256-128, 1.738.890 parámetros, pipeline y callbacks.</w:t>
            </w:r>
          </w:p>
        </w:tc>
        <w:tc>
          <w:tcPr>
            <w:tcW w:type="dxa" w:w="1872"/>
            <w:shd w:fill="FFFFFF"/>
            <w:tcMar>
              <w:top w:w="80" w:type="dxa"/>
              <w:bottom w:w="80" w:type="dxa"/>
              <w:left w:w="80" w:type="dxa"/>
              <w:right w:w="80" w:type="dxa"/>
            </w:tcMar>
          </w:tcPr>
          <w:p>
            <w:r>
              <w:t>Estar preparado para responder preguntas del docente defendiendo el código en vivo.</w:t>
            </w:r>
          </w:p>
        </w:tc>
      </w:tr>
      <w:tr>
        <w:tc>
          <w:tcPr>
            <w:tcW w:type="dxa" w:w="1872"/>
            <w:shd w:fill="F7FAFC"/>
            <w:tcMar>
              <w:top w:w="80" w:type="dxa"/>
              <w:bottom w:w="80" w:type="dxa"/>
              <w:left w:w="80" w:type="dxa"/>
              <w:right w:w="80" w:type="dxa"/>
            </w:tcMar>
          </w:tcPr>
          <w:p>
            <w:r>
              <w:t>IP 1.3.2 Evalúa impacto de optimizadores (5%)</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Celdas 81, 89, 94</w:t>
            </w:r>
          </w:p>
        </w:tc>
        <w:tc>
          <w:tcPr>
            <w:tcW w:type="dxa" w:w="1872"/>
            <w:shd w:fill="F7FAFC"/>
            <w:tcMar>
              <w:top w:w="80" w:type="dxa"/>
              <w:bottom w:w="80" w:type="dxa"/>
              <w:left w:w="80" w:type="dxa"/>
              <w:right w:w="80" w:type="dxa"/>
            </w:tcMar>
          </w:tcPr>
          <w:p>
            <w:r>
              <w:t>Comparativas gráficas con/sin Dropout, Batch Norm y ReduceLROnPlateau.</w:t>
            </w:r>
          </w:p>
        </w:tc>
        <w:tc>
          <w:tcPr>
            <w:tcW w:type="dxa" w:w="1872"/>
            <w:shd w:fill="F7FAFC"/>
            <w:tcMar>
              <w:top w:w="80" w:type="dxa"/>
              <w:bottom w:w="80" w:type="dxa"/>
              <w:left w:w="80" w:type="dxa"/>
              <w:right w:w="80" w:type="dxa"/>
            </w:tcMar>
          </w:tcPr>
          <w:p>
            <w:r>
              <w:t>Destacar que ReduceLROnPlateau otorgó el mayor salto en validación (+3,84%).</w:t>
            </w:r>
          </w:p>
        </w:tc>
      </w:tr>
      <w:tr>
        <w:tc>
          <w:tcPr>
            <w:tcW w:type="dxa" w:w="1872"/>
            <w:shd w:fill="FFFFFF"/>
            <w:tcMar>
              <w:top w:w="80" w:type="dxa"/>
              <w:bottom w:w="80" w:type="dxa"/>
              <w:left w:w="80" w:type="dxa"/>
              <w:right w:w="80" w:type="dxa"/>
            </w:tcMar>
          </w:tcPr>
          <w:p>
            <w:r>
              <w:t>IP 1.3.3 Justifica ajustes e hiperparámetros (5%)</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107, 112, 124</w:t>
            </w:r>
          </w:p>
        </w:tc>
        <w:tc>
          <w:tcPr>
            <w:tcW w:type="dxa" w:w="1872"/>
            <w:shd w:fill="FFFFFF"/>
            <w:tcMar>
              <w:top w:w="80" w:type="dxa"/>
              <w:bottom w:w="80" w:type="dxa"/>
              <w:left w:w="80" w:type="dxa"/>
              <w:right w:w="80" w:type="dxa"/>
            </w:tcMar>
          </w:tcPr>
          <w:p>
            <w:r>
              <w:t>Matriz de experimentos controlados e hiperparámetros seleccionados.</w:t>
            </w:r>
          </w:p>
        </w:tc>
        <w:tc>
          <w:tcPr>
            <w:tcW w:type="dxa" w:w="1872"/>
            <w:shd w:fill="FFFFFF"/>
            <w:tcMar>
              <w:top w:w="80" w:type="dxa"/>
              <w:bottom w:w="80" w:type="dxa"/>
              <w:left w:w="80" w:type="dxa"/>
              <w:right w:w="80" w:type="dxa"/>
            </w:tcMar>
          </w:tcPr>
          <w:p>
            <w:r>
              <w:t>Explicar causa del aprendizaje lento con SGD (LR 0.0001 en 30 épocas).</w:t>
            </w:r>
          </w:p>
        </w:tc>
      </w:tr>
      <w:tr>
        <w:tc>
          <w:tcPr>
            <w:tcW w:type="dxa" w:w="1872"/>
            <w:shd w:fill="F7FAFC"/>
            <w:tcMar>
              <w:top w:w="80" w:type="dxa"/>
              <w:bottom w:w="80" w:type="dxa"/>
              <w:left w:w="80" w:type="dxa"/>
              <w:right w:w="80" w:type="dxa"/>
            </w:tcMar>
          </w:tcPr>
          <w:p>
            <w:r>
              <w:t>IP 1.4.1 Explica cálculo de métricas (5%)</w:t>
            </w:r>
          </w:p>
        </w:tc>
        <w:tc>
          <w:tcPr>
            <w:tcW w:type="dxa" w:w="1872"/>
            <w:shd w:fill="F7FAFC"/>
            <w:tcMar>
              <w:top w:w="80" w:type="dxa"/>
              <w:bottom w:w="80" w:type="dxa"/>
              <w:left w:w="80" w:type="dxa"/>
              <w:right w:w="80" w:type="dxa"/>
            </w:tcMar>
          </w:tcPr>
          <w:p>
            <w:r>
              <w:t>Parcialmente cumplido</w:t>
            </w:r>
          </w:p>
        </w:tc>
        <w:tc>
          <w:tcPr>
            <w:tcW w:type="dxa" w:w="1872"/>
            <w:shd w:fill="F7FAFC"/>
            <w:tcMar>
              <w:top w:w="80" w:type="dxa"/>
              <w:bottom w:w="80" w:type="dxa"/>
              <w:left w:w="80" w:type="dxa"/>
              <w:right w:w="80" w:type="dxa"/>
            </w:tcMar>
          </w:tcPr>
          <w:p>
            <w:r>
              <w:t>Celdas 113, 119</w:t>
            </w:r>
          </w:p>
        </w:tc>
        <w:tc>
          <w:tcPr>
            <w:tcW w:type="dxa" w:w="1872"/>
            <w:shd w:fill="F7FAFC"/>
            <w:tcMar>
              <w:top w:w="80" w:type="dxa"/>
              <w:bottom w:w="80" w:type="dxa"/>
              <w:left w:w="80" w:type="dxa"/>
              <w:right w:w="80" w:type="dxa"/>
            </w:tcMar>
          </w:tcPr>
          <w:p>
            <w:r>
              <w:t>Fórmulas matemáticas explícitas con un cálculo desarrollado a mano para Barco.</w:t>
            </w:r>
          </w:p>
        </w:tc>
        <w:tc>
          <w:tcPr>
            <w:tcW w:type="dxa" w:w="1872"/>
            <w:shd w:fill="F7FAFC"/>
            <w:tcMar>
              <w:top w:w="80" w:type="dxa"/>
              <w:bottom w:w="80" w:type="dxa"/>
              <w:left w:w="80" w:type="dxa"/>
              <w:right w:w="80" w:type="dxa"/>
            </w:tcMar>
          </w:tcPr>
          <w:p>
            <w:r>
              <w:t>Incluir en diapositivas el cálculo explícito a mano usando la matriz de confusión.</w:t>
            </w:r>
          </w:p>
        </w:tc>
      </w:tr>
      <w:tr>
        <w:tc>
          <w:tcPr>
            <w:tcW w:type="dxa" w:w="1872"/>
            <w:shd w:fill="FFFFFF"/>
            <w:tcMar>
              <w:top w:w="80" w:type="dxa"/>
              <w:bottom w:w="80" w:type="dxa"/>
              <w:left w:w="80" w:type="dxa"/>
              <w:right w:w="80" w:type="dxa"/>
            </w:tcMar>
          </w:tcPr>
          <w:p>
            <w:r>
              <w:t>IP 1.4.2 Interpreta métricas mediante gráficos (4%)</w:t>
            </w:r>
          </w:p>
        </w:tc>
        <w:tc>
          <w:tcPr>
            <w:tcW w:type="dxa" w:w="1872"/>
            <w:shd w:fill="FFFFFF"/>
            <w:tcMar>
              <w:top w:w="80" w:type="dxa"/>
              <w:bottom w:w="80" w:type="dxa"/>
              <w:left w:w="80" w:type="dxa"/>
              <w:right w:w="80" w:type="dxa"/>
            </w:tcMar>
          </w:tcPr>
          <w:p>
            <w:r>
              <w:t>Cumplido</w:t>
            </w:r>
          </w:p>
        </w:tc>
        <w:tc>
          <w:tcPr>
            <w:tcW w:type="dxa" w:w="1872"/>
            <w:shd w:fill="FFFFFF"/>
            <w:tcMar>
              <w:top w:w="80" w:type="dxa"/>
              <w:bottom w:w="80" w:type="dxa"/>
              <w:left w:w="80" w:type="dxa"/>
              <w:right w:w="80" w:type="dxa"/>
            </w:tcMar>
          </w:tcPr>
          <w:p>
            <w:r>
              <w:t>Celdas 117, 121, 124</w:t>
            </w:r>
          </w:p>
        </w:tc>
        <w:tc>
          <w:tcPr>
            <w:tcW w:type="dxa" w:w="1872"/>
            <w:shd w:fill="FFFFFF"/>
            <w:tcMar>
              <w:top w:w="80" w:type="dxa"/>
              <w:bottom w:w="80" w:type="dxa"/>
              <w:left w:w="80" w:type="dxa"/>
              <w:right w:w="80" w:type="dxa"/>
            </w:tcMar>
          </w:tcPr>
          <w:p>
            <w:r>
              <w:t>Gráfico de barras por clase (Precision, Recall, F1) y matriz de confusión.</w:t>
            </w:r>
          </w:p>
        </w:tc>
        <w:tc>
          <w:tcPr>
            <w:tcW w:type="dxa" w:w="1872"/>
            <w:shd w:fill="FFFFFF"/>
            <w:tcMar>
              <w:top w:w="80" w:type="dxa"/>
              <w:bottom w:w="80" w:type="dxa"/>
              <w:left w:w="80" w:type="dxa"/>
              <w:right w:w="80" w:type="dxa"/>
            </w:tcMar>
          </w:tcPr>
          <w:p>
            <w:r>
              <w:t>Analizar clases con mejor desempeño (Barco F1 51,58%) y peor (Gato F1 24,46%).</w:t>
            </w:r>
          </w:p>
        </w:tc>
      </w:tr>
      <w:tr>
        <w:tc>
          <w:tcPr>
            <w:tcW w:type="dxa" w:w="1872"/>
            <w:shd w:fill="F7FAFC"/>
            <w:tcMar>
              <w:top w:w="80" w:type="dxa"/>
              <w:bottom w:w="80" w:type="dxa"/>
              <w:left w:w="80" w:type="dxa"/>
              <w:right w:w="80" w:type="dxa"/>
            </w:tcMar>
          </w:tcPr>
          <w:p>
            <w:r>
              <w:t>IP 1.4.3 Explica hallazgos clave con visuales (11%)</w:t>
            </w:r>
          </w:p>
        </w:tc>
        <w:tc>
          <w:tcPr>
            <w:tcW w:type="dxa" w:w="1872"/>
            <w:shd w:fill="F7FAFC"/>
            <w:tcMar>
              <w:top w:w="80" w:type="dxa"/>
              <w:bottom w:w="80" w:type="dxa"/>
              <w:left w:w="80" w:type="dxa"/>
              <w:right w:w="80" w:type="dxa"/>
            </w:tcMar>
          </w:tcPr>
          <w:p>
            <w:r>
              <w:t>Cumplido</w:t>
            </w:r>
          </w:p>
        </w:tc>
        <w:tc>
          <w:tcPr>
            <w:tcW w:type="dxa" w:w="1872"/>
            <w:shd w:fill="F7FAFC"/>
            <w:tcMar>
              <w:top w:w="80" w:type="dxa"/>
              <w:bottom w:w="80" w:type="dxa"/>
              <w:left w:w="80" w:type="dxa"/>
              <w:right w:w="80" w:type="dxa"/>
            </w:tcMar>
          </w:tcPr>
          <w:p>
            <w:r>
              <w:t>Celdas 121, 124, 128–130</w:t>
            </w:r>
          </w:p>
        </w:tc>
        <w:tc>
          <w:tcPr>
            <w:tcW w:type="dxa" w:w="1872"/>
            <w:shd w:fill="F7FAFC"/>
            <w:tcMar>
              <w:top w:w="80" w:type="dxa"/>
              <w:bottom w:w="80" w:type="dxa"/>
              <w:left w:w="80" w:type="dxa"/>
              <w:right w:w="80" w:type="dxa"/>
            </w:tcMar>
          </w:tcPr>
          <w:p>
            <w:r>
              <w:t>Lámina resumen visual: 1) Matriz confusión, 2) Scheduler, 3) Lecciones del modelo final.</w:t>
            </w:r>
          </w:p>
        </w:tc>
        <w:tc>
          <w:tcPr>
            <w:tcW w:type="dxa" w:w="1872"/>
            <w:shd w:fill="F7FAFC"/>
            <w:tcMar>
              <w:top w:w="80" w:type="dxa"/>
              <w:bottom w:w="80" w:type="dxa"/>
              <w:left w:w="80" w:type="dxa"/>
              <w:right w:w="80" w:type="dxa"/>
            </w:tcMar>
          </w:tcPr>
          <w:p>
            <w:r>
              <w:t>Presentar conclusiones claras sobre el techo técnico de un MLP frente a una CNN.</w:t>
            </w:r>
          </w:p>
        </w:tc>
      </w:tr>
    </w:tbl>
    <w:p>
      <w:pPr>
        <w:pStyle w:val="Heading1"/>
        <w:keepNext/>
        <w:spacing w:before="280" w:after="120"/>
      </w:pPr>
      <w:r>
        <w:rPr>
          <w:rFonts w:ascii="Calibri" w:hAnsi="Calibri"/>
          <w:b/>
          <w:color w:val="1A365D"/>
          <w:sz w:val="32"/>
        </w:rPr>
        <w:t>4. Propuesta de Justificación Técnica de las Decisiones del Proyecto</w:t>
      </w:r>
    </w:p>
    <w:p>
      <w:r>
        <w:t>A continuación se sintetiza la estructura argumentativa recomendada para el informe y la defensa oral, fundamentando rigurosamente qué afirmaciones cuentan con respaldo numérico en el proyecto y cuáles deben presentarse como limitaciones o hipótesis:</w:t>
      </w:r>
    </w:p>
    <w:p>
      <w:pPr>
        <w:pStyle w:val="Heading2"/>
        <w:keepNext/>
        <w:spacing w:before="280" w:after="120"/>
      </w:pPr>
      <w:r>
        <w:rPr>
          <w:rFonts w:ascii="Calibri" w:hAnsi="Calibri"/>
          <w:b/>
          <w:color w:val="2B6CB0"/>
          <w:sz w:val="26"/>
        </w:rPr>
        <w:t>4.1 Arquitectura MLP y Aplanamiento (Flatten)</w:t>
      </w:r>
    </w:p>
    <w:p>
      <w:r>
        <w:rPr>
          <w:b/>
        </w:rPr>
        <w:t xml:space="preserve">• Respaldado por Resultados: </w:t>
      </w:r>
      <w:r>
        <w:t>Un perceptrón multicapa de 1.738.890 parámetros entrenables es capaz de aprender patrones visuales básicos en CIFAR-10 y superar holgadamente el nivel de azar (10%), alcanzando hasta un 50,46% de accuracy de validación cuando se combina con la estrategia adecuada de tasa de aprendizaje.</w:t>
        <w:br/>
      </w:r>
      <w:r>
        <w:rPr>
          <w:b/>
        </w:rPr>
        <w:t xml:space="preserve">• Limitación / Hipótesis Técnica: </w:t>
      </w:r>
      <w:r>
        <w:t>Al aplanar las imágenes de 32x32x3 a un vector unidimensional de 3.072 elementos, la red destruye la coherencia espacial 2D y la relación de vecindad entre píxeles. Esto explica hipótesismente por qué el modelo confunde sistemáticamente categorías con patrones cromáticos o siluetas parecidas (Gatos confundidos 255 veces con Perros; Aviones confundidos 248 veces con Barcos). Se concluye que el MLP alcanza un techo estructural para este tipo de datos.</w:t>
      </w:r>
    </w:p>
    <w:p>
      <w:pPr>
        <w:pStyle w:val="Heading2"/>
        <w:keepNext/>
        <w:spacing w:before="280" w:after="120"/>
      </w:pPr>
      <w:r>
        <w:rPr>
          <w:rFonts w:ascii="Calibri" w:hAnsi="Calibri"/>
          <w:b/>
          <w:color w:val="2B6CB0"/>
          <w:sz w:val="26"/>
        </w:rPr>
        <w:t>4.2 Funciones de Activación, Pérdida y Salida</w:t>
      </w:r>
    </w:p>
    <w:p>
      <w:r>
        <w:rPr>
          <w:b/>
        </w:rPr>
        <w:t xml:space="preserve">• Respaldado por Resultados: </w:t>
      </w:r>
      <w:r>
        <w:t>ReLU superó netamente a Sigmoide (46,62% vs. 45,72%) y a Tanh (34,54%) en accuracy de validación, mostrando una velocidad de convergencia significativamente superior. Asimismo, Categorical Crossentropy superó a MSE (46,62% vs. 46,40%).</w:t>
        <w:br/>
      </w:r>
      <w:r>
        <w:rPr>
          <w:b/>
        </w:rPr>
        <w:t xml:space="preserve">• Justificación Técnica: </w:t>
      </w:r>
      <w:r>
        <w:t>ReLU no sufre de saturación en la región positiva, evitando el problema del gradiente desvanecido en capas intermedias. La combinación de Softmax en la salida con Categorical Crossentropy proporciona la derivada dL/dz = y_hat - y, garantizando un flujo de error lineal y óptimo durante el backpropagation.</w:t>
      </w:r>
    </w:p>
    <w:p>
      <w:pPr>
        <w:pStyle w:val="Heading2"/>
        <w:keepNext/>
        <w:spacing w:before="280" w:after="120"/>
      </w:pPr>
      <w:r>
        <w:rPr>
          <w:rFonts w:ascii="Calibri" w:hAnsi="Calibri"/>
          <w:b/>
          <w:color w:val="2B6CB0"/>
          <w:sz w:val="26"/>
        </w:rPr>
        <w:t>4.3 Optimizadores, Hiperparámetros y Regularización</w:t>
      </w:r>
    </w:p>
    <w:p>
      <w:r>
        <w:rPr>
          <w:b/>
        </w:rPr>
        <w:t xml:space="preserve">• Respaldado por Resultados: </w:t>
      </w:r>
      <w:r>
        <w:t>En experimentos aislados (OFAT): 1) LR 0,0001 dio 50,36% Val Acc; 2) Batch Size 128 dio 47,42% Val Acc; 3) SGD dio 48,82% Val Acc; 4) ReduceLROnPlateau obtuvo el récord absoluto de validación del proyecto (50,46% Val Acc, Val Loss 1,4816). Dropout 30% y Batch Normalization degradaron el rendimiento.</w:t>
        <w:br/>
      </w:r>
      <w:r>
        <w:rPr>
          <w:b/>
        </w:rPr>
        <w:t xml:space="preserve">• Justificación Técnica del Scheduler: </w:t>
      </w:r>
      <w:r>
        <w:t>ReduceLROnPlateau arranca con pasos amplios para salir de zonas llanas y reduce dinámicamente la tasa cuando la pérdida se estanca, permitiendo afinar los pesos en los mínimos locales sin la extrema lentitud de entrenar desde la época 1 con una tasa minúscula.</w:t>
      </w:r>
    </w:p>
    <w:p>
      <w:pPr>
        <w:pStyle w:val="Heading2"/>
        <w:keepNext/>
        <w:spacing w:before="280" w:after="120"/>
      </w:pPr>
      <w:r>
        <w:rPr>
          <w:rFonts w:ascii="Calibri" w:hAnsi="Calibri"/>
          <w:b/>
          <w:color w:val="2B6CB0"/>
          <w:sz w:val="26"/>
        </w:rPr>
        <w:t>4.4 Selección del Modelo Final y Análisis Metodológico del Resultado</w:t>
      </w:r>
    </w:p>
    <w:p>
      <w:r>
        <w:rPr>
          <w:b/>
        </w:rPr>
        <w:t xml:space="preserve">• Respaldado por Resultados: </w:t>
      </w:r>
      <w:r>
        <w:t>El modelo final (512-256-128, SGD, LR 0,0001, Batch 128) obtuvo 40,58% de accuracy de validación y 40,73% de accuracy de prueba.</w:t>
        <w:br/>
      </w:r>
      <w:r>
        <w:rPr>
          <w:b/>
        </w:rPr>
        <w:t xml:space="preserve">• Hallazgo Metodológico Transparente: </w:t>
      </w:r>
      <w:r>
        <w:t>La combinación de ganadores individuales nunca fue validada conjuntamente antes del modelo final. Al unir SGD con una tasa fija muy reducida (0,0001) y un batch amplio (128), la velocidad de actualización de los pesos resultó insuficiente para converger en 30 épocas. En la presentación oral, esto debe defenderse como una valiosa lección experimental: demuestra empíricamente que la suma de óptimos aislados no garantiza un óptimo global.</w:t>
      </w:r>
    </w:p>
    <w:p>
      <w:pPr>
        <w:pStyle w:val="Heading1"/>
        <w:keepNext/>
        <w:spacing w:before="280" w:after="120"/>
      </w:pPr>
      <w:r>
        <w:rPr>
          <w:rFonts w:ascii="Calibri" w:hAnsi="Calibri"/>
          <w:b/>
          <w:color w:val="1A365D"/>
          <w:sz w:val="32"/>
        </w:rPr>
        <w:t>5. Lista Completa de Datos y Valores Exactos a Incluir</w:t>
      </w:r>
    </w:p>
    <w:p>
      <w:r>
        <w:t>Para garantizar la precisión de la entrega escrita y la defensa oral, utiliza la siguiente lista de valores consolidados:</w:t>
      </w:r>
    </w:p>
    <w:p>
      <w:r>
        <w:t>1. Dataset CIFAR-10: 60.000 imágenes RGB de 32x32. Entrenamiento: 40.000 | Validación: 10.000 | Prueba: 10.000.</w:t>
      </w:r>
    </w:p>
    <w:p>
      <w:r>
        <w:t>2. Modelo Final: Entrada: 3.072 | Capas Ocultas: 512 -&gt; 256 -&gt; 128 (ReLU) | Salida: 10 (Softmax) | Parámetros: 1.738.890.</w:t>
      </w:r>
    </w:p>
    <w:p>
      <w:r>
        <w:t>3. Métricas de Prueba (Modelo Final): Accuracy: 40,73% | Loss: 1,6826 | Precision Macro: 40,19% | Recall Macro: 40,73% | F1 Macro: 39,94%.</w:t>
      </w:r>
    </w:p>
    <w:p>
      <w:r>
        <w:t>4. Métricas de Validación (Modelo Final): Accuracy: 40,58% | Loss: 1,6866 (Época 30).</w:t>
      </w:r>
    </w:p>
    <w:p>
      <w:r>
        <w:t>5. Mejor Clase en Prueba (Barco): F1-score: 51,58% | Recall: 60,40% (604 aciertos de 1.000).</w:t>
      </w:r>
    </w:p>
    <w:p>
      <w:r>
        <w:t>6. Peor Clase en Prueba (Gato): F1-score: 24,46% | Recall: 20,40% (204 aciertos de 1.000).</w:t>
      </w:r>
    </w:p>
    <w:p>
      <w:r>
        <w:t>7. Top Confusiones: Gato -&gt; Perro (255) | Avión -&gt; Barco (248) | Automóvil -&gt; Camión (193) | Ciervo -&gt; Rana (189).</w:t>
      </w:r>
    </w:p>
    <w:p>
      <w:r>
        <w:t>8. Máximo Hito de Validación del Proyecto: ReduceLROnPlateau con 50,46% de Accuracy y Loss 1,4816 (Época 25).</w:t>
      </w:r>
    </w:p>
    <w:p>
      <w:pPr>
        <w:pStyle w:val="Heading1"/>
        <w:keepNext/>
        <w:spacing w:before="280" w:after="120"/>
      </w:pPr>
      <w:r>
        <w:rPr>
          <w:rFonts w:ascii="Calibri" w:hAnsi="Calibri"/>
          <w:b/>
          <w:color w:val="1A365D"/>
          <w:sz w:val="32"/>
        </w:rPr>
        <w:t>6. Lista Breve de Pendientes Priorizados</w:t>
      </w:r>
    </w:p>
    <w:p>
      <w:pPr>
        <w:pStyle w:val="ListBullet"/>
      </w:pPr>
      <w:r>
        <w:t>1. Prioridad 1 (Crítica - Presentación Oral - IP 1.4.1): Desarrollar en una diapositiva el cálculo manual explícito de Precision y Recall tomando la clase Barco (TP=604, FP=737, FN=396): Precision = 604 / (604+737) = 45,01%; Recall = 604 / (604+396) = 60,40%.</w:t>
      </w:r>
    </w:p>
    <w:p>
      <w:pPr>
        <w:pStyle w:val="ListBullet"/>
      </w:pPr>
      <w:r>
        <w:t>2. Prioridad 2 (Alta - Corrección de Texto): Ajustar en el informe escrito que el modelo base obtuvo 46,64% (celda 37/41) en lugar del 49,62% desactualizado de las celdas 42/45, y corregir la cifra tipográfica de Tanh Train Loss (1,8121).</w:t>
      </w:r>
    </w:p>
    <w:p>
      <w:pPr>
        <w:pStyle w:val="ListBullet"/>
      </w:pPr>
      <w:r>
        <w:t>3. Prioridad 3 (Alta - Defensa del Resultado Final): Ensayar el argumento defensivo ante la pregunta del docente sobre la bajada a 40,73% en prueba, justificándolo como falta de validación conjunta previa y velocidad reducida de SGD.</w:t>
      </w:r>
    </w:p>
    <w:p>
      <w:pPr>
        <w:pStyle w:val="ListBullet"/>
      </w:pPr>
      <w:r>
        <w:t>4. Prioridad 4 (Media - Claridad Visual): Separar en el informe y láminas la tabla de Experimentos de Validación (Fases 1–8) de la Evaluación de Prueba (Fase 9).</w:t>
      </w:r>
    </w:p>
    <w:p>
      <w:pPr>
        <w:pStyle w:val="ListBullet"/>
      </w:pPr>
      <w:r>
        <w:t>5. Prioridad 5 (Baja - Propuesta de Mejoras): Formular 3 mejoras futuras: 1) Redes Convolucionales (CNN); 2) Búsqueda en Grilla / RandomSearch; 3) Data Augmentation.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