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before="200"/>
        <w:jc w:val="center"/>
      </w:pPr>
      <w:r>
        <w:rPr>
          <w:rFonts w:ascii="Calibri" w:cs="Calibri" w:eastAsia="Calibri" w:hAnsi="Calibri"/>
          <w:b/>
          <w:bCs/>
          <w:caps/>
          <w:color w:val="0FA3A3"/>
          <w:sz w:val="24"/>
          <w:szCs w:val="24"/>
        </w:rPr>
        <w:t xml:space="preserve">PORTAL DE ATENCIÓN AL CLIENTE</w:t>
      </w:r>
    </w:p>
    <w:p>
      <w:pPr>
        <w:pBdr>
          <w:bottom w:val="single" w:color="0FA3A3" w:sz="12" w:space="8"/>
        </w:pBdr>
        <w:spacing w:after="500"/>
      </w:pPr>
      <w:r>
        <w:t xml:space="preserve"/>
      </w:r>
    </w:p>
    <w:p>
      <w:pPr>
        <w:spacing w:after="200" w:before="900"/>
        <w:jc w:val="center"/>
      </w:pPr>
      <w:r>
        <w:rPr>
          <w:rFonts w:ascii="Calibri" w:cs="Calibri" w:eastAsia="Calibri" w:hAnsi="Calibri"/>
          <w:b/>
          <w:bCs/>
          <w:color w:val="1B4B66"/>
          <w:sz w:val="52"/>
          <w:szCs w:val="52"/>
        </w:rPr>
        <w:t xml:space="preserve">Historias de Usuario</w:t>
      </w:r>
    </w:p>
    <w:p>
      <w:pPr>
        <w:spacing w:after="900"/>
        <w:jc w:val="center"/>
      </w:pPr>
      <w:r>
        <w:rPr>
          <w:rFonts w:ascii="Calibri" w:cs="Calibri" w:eastAsia="Calibri" w:hAnsi="Calibri"/>
          <w:i/>
          <w:iCs/>
          <w:color w:val="5A6570"/>
          <w:sz w:val="26"/>
          <w:szCs w:val="26"/>
        </w:rPr>
        <w:t xml:space="preserve">Backlog de Historias de Usuario</w:t>
      </w:r>
    </w:p>
    <w:tbl>
      <w:tblPr>
        <w:tblW w:type="pct" w:w="80%"/>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22%"/>
            <w:tcBorders>
              <w:top w:val="none" w:color="FFFFFF" w:sz="0"/>
              <w:left w:val="none" w:color="FFFFFF" w:sz="0"/>
              <w:bottom w:val="none" w:color="FFFFFF" w:sz="0"/>
              <w:right w:val="none" w:color="FFFFFF" w:sz="0"/>
            </w:tcBorders>
            <w:tcMar>
              <w:bottom w:type="dxa" w:w="160"/>
            </w:tcMar>
          </w:tcPr>
          <w:p>
            <w:r>
              <w:rPr>
                <w:rFonts w:ascii="Calibri" w:cs="Calibri" w:eastAsia="Calibri" w:hAnsi="Calibri"/>
                <w:b/>
                <w:bCs/>
                <w:color w:val="2E7DA8"/>
                <w:sz w:val="20"/>
                <w:szCs w:val="20"/>
              </w:rPr>
              <w:t xml:space="preserve">PROYECTO</w:t>
            </w:r>
          </w:p>
        </w:tc>
        <w:tc>
          <w:tcPr>
            <w:tcW w:type="pct" w:w="78%"/>
            <w:tcBorders>
              <w:top w:val="none" w:color="FFFFFF" w:sz="0"/>
              <w:left w:val="none" w:color="FFFFFF" w:sz="0"/>
              <w:bottom w:val="none" w:color="FFFFFF" w:sz="0"/>
              <w:right w:val="none" w:color="FFFFFF" w:sz="0"/>
            </w:tcBorders>
            <w:tcMar>
              <w:bottom w:type="dxa" w:w="160"/>
            </w:tcMar>
          </w:tcPr>
          <w:p>
            <w:r>
              <w:rPr>
                <w:rFonts w:ascii="Calibri" w:cs="Calibri" w:eastAsia="Calibri" w:hAnsi="Calibri"/>
                <w:color w:val="5A6570"/>
                <w:sz w:val="20"/>
                <w:szCs w:val="20"/>
              </w:rPr>
              <w:t xml:space="preserve">Portal de Atención al Cliente</w:t>
            </w:r>
          </w:p>
        </w:tc>
      </w:tr>
      <w:tr>
        <w:tc>
          <w:tcPr>
            <w:tcW w:type="pct" w:w="22%"/>
            <w:tcBorders>
              <w:top w:val="none" w:color="FFFFFF" w:sz="0"/>
              <w:left w:val="none" w:color="FFFFFF" w:sz="0"/>
              <w:bottom w:val="none" w:color="FFFFFF" w:sz="0"/>
              <w:right w:val="none" w:color="FFFFFF" w:sz="0"/>
            </w:tcBorders>
            <w:tcMar>
              <w:bottom w:type="dxa" w:w="160"/>
            </w:tcMar>
          </w:tcPr>
          <w:p>
            <w:r>
              <w:rPr>
                <w:rFonts w:ascii="Calibri" w:cs="Calibri" w:eastAsia="Calibri" w:hAnsi="Calibri"/>
                <w:b/>
                <w:bCs/>
                <w:color w:val="2E7DA8"/>
                <w:sz w:val="20"/>
                <w:szCs w:val="20"/>
              </w:rPr>
              <w:t xml:space="preserve">CURSO</w:t>
            </w:r>
          </w:p>
        </w:tc>
        <w:tc>
          <w:tcPr>
            <w:tcW w:type="pct" w:w="78%"/>
            <w:tcBorders>
              <w:top w:val="none" w:color="FFFFFF" w:sz="0"/>
              <w:left w:val="none" w:color="FFFFFF" w:sz="0"/>
              <w:bottom w:val="none" w:color="FFFFFF" w:sz="0"/>
              <w:right w:val="none" w:color="FFFFFF" w:sz="0"/>
            </w:tcBorders>
            <w:tcMar>
              <w:bottom w:type="dxa" w:w="160"/>
            </w:tcMar>
          </w:tcPr>
          <w:p>
            <w:r>
              <w:rPr>
                <w:rFonts w:ascii="Calibri" w:cs="Calibri" w:eastAsia="Calibri" w:hAnsi="Calibri"/>
                <w:color w:val="5A6570"/>
                <w:sz w:val="20"/>
                <w:szCs w:val="20"/>
              </w:rPr>
              <w:t xml:space="preserve">Desarrollo de Aplicaciones Empresariales — 6to Semestre · Corte 1, Actividad 1</w:t>
            </w:r>
          </w:p>
        </w:tc>
      </w:tr>
      <w:tr>
        <w:tc>
          <w:tcPr>
            <w:tcW w:type="pct" w:w="22%"/>
            <w:tcBorders>
              <w:top w:val="none" w:color="FFFFFF" w:sz="0"/>
              <w:left w:val="none" w:color="FFFFFF" w:sz="0"/>
              <w:bottom w:val="none" w:color="FFFFFF" w:sz="0"/>
              <w:right w:val="none" w:color="FFFFFF" w:sz="0"/>
            </w:tcBorders>
            <w:tcMar>
              <w:bottom w:type="dxa" w:w="160"/>
            </w:tcMar>
          </w:tcPr>
          <w:p>
            <w:r>
              <w:rPr>
                <w:rFonts w:ascii="Calibri" w:cs="Calibri" w:eastAsia="Calibri" w:hAnsi="Calibri"/>
                <w:b/>
                <w:bCs/>
                <w:color w:val="2E7DA8"/>
                <w:sz w:val="20"/>
                <w:szCs w:val="20"/>
              </w:rPr>
              <w:t xml:space="preserve">FECHA</w:t>
            </w:r>
          </w:p>
        </w:tc>
        <w:tc>
          <w:tcPr>
            <w:tcW w:type="pct" w:w="78%"/>
            <w:tcBorders>
              <w:top w:val="none" w:color="FFFFFF" w:sz="0"/>
              <w:left w:val="none" w:color="FFFFFF" w:sz="0"/>
              <w:bottom w:val="none" w:color="FFFFFF" w:sz="0"/>
              <w:right w:val="none" w:color="FFFFFF" w:sz="0"/>
            </w:tcBorders>
            <w:tcMar>
              <w:bottom w:type="dxa" w:w="160"/>
            </w:tcMar>
          </w:tcPr>
          <w:p>
            <w:r>
              <w:rPr>
                <w:rFonts w:ascii="Calibri" w:cs="Calibri" w:eastAsia="Calibri" w:hAnsi="Calibri"/>
                <w:color w:val="5A6570"/>
                <w:sz w:val="20"/>
                <w:szCs w:val="20"/>
              </w:rPr>
              <w:t xml:space="preserve">Agosto de 2026</w:t>
            </w:r>
          </w:p>
        </w:tc>
      </w:tr>
    </w:tbl>
    <w:p>
      <w:r>
        <w:br w:type="page"/>
      </w:r>
    </w:p>
    <w:p>
      <w:pPr>
        <w:sectPr>
          <w:pgSz w:w="12240" w:h="15840" w:orient="portrait"/>
          <w:pgMar w:top="900" w:right="1080" w:bottom="900" w:left="1080" w:header="708" w:footer="708" w:gutter="0"/>
          <w:pgNumType/>
          <w:docGrid w:linePitch="360"/>
        </w:sectPr>
      </w:pPr>
    </w:p>
    <w:p>
      <w:pPr>
        <w:pStyle w:val="Heading1"/>
        <w:pBdr>
          <w:bottom w:val="single" w:color="0FA3A3" w:sz="8" w:space="4"/>
        </w:pBdr>
        <w:spacing w:after="200" w:before="400"/>
      </w:pPr>
      <w:r>
        <w:rPr>
          <w:rFonts w:ascii="Calibri" w:cs="Calibri" w:eastAsia="Calibri" w:hAnsi="Calibri"/>
          <w:b/>
          <w:bCs/>
          <w:color w:val="1B4B66"/>
          <w:sz w:val="30"/>
          <w:szCs w:val="30"/>
        </w:rPr>
        <w:t xml:space="preserve">1. Introducción</w:t>
      </w:r>
    </w:p>
    <w:p>
      <w:pPr>
        <w:spacing w:after="160" w:line="276"/>
        <w:jc w:val="both"/>
      </w:pPr>
      <w:r>
        <w:rPr>
          <w:rFonts w:ascii="Calibri" w:cs="Calibri" w:eastAsia="Calibri" w:hAnsi="Calibri"/>
          <w:color w:val="2B2B2B"/>
          <w:sz w:val="21"/>
          <w:szCs w:val="21"/>
        </w:rPr>
        <w:t xml:space="preserve">Este documento reúne las historias de usuario del Portal de Atención al Cliente, redactadas desde la perspectiva de cada rol del sistema (Cliente, Agente de Atención y Administrador). Cada historia sigue el formato "Como [rol], quiero [funcionalidad], para [beneficio]" e incluye su prioridad y criterios de aceptación, sirviendo de insumo directo para el desarrollo y las pruebas.</w:t>
      </w:r>
    </w:p>
    <w:p>
      <w:pPr>
        <w:pStyle w:val="Heading1"/>
        <w:pBdr>
          <w:bottom w:val="single" w:color="0FA3A3" w:sz="8" w:space="4"/>
        </w:pBdr>
        <w:spacing w:after="200" w:before="400"/>
      </w:pPr>
      <w:r>
        <w:rPr>
          <w:rFonts w:ascii="Calibri" w:cs="Calibri" w:eastAsia="Calibri" w:hAnsi="Calibri"/>
          <w:b/>
          <w:bCs/>
          <w:color w:val="1B4B66"/>
          <w:sz w:val="30"/>
          <w:szCs w:val="30"/>
        </w:rPr>
        <w:t xml:space="preserve">2. Convenciones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2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Elemento</w:t>
            </w:r>
          </w:p>
        </w:tc>
        <w:tc>
          <w:tcPr>
            <w:tcW w:type="dxa" w:w="648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Descripción</w:t>
            </w:r>
          </w:p>
        </w:tc>
      </w:tr>
      <w:tr>
        <w:tc>
          <w:tcPr>
            <w:tcW w:type="dxa" w:w="25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Identificador</w:t>
            </w:r>
          </w:p>
        </w:tc>
        <w:tc>
          <w:tcPr>
            <w:tcW w:type="dxa" w:w="64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HU-XX, numeradas de forma secuencial y agrupadas por rol.</w:t>
            </w:r>
          </w:p>
        </w:tc>
      </w:tr>
      <w:tr>
        <w:tc>
          <w:tcPr>
            <w:tcW w:type="dxa" w:w="25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Prioridad</w:t>
            </w:r>
          </w:p>
        </w:tc>
        <w:tc>
          <w:tcPr>
            <w:tcW w:type="dxa" w:w="64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Alta, Media o Baja, alineada con los requerimientos funcionales del ERS.</w:t>
            </w:r>
          </w:p>
        </w:tc>
      </w:tr>
      <w:tr>
        <w:tc>
          <w:tcPr>
            <w:tcW w:type="dxa" w:w="25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Criterios de aceptación</w:t>
            </w:r>
          </w:p>
        </w:tc>
        <w:tc>
          <w:tcPr>
            <w:tcW w:type="dxa" w:w="64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Condiciones verificables que determinan cuándo la historia se considera completa.</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3. Historias de Usuario — Cliente</w:t>
      </w:r>
    </w:p>
    <w:p>
      <w:pPr>
        <w:spacing w:after="80" w:before="260"/>
      </w:pPr>
      <w:r>
        <w:rPr>
          <w:rFonts w:ascii="Calibri" w:cs="Calibri" w:eastAsia="Calibri" w:hAnsi="Calibri"/>
          <w:b/>
          <w:bCs/>
          <w:color w:val="1B4B66"/>
          <w:sz w:val="22"/>
          <w:szCs w:val="22"/>
        </w:rPr>
        <w:t xml:space="preserve">HU-01 · Registrarme como cliente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98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02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Como</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un visitante del portal</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Quiero</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registrarme con mi nombre, correo electrónico y contraseña</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Para</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poder acceder al sistema y comenzar a registrar mis solicitudes de atención</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Prioridad</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B03A2E"/>
                <w:sz w:val="19"/>
                <w:szCs w:val="19"/>
              </w:rPr>
              <w:t xml:space="preserve">Alta</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Criterios de aceptación</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1. El sistema valida que el correo no esté previamente registrado.</w:t>
            </w:r>
            <w:r>
              <w:rPr>
                <w:rFonts w:ascii="Calibri" w:cs="Calibri" w:eastAsia="Calibri" w:hAnsi="Calibri"/>
                <w:color w:val="2B2B2B"/>
                <w:sz w:val="19"/>
                <w:szCs w:val="19"/>
              </w:rPr>
              <w:br/>
              <w:t xml:space="preserve">2. La contraseña se almacena con hash bcrypt, nunca en texto plano.</w:t>
            </w:r>
            <w:r>
              <w:rPr>
                <w:rFonts w:ascii="Calibri" w:cs="Calibri" w:eastAsia="Calibri" w:hAnsi="Calibri"/>
                <w:color w:val="2B2B2B"/>
                <w:sz w:val="19"/>
                <w:szCs w:val="19"/>
              </w:rPr>
              <w:br/>
              <w:t xml:space="preserve">3. Al registrarme exitosamente, puedo iniciar sesión de inmediato.</w:t>
            </w:r>
          </w:p>
        </w:tc>
      </w:tr>
    </w:tbl>
    <w:p>
      <w:pPr>
        <w:spacing w:after="80" w:before="260"/>
      </w:pPr>
      <w:r>
        <w:rPr>
          <w:rFonts w:ascii="Calibri" w:cs="Calibri" w:eastAsia="Calibri" w:hAnsi="Calibri"/>
          <w:b/>
          <w:bCs/>
          <w:color w:val="1B4B66"/>
          <w:sz w:val="22"/>
          <w:szCs w:val="22"/>
        </w:rPr>
        <w:t xml:space="preserve">HU-02 · Iniciar sesión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98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02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Como</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cliente registrado</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Quiero</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iniciar sesión con mi correo y contraseña</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Para</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acceder a mi panel personal de solicitudes</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Prioridad</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B03A2E"/>
                <w:sz w:val="19"/>
                <w:szCs w:val="19"/>
              </w:rPr>
              <w:t xml:space="preserve">Alta</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Criterios de aceptación</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1. Con credenciales correctas, accedo al panel del cliente.</w:t>
            </w:r>
            <w:r>
              <w:rPr>
                <w:rFonts w:ascii="Calibri" w:cs="Calibri" w:eastAsia="Calibri" w:hAnsi="Calibri"/>
                <w:color w:val="2B2B2B"/>
                <w:sz w:val="19"/>
                <w:szCs w:val="19"/>
              </w:rPr>
              <w:br/>
              <w:t xml:space="preserve">2. Con credenciales incorrectas, el sistema muestra un mensaje de error claro.</w:t>
            </w:r>
            <w:r>
              <w:rPr>
                <w:rFonts w:ascii="Calibri" w:cs="Calibri" w:eastAsia="Calibri" w:hAnsi="Calibri"/>
                <w:color w:val="2B2B2B"/>
                <w:sz w:val="19"/>
                <w:szCs w:val="19"/>
              </w:rPr>
              <w:br/>
              <w:t xml:space="preserve">3. Mi sesión se cierra automáticamente tras un periodo de inactividad.</w:t>
            </w:r>
          </w:p>
        </w:tc>
      </w:tr>
    </w:tbl>
    <w:p>
      <w:pPr>
        <w:spacing w:after="80" w:before="260"/>
      </w:pPr>
      <w:r>
        <w:rPr>
          <w:rFonts w:ascii="Calibri" w:cs="Calibri" w:eastAsia="Calibri" w:hAnsi="Calibri"/>
          <w:b/>
          <w:bCs/>
          <w:color w:val="1B4B66"/>
          <w:sz w:val="22"/>
          <w:szCs w:val="22"/>
        </w:rPr>
        <w:t xml:space="preserve">HU-03 · Registrar una solicitud de atención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98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02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Como</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cliente autenticado</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Quiero</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crear una solicitud indicando título, descripción, categoría y prioridad</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Para</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reportar mi necesidad de atención en cualquier momento, sin depender de horarios</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Prioridad</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B03A2E"/>
                <w:sz w:val="19"/>
                <w:szCs w:val="19"/>
              </w:rPr>
              <w:t xml:space="preserve">Alta</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Criterios de aceptación</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1. El sistema exige título, descripción y categoría antes de guardar.</w:t>
            </w:r>
            <w:r>
              <w:rPr>
                <w:rFonts w:ascii="Calibri" w:cs="Calibri" w:eastAsia="Calibri" w:hAnsi="Calibri"/>
                <w:color w:val="2B2B2B"/>
                <w:sz w:val="19"/>
                <w:szCs w:val="19"/>
              </w:rPr>
              <w:br/>
              <w:t xml:space="preserve">2. Al guardar, se genera un número de caso único.</w:t>
            </w:r>
            <w:r>
              <w:rPr>
                <w:rFonts w:ascii="Calibri" w:cs="Calibri" w:eastAsia="Calibri" w:hAnsi="Calibri"/>
                <w:color w:val="2B2B2B"/>
                <w:sz w:val="19"/>
                <w:szCs w:val="19"/>
              </w:rPr>
              <w:br/>
              <w:t xml:space="preserve">3. La solicitud queda registrada con estado inicial "Pendiente".</w:t>
            </w:r>
          </w:p>
        </w:tc>
      </w:tr>
    </w:tbl>
    <w:p>
      <w:pPr>
        <w:spacing w:after="80" w:before="260"/>
      </w:pPr>
      <w:r>
        <w:rPr>
          <w:rFonts w:ascii="Calibri" w:cs="Calibri" w:eastAsia="Calibri" w:hAnsi="Calibri"/>
          <w:b/>
          <w:bCs/>
          <w:color w:val="1B4B66"/>
          <w:sz w:val="22"/>
          <w:szCs w:val="22"/>
        </w:rPr>
        <w:t xml:space="preserve">HU-04 · Consultar el estado de una solicitud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98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02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Como</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cliente</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Quiero</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consultar el estado de mi solicitud usando el número de caso</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Para</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saber en qué etapa se encuentra mi atención sin tener que llamar o esperar</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Prioridad</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B03A2E"/>
                <w:sz w:val="19"/>
                <w:szCs w:val="19"/>
              </w:rPr>
              <w:t xml:space="preserve">Alta</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Criterios de aceptación</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1. Al ingresar un número de caso válido, veo el estado actual y los seguimientos.</w:t>
            </w:r>
            <w:r>
              <w:rPr>
                <w:rFonts w:ascii="Calibri" w:cs="Calibri" w:eastAsia="Calibri" w:hAnsi="Calibri"/>
                <w:color w:val="2B2B2B"/>
                <w:sz w:val="19"/>
                <w:szCs w:val="19"/>
              </w:rPr>
              <w:br/>
              <w:t xml:space="preserve">2. Si el número de caso no existe, el sistema muestra un mensaje informativo.</w:t>
            </w:r>
          </w:p>
        </w:tc>
      </w:tr>
    </w:tbl>
    <w:p>
      <w:pPr>
        <w:spacing w:after="80" w:before="260"/>
      </w:pPr>
      <w:r>
        <w:rPr>
          <w:rFonts w:ascii="Calibri" w:cs="Calibri" w:eastAsia="Calibri" w:hAnsi="Calibri"/>
          <w:b/>
          <w:bCs/>
          <w:color w:val="1B4B66"/>
          <w:sz w:val="22"/>
          <w:szCs w:val="22"/>
        </w:rPr>
        <w:t xml:space="preserve">HU-05 · Ver historial de mis solicitudes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98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02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Como</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cliente autenticado</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Quiero</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ver la lista completa de las solicitudes que he registrado</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Para</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tener trazabilidad de todos mis casos, cerrados o en curso</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Prioridad</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B9770E"/>
                <w:sz w:val="19"/>
                <w:szCs w:val="19"/>
              </w:rPr>
              <w:t xml:space="preserve">Media</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Criterios de aceptación</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1. La lista solo muestra las solicitudes creadas por mí.</w:t>
            </w:r>
            <w:r>
              <w:rPr>
                <w:rFonts w:ascii="Calibri" w:cs="Calibri" w:eastAsia="Calibri" w:hAnsi="Calibri"/>
                <w:color w:val="2B2B2B"/>
                <w:sz w:val="19"/>
                <w:szCs w:val="19"/>
              </w:rPr>
              <w:br/>
              <w:t xml:space="preserve">2. Puedo ver el estado y la fecha de cada solicitud del historial.</w:t>
            </w:r>
          </w:p>
        </w:tc>
      </w:tr>
    </w:tbl>
    <w:p>
      <w:pPr>
        <w:spacing w:after="80" w:before="260"/>
      </w:pPr>
      <w:r>
        <w:rPr>
          <w:rFonts w:ascii="Calibri" w:cs="Calibri" w:eastAsia="Calibri" w:hAnsi="Calibri"/>
          <w:b/>
          <w:bCs/>
          <w:color w:val="1B4B66"/>
          <w:sz w:val="22"/>
          <w:szCs w:val="22"/>
        </w:rPr>
        <w:t xml:space="preserve">HU-06 · Consultar el asistente de IA sobre mis casos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98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02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Como</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cliente</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Quiero</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hacer preguntas en lenguaje natural sobre mis solicitudes a un asistente de IA</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Para</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obtener información y orientación rápida sin esperar respuesta de un agente</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Prioridad</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B9770E"/>
                <w:sz w:val="19"/>
                <w:szCs w:val="19"/>
              </w:rPr>
              <w:t xml:space="preserve">Media</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Criterios de aceptación</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1. El asistente responde únicamente con base en los datos de mis propias solicitudes.</w:t>
            </w:r>
            <w:r>
              <w:rPr>
                <w:rFonts w:ascii="Calibri" w:cs="Calibri" w:eastAsia="Calibri" w:hAnsi="Calibri"/>
                <w:color w:val="2B2B2B"/>
                <w:sz w:val="19"/>
                <w:szCs w:val="19"/>
              </w:rPr>
              <w:br/>
              <w:t xml:space="preserve">2. Si no hay conexión con la API de IA, el sistema entrega una respuesta de respaldo local.</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4. Historias de Usuario — Agente de Atención</w:t>
      </w:r>
    </w:p>
    <w:p>
      <w:pPr>
        <w:spacing w:after="80" w:before="260"/>
      </w:pPr>
      <w:r>
        <w:rPr>
          <w:rFonts w:ascii="Calibri" w:cs="Calibri" w:eastAsia="Calibri" w:hAnsi="Calibri"/>
          <w:b/>
          <w:bCs/>
          <w:color w:val="1B4B66"/>
          <w:sz w:val="22"/>
          <w:szCs w:val="22"/>
        </w:rPr>
        <w:t xml:space="preserve">HU-07 · Gestionar solicitudes con filtros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98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02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Como</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agente de atención</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Quiero</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filtrar las solicitudes por estado, categoría, prioridad y fecha</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Para</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priorizar y organizar mi trabajo diario de forma eficiente</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Prioridad</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B03A2E"/>
                <w:sz w:val="19"/>
                <w:szCs w:val="19"/>
              </w:rPr>
              <w:t xml:space="preserve">Alta</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Criterios de aceptación</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1. Puedo combinar más de un filtro a la vez.</w:t>
            </w:r>
            <w:r>
              <w:rPr>
                <w:rFonts w:ascii="Calibri" w:cs="Calibri" w:eastAsia="Calibri" w:hAnsi="Calibri"/>
                <w:color w:val="2B2B2B"/>
                <w:sz w:val="19"/>
                <w:szCs w:val="19"/>
              </w:rPr>
              <w:br/>
              <w:t xml:space="preserve">2. Los resultados se actualizan de forma correcta según los filtros aplicados.</w:t>
            </w:r>
          </w:p>
        </w:tc>
      </w:tr>
    </w:tbl>
    <w:p>
      <w:pPr>
        <w:spacing w:after="80" w:before="260"/>
      </w:pPr>
      <w:r>
        <w:rPr>
          <w:rFonts w:ascii="Calibri" w:cs="Calibri" w:eastAsia="Calibri" w:hAnsi="Calibri"/>
          <w:b/>
          <w:bCs/>
          <w:color w:val="1B4B66"/>
          <w:sz w:val="22"/>
          <w:szCs w:val="22"/>
        </w:rPr>
        <w:t xml:space="preserve">HU-08 · Cambiar el estado de una solicitud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98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02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Como</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agente de atención</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Quiero</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actualizar el estado de una solicitud (Pendiente, En proceso, Atendida, Cerrada)</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Para</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reflejar el avance real de la atención al cliente</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Prioridad</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B03A2E"/>
                <w:sz w:val="19"/>
                <w:szCs w:val="19"/>
              </w:rPr>
              <w:t xml:space="preserve">Alta</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Criterios de aceptación</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1. El cambio de estado sigue la secuencia definida por las reglas de negocio.</w:t>
            </w:r>
            <w:r>
              <w:rPr>
                <w:rFonts w:ascii="Calibri" w:cs="Calibri" w:eastAsia="Calibri" w:hAnsi="Calibri"/>
                <w:color w:val="2B2B2B"/>
                <w:sz w:val="19"/>
                <w:szCs w:val="19"/>
              </w:rPr>
              <w:br/>
              <w:t xml:space="preserve">2. El nuevo estado es visible de inmediato para el cliente.</w:t>
            </w:r>
          </w:p>
        </w:tc>
      </w:tr>
    </w:tbl>
    <w:p>
      <w:pPr>
        <w:spacing w:after="80" w:before="260"/>
      </w:pPr>
      <w:r>
        <w:rPr>
          <w:rFonts w:ascii="Calibri" w:cs="Calibri" w:eastAsia="Calibri" w:hAnsi="Calibri"/>
          <w:b/>
          <w:bCs/>
          <w:color w:val="1B4B66"/>
          <w:sz w:val="22"/>
          <w:szCs w:val="22"/>
        </w:rPr>
        <w:t xml:space="preserve">HU-09 · Registrar seguimientos y observaciones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98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02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Como</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agente de atención</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Quiero</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agregar observaciones sobre las acciones realizadas en una solicitud</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Para</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dejar constancia del trabajo realizado y facilitar la trazabilidad del caso</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Prioridad</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B03A2E"/>
                <w:sz w:val="19"/>
                <w:szCs w:val="19"/>
              </w:rPr>
              <w:t xml:space="preserve">Alta</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Criterios de aceptación</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1. Cada seguimiento queda asociado a mi usuario y a la fecha y hora del registro.</w:t>
            </w:r>
            <w:r>
              <w:rPr>
                <w:rFonts w:ascii="Calibri" w:cs="Calibri" w:eastAsia="Calibri" w:hAnsi="Calibri"/>
                <w:color w:val="2B2B2B"/>
                <w:sz w:val="19"/>
                <w:szCs w:val="19"/>
              </w:rPr>
              <w:br/>
              <w:t xml:space="preserve">2. El cliente puede ver el seguimiento en el historial de su solicitud.</w:t>
            </w:r>
          </w:p>
        </w:tc>
      </w:tr>
    </w:tbl>
    <w:p>
      <w:pPr>
        <w:spacing w:after="80" w:before="260"/>
      </w:pPr>
      <w:r>
        <w:rPr>
          <w:rFonts w:ascii="Calibri" w:cs="Calibri" w:eastAsia="Calibri" w:hAnsi="Calibri"/>
          <w:b/>
          <w:bCs/>
          <w:color w:val="1B4B66"/>
          <w:sz w:val="22"/>
          <w:szCs w:val="22"/>
        </w:rPr>
        <w:t xml:space="preserve">HU-10 · Consultar análisis de IA sobre los datos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98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02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Como</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agente de atención</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Quiero</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consultar patrones y tendencias generados por la IA sobre las solicitudes</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Para</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identificar problemas recurrentes y anticiparme a ellos</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Prioridad</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B9770E"/>
                <w:sz w:val="19"/>
                <w:szCs w:val="19"/>
              </w:rPr>
              <w:t xml:space="preserve">Media</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Criterios de aceptación</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1. El análisis se genera a partir de datos reales de la base de datos.</w:t>
            </w:r>
            <w:r>
              <w:rPr>
                <w:rFonts w:ascii="Calibri" w:cs="Calibri" w:eastAsia="Calibri" w:hAnsi="Calibri"/>
                <w:color w:val="2B2B2B"/>
                <w:sz w:val="19"/>
                <w:szCs w:val="19"/>
              </w:rPr>
              <w:br/>
              <w:t xml:space="preserve">2. Si la API de IA no está disponible, se muestra un análisis local de respaldo.</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5. Historias de Usuario — Administrador</w:t>
      </w:r>
    </w:p>
    <w:p>
      <w:pPr>
        <w:spacing w:after="80" w:before="260"/>
      </w:pPr>
      <w:r>
        <w:rPr>
          <w:rFonts w:ascii="Calibri" w:cs="Calibri" w:eastAsia="Calibri" w:hAnsi="Calibri"/>
          <w:b/>
          <w:bCs/>
          <w:color w:val="1B4B66"/>
          <w:sz w:val="22"/>
          <w:szCs w:val="22"/>
        </w:rPr>
        <w:t xml:space="preserve">HU-11 · Gestionar usuarios del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98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02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Como</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administrador</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Quiero</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crear, editar y eliminar usuarios, asignándoles un rol</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Para</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mantener actualizado el acceso al sistema según el personal disponible</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Prioridad</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B03A2E"/>
                <w:sz w:val="19"/>
                <w:szCs w:val="19"/>
              </w:rPr>
              <w:t xml:space="preserve">Alta</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Criterios de aceptación</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1. Puedo asignar los roles Cliente, Agente o Administrador.</w:t>
            </w:r>
            <w:r>
              <w:rPr>
                <w:rFonts w:ascii="Calibri" w:cs="Calibri" w:eastAsia="Calibri" w:hAnsi="Calibri"/>
                <w:color w:val="2B2B2B"/>
                <w:sz w:val="19"/>
                <w:szCs w:val="19"/>
              </w:rPr>
              <w:br/>
              <w:t xml:space="preserve">2. No puedo eliminar mi propia cuenta de administrador.</w:t>
            </w:r>
          </w:p>
        </w:tc>
      </w:tr>
    </w:tbl>
    <w:p>
      <w:pPr>
        <w:spacing w:after="80" w:before="260"/>
      </w:pPr>
      <w:r>
        <w:rPr>
          <w:rFonts w:ascii="Calibri" w:cs="Calibri" w:eastAsia="Calibri" w:hAnsi="Calibri"/>
          <w:b/>
          <w:bCs/>
          <w:color w:val="1B4B66"/>
          <w:sz w:val="22"/>
          <w:szCs w:val="22"/>
        </w:rPr>
        <w:t xml:space="preserve">HU-12 · Gestionar categorías de solicitudes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98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02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Como</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administrador</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Quiero</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crear, editar y eliminar categorías de solicitudes</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Para</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mantener organizados los tipos de solicitud que el sistema permite registrar</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Prioridad</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B9770E"/>
                <w:sz w:val="19"/>
                <w:szCs w:val="19"/>
              </w:rPr>
              <w:t xml:space="preserve">Media</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Criterios de aceptación</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1. Toda solicitud nueva debe estar asociada a una categoría existente.</w:t>
            </w:r>
            <w:r>
              <w:rPr>
                <w:rFonts w:ascii="Calibri" w:cs="Calibri" w:eastAsia="Calibri" w:hAnsi="Calibri"/>
                <w:color w:val="2B2B2B"/>
                <w:sz w:val="19"/>
                <w:szCs w:val="19"/>
              </w:rPr>
              <w:br/>
              <w:t xml:space="preserve">2. Las categorías creadas están disponibles de inmediato en el formulario de solicitud.</w:t>
            </w:r>
          </w:p>
        </w:tc>
      </w:tr>
    </w:tbl>
    <w:p>
      <w:pPr>
        <w:spacing w:after="80" w:before="260"/>
      </w:pPr>
      <w:r>
        <w:rPr>
          <w:rFonts w:ascii="Calibri" w:cs="Calibri" w:eastAsia="Calibri" w:hAnsi="Calibri"/>
          <w:b/>
          <w:bCs/>
          <w:color w:val="1B4B66"/>
          <w:sz w:val="22"/>
          <w:szCs w:val="22"/>
        </w:rPr>
        <w:t xml:space="preserve">HU-13 · Generar reportes mensuales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98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02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Como</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administrador</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Quiero</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generar un reporte mensual con indicadores clave de atención</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Para</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evaluar el desempeño del área y tomar decisiones informadas</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Prioridad</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B03A2E"/>
                <w:sz w:val="19"/>
                <w:szCs w:val="19"/>
              </w:rPr>
              <w:t xml:space="preserve">Alta</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Criterios de aceptación</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1. El reporte muestra totales por categoría, prioridad y estado.</w:t>
            </w:r>
            <w:r>
              <w:rPr>
                <w:rFonts w:ascii="Calibri" w:cs="Calibri" w:eastAsia="Calibri" w:hAnsi="Calibri"/>
                <w:color w:val="2B2B2B"/>
                <w:sz w:val="19"/>
                <w:szCs w:val="19"/>
              </w:rPr>
              <w:br/>
              <w:t xml:space="preserve">2. El reporte calcula el tiempo promedio de atención del periodo seleccionado.</w:t>
            </w:r>
          </w:p>
        </w:tc>
      </w:tr>
    </w:tbl>
    <w:p>
      <w:pPr>
        <w:spacing w:after="80" w:before="260"/>
      </w:pPr>
      <w:r>
        <w:rPr>
          <w:rFonts w:ascii="Calibri" w:cs="Calibri" w:eastAsia="Calibri" w:hAnsi="Calibri"/>
          <w:b/>
          <w:bCs/>
          <w:color w:val="1B4B66"/>
          <w:sz w:val="22"/>
          <w:szCs w:val="22"/>
        </w:rPr>
        <w:t xml:space="preserve">HU-14 · Realizar consultas personalizadas con 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98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Campo</w:t>
            </w:r>
          </w:p>
        </w:tc>
        <w:tc>
          <w:tcPr>
            <w:tcW w:type="dxa" w:w="702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Como</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administrador</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Quiero</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hacer consultas personalizadas en lenguaje natural sobre los datos del sistema</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Para</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obtener recomendaciones accionables para la gestión del área de atención</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Prioridad</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B03A2E"/>
                <w:sz w:val="19"/>
                <w:szCs w:val="19"/>
              </w:rPr>
              <w:t xml:space="preserve">Alta</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Criterios de aceptación</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1. La IA responde con base en datos reales extraídos de la base de datos.</w:t>
            </w:r>
            <w:r>
              <w:rPr>
                <w:rFonts w:ascii="Calibri" w:cs="Calibri" w:eastAsia="Calibri" w:hAnsi="Calibri"/>
                <w:color w:val="2B2B2B"/>
                <w:sz w:val="19"/>
                <w:szCs w:val="19"/>
              </w:rPr>
              <w:br/>
              <w:t xml:space="preserve">2. Las recomendaciones entregadas son claras y accionables para la toma de decisiones.</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6. Resumen del Backlog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2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Rol</w:t>
            </w:r>
          </w:p>
        </w:tc>
        <w:tc>
          <w:tcPr>
            <w:tcW w:type="dxa" w:w="252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Historias</w:t>
            </w:r>
          </w:p>
        </w:tc>
        <w:tc>
          <w:tcPr>
            <w:tcW w:type="dxa" w:w="198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Prioridad Alta</w:t>
            </w:r>
          </w:p>
        </w:tc>
        <w:tc>
          <w:tcPr>
            <w:tcW w:type="dxa" w:w="198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Prioridad Media</w:t>
            </w:r>
          </w:p>
        </w:tc>
      </w:tr>
      <w:tr>
        <w:tc>
          <w:tcPr>
            <w:tcW w:type="dxa" w:w="25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Cliente</w:t>
            </w:r>
          </w:p>
        </w:tc>
        <w:tc>
          <w:tcPr>
            <w:tcW w:type="dxa" w:w="25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HU-01 a HU-06</w:t>
            </w:r>
          </w:p>
        </w:tc>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4</w:t>
            </w:r>
          </w:p>
        </w:tc>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2</w:t>
            </w:r>
          </w:p>
        </w:tc>
      </w:tr>
      <w:tr>
        <w:tc>
          <w:tcPr>
            <w:tcW w:type="dxa" w:w="25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Agente de Atención</w:t>
            </w:r>
          </w:p>
        </w:tc>
        <w:tc>
          <w:tcPr>
            <w:tcW w:type="dxa" w:w="25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HU-07 a HU-10</w:t>
            </w:r>
          </w:p>
        </w:tc>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3</w:t>
            </w:r>
          </w:p>
        </w:tc>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1</w:t>
            </w:r>
          </w:p>
        </w:tc>
      </w:tr>
      <w:tr>
        <w:tc>
          <w:tcPr>
            <w:tcW w:type="dxa" w:w="25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Administrador</w:t>
            </w:r>
          </w:p>
        </w:tc>
        <w:tc>
          <w:tcPr>
            <w:tcW w:type="dxa" w:w="25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HU-11 a HU-14</w:t>
            </w:r>
          </w:p>
        </w:tc>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3</w:t>
            </w:r>
          </w:p>
        </w:tc>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1</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7. Conclusiones</w:t>
      </w:r>
    </w:p>
    <w:p>
      <w:pPr>
        <w:spacing w:after="160" w:line="276"/>
        <w:jc w:val="both"/>
      </w:pPr>
      <w:r>
        <w:rPr>
          <w:rFonts w:ascii="Calibri" w:cs="Calibri" w:eastAsia="Calibri" w:hAnsi="Calibri"/>
          <w:color w:val="2B2B2B"/>
          <w:sz w:val="21"/>
          <w:szCs w:val="21"/>
        </w:rPr>
        <w:t xml:space="preserve">El backlog de 14 historias de usuario traduce los requerimientos funcionales del ERS y los casos de uso del documento de Análisis en necesidades concretas expresadas desde la perspectiva de cada rol. Estas historias, junto con sus criterios de aceptación, guían directamente la planificación del desarrollo y el diseño de los casos de prueba del sistema.</w:t>
      </w:r>
    </w:p>
    <w:sectPr>
      <w:headerReference w:type="default" r:id="rId7"/>
      <w:footerReference w:type="default" r:id="rId8"/>
      <w:pgSz w:w="12240" w:h="15840" w:orient="portrait"/>
      <w:pgMar w:top="11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570"/>
        <w:sz w:val="16"/>
        <w:szCs w:val="16"/>
      </w:rPr>
      <w:t xml:space="preserve">Página </w:t>
    </w:r>
    <w:r>
      <w:rPr>
        <w:rFonts w:ascii="Calibri" w:cs="Calibri" w:eastAsia="Calibri" w:hAnsi="Calibri"/>
        <w:color w:val="5A6570"/>
        <w:sz w:val="16"/>
        <w:szCs w:val="16"/>
      </w:rPr>
      <w:fldChar w:fldCharType="begin"/>
      <w:instrText xml:space="preserve">PAGE</w:instrText>
      <w:fldChar w:fldCharType="separate"/>
      <w:fldChar w:fldCharType="end"/>
    </w:r>
    <w:r>
      <w:rPr>
        <w:rFonts w:ascii="Calibri" w:cs="Calibri" w:eastAsia="Calibri" w:hAnsi="Calibri"/>
        <w:color w:val="5A6570"/>
        <w:sz w:val="16"/>
        <w:szCs w:val="16"/>
      </w:rPr>
      <w:t xml:space="preserve"> de </w:t>
    </w:r>
    <w:r>
      <w:rPr>
        <w:rFonts w:ascii="Calibri" w:cs="Calibri" w:eastAsia="Calibri" w:hAnsi="Calibri"/>
        <w:color w:val="5A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A3A3" w:sz="6" w:space="4"/>
      </w:pBdr>
      <w:tabs>
        <w:tab w:val="right" w:pos="9360"/>
      </w:tabs>
    </w:pPr>
    <w:r>
      <w:rPr>
        <w:rFonts w:ascii="Calibri" w:cs="Calibri" w:eastAsia="Calibri" w:hAnsi="Calibri"/>
        <w:color w:val="5A6570"/>
        <w:sz w:val="16"/>
        <w:szCs w:val="16"/>
      </w:rPr>
      <w:t xml:space="preserve">Portal de Atención al Cliente</w:t>
    </w:r>
    <w:r>
      <w:rPr>
        <w:rFonts w:ascii="Calibri" w:cs="Calibri" w:eastAsia="Calibri" w:hAnsi="Calibri"/>
        <w:color w:val="5A6570"/>
        <w:sz w:val="16"/>
        <w:szCs w:val="16"/>
      </w:rPr>
      <w:t xml:space="preserve">	Historias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2026-08-31T11:30:47.863Z</dcterms:created>
  <dcterms:modified xsi:type="dcterms:W3CDTF">2026-08-31T11:30:47.863Z</dcterms:modified>
</cp:coreProperties>
</file>

<file path=docProps/custom.xml><?xml version="1.0" encoding="utf-8"?>
<Properties xmlns="http://schemas.openxmlformats.org/officeDocument/2006/custom-properties" xmlns:vt="http://schemas.openxmlformats.org/officeDocument/2006/docPropsVTypes"/>
</file>