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aps/>
          <w:color w:val="0FA3A3"/>
          <w:sz w:val="24"/>
          <w:szCs w:val="24"/>
        </w:rPr>
        <w:t xml:space="preserve">PORTAL DE ATENCIÓN AL CLIENTE</w:t>
      </w:r>
    </w:p>
    <w:p>
      <w:pPr>
        <w:pBdr>
          <w:bottom w:val="single" w:color="0FA3A3" w:sz="12" w:space="8"/>
        </w:pBdr>
        <w:spacing w:after="500"/>
      </w:pPr>
      <w:r>
        <w:t xml:space="preserve"/>
      </w:r>
    </w:p>
    <w:p>
      <w:pPr>
        <w:spacing w:after="200" w:before="900"/>
        <w:jc w:val="center"/>
      </w:pPr>
      <w:r>
        <w:rPr>
          <w:rFonts w:ascii="Calibri" w:cs="Calibri" w:eastAsia="Calibri" w:hAnsi="Calibri"/>
          <w:b/>
          <w:bCs/>
          <w:color w:val="1B4B66"/>
          <w:sz w:val="52"/>
          <w:szCs w:val="52"/>
        </w:rPr>
        <w:t xml:space="preserve">Diagramas de Secuencia</w:t>
      </w:r>
    </w:p>
    <w:p>
      <w:pPr>
        <w:spacing w:after="900"/>
        <w:jc w:val="center"/>
      </w:pPr>
      <w:r>
        <w:rPr>
          <w:rFonts w:ascii="Calibri" w:cs="Calibri" w:eastAsia="Calibri" w:hAnsi="Calibri"/>
          <w:i/>
          <w:iCs/>
          <w:color w:val="5A6570"/>
          <w:sz w:val="26"/>
          <w:szCs w:val="26"/>
        </w:rPr>
        <w:t xml:space="preserve">Flujos de Interacción entre Componentes del Sistema</w:t>
      </w:r>
    </w:p>
    <w:tbl>
      <w:tblPr>
        <w:tblW w:type="pct" w:w="8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A8"/>
                <w:sz w:val="20"/>
                <w:szCs w:val="20"/>
              </w:rPr>
              <w:t xml:space="preserve">PROYECTO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color w:val="5A6570"/>
                <w:sz w:val="20"/>
                <w:szCs w:val="20"/>
              </w:rPr>
              <w:t xml:space="preserve">Portal de Atención al Cliente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A8"/>
                <w:sz w:val="20"/>
                <w:szCs w:val="20"/>
              </w:rPr>
              <w:t xml:space="preserve">CURSO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color w:val="5A6570"/>
                <w:sz w:val="20"/>
                <w:szCs w:val="20"/>
              </w:rPr>
              <w:t xml:space="preserve">Desarrollo de Aplicaciones Empresariales — 6to Semestre · Corte 1, Actividad 1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A8"/>
                <w:sz w:val="20"/>
                <w:szCs w:val="20"/>
              </w:rPr>
              <w:t xml:space="preserve">FECHA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color w:val="5A6570"/>
                <w:sz w:val="20"/>
                <w:szCs w:val="20"/>
              </w:rPr>
              <w:t xml:space="preserve">Agosto de 2026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900" w:right="1080" w:bottom="90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1. Introducción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documento presenta los diagramas de secuencia de los tres flujos más representativos del Portal de Atención al Cliente: el registro de una solicitud, la gestión de su estado por parte de un agente, y la consulta de análisis mediante inteligencia artificial. Cada diagrama muestra el orden temporal de los mensajes intercambiados entre el actor, los componentes del sistema y la base de datos.</w:t>
      </w: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2. Notación Utilizada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Figura de actor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Representa al usuario humano que interactúa con el sistema (Cliente, Agente, Administrador).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Rectángulo azul oscuro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Representa un componente interno del sistema (script PHP o servicio).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Rectángulo con borde teal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Representa un sistema externo (API de Google Gemini).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Línea de vida (punteada vertical)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Representa el periodo de existencia del participante durante la interacción.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Flecha continua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Mensaje síncrono (solicitud/petición).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Flecha punteada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Mensaje de retorno (respuesta).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Flecha reflexiva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Llamada interna del propio componente (autovalidación).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3. Diagrama de Secuencia — Registrar Solicitud de Atención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diagrama corresponde al caso de uso CU-01 y a la historia de usuario HU-03. Describe el flujo desde que el cliente completa el formulario hasta que recibe la confirmación con el número de caso generado.</w:t>
      </w:r>
    </w:p>
    <w:p>
      <w:pPr>
        <w:spacing w:after="260" w:before="200"/>
        <w:jc w:val="center"/>
      </w:pPr>
      <w:r>
        <w:drawing>
          <wp:inline distT="0" distB="0" distL="0" distR="0">
            <wp:extent cx="4953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77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1–3</w:t>
            </w:r>
          </w:p>
        </w:tc>
        <w:tc>
          <w:tcPr>
            <w:tcW w:type="dxa" w:w="77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cliente envía los datos del formulario; el sistema verifica que la sesión sea válida.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4</w:t>
            </w:r>
          </w:p>
        </w:tc>
        <w:tc>
          <w:tcPr>
            <w:tcW w:type="dxa" w:w="77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script valida internamente que los campos obligatorios estén completos.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5–6</w:t>
            </w:r>
          </w:p>
        </w:tc>
        <w:tc>
          <w:tcPr>
            <w:tcW w:type="dxa" w:w="77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Se inserta la solicitud en la base de datos con estado Pendiente y se genera el número de caso.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7</w:t>
            </w:r>
          </w:p>
        </w:tc>
        <w:tc>
          <w:tcPr>
            <w:tcW w:type="dxa" w:w="77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sistema confirma al cliente el número de caso asignado.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4. Diagrama de Secuencia — Cambiar Estado y Registrar Seguimiento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diagrama corresponde a los casos de uso CU-08 y CU-09, y a las historias de usuario HU-08 y HU-09. Describe cómo el agente actualiza el estado de una solicitud y dicho cambio se refleja para el cliente.</w:t>
      </w:r>
    </w:p>
    <w:p>
      <w:pPr>
        <w:spacing w:after="260" w:before="200"/>
        <w:jc w:val="center"/>
      </w:pPr>
      <w:r>
        <w:drawing>
          <wp:inline distT="0" distB="0" distL="0" distR="0">
            <wp:extent cx="49530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77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1–3</w:t>
            </w:r>
          </w:p>
        </w:tc>
        <w:tc>
          <w:tcPr>
            <w:tcW w:type="dxa" w:w="77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agente abre el detalle de la solicitud y el sistema recupera sus datos y seguimientos.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4–5</w:t>
            </w:r>
          </w:p>
        </w:tc>
        <w:tc>
          <w:tcPr>
            <w:tcW w:type="dxa" w:w="77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agente selecciona el nuevo estado; el sistema valida que la transición sea permitida (RN-02).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6–7</w:t>
            </w:r>
          </w:p>
        </w:tc>
        <w:tc>
          <w:tcPr>
            <w:tcW w:type="dxa" w:w="77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Se actualiza el estado y se registra el nuevo seguimiento en la base de datos.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8</w:t>
            </w:r>
          </w:p>
        </w:tc>
        <w:tc>
          <w:tcPr>
            <w:tcW w:type="dxa" w:w="77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cliente puede visualizar de inmediato el estado actualizado de su solicitud.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5. Diagrama de Secuencia — Consulta de Análisis con IA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diagrama corresponde a los casos de uso CU-10 y CU-14, y a las historias de usuario HU-10 y HU-14. Describe la interacción entre el sistema y la API externa de Google Gemini para generar un análisis de los datos.</w:t>
      </w:r>
    </w:p>
    <w:p>
      <w:pPr>
        <w:spacing w:after="260" w:before="200"/>
        <w:jc w:val="center"/>
      </w:pPr>
      <w:r>
        <w:drawing>
          <wp:inline distT="0" distB="0" distL="0" distR="0">
            <wp:extent cx="49530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77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1–2</w:t>
            </w:r>
          </w:p>
        </w:tc>
        <w:tc>
          <w:tcPr>
            <w:tcW w:type="dxa" w:w="77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usuario solicita un análisis o realiza una consulta personalizada.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3–4</w:t>
            </w:r>
          </w:p>
        </w:tc>
        <w:tc>
          <w:tcPr>
            <w:tcW w:type="dxa" w:w="77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servicio de IA recopila los datos relevantes de solicitudes desde la base de datos.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5</w:t>
            </w:r>
          </w:p>
        </w:tc>
        <w:tc>
          <w:tcPr>
            <w:tcW w:type="dxa" w:w="77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Se construye el prompt (instrucción) que será enviado al modelo de lenguaje.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6–7</w:t>
            </w:r>
          </w:p>
        </w:tc>
        <w:tc>
          <w:tcPr>
            <w:tcW w:type="dxa" w:w="77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Se realiza la petición REST a la API de Google Gemini y se recibe la respuesta con el análisis.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8–9</w:t>
            </w:r>
          </w:p>
        </w:tc>
        <w:tc>
          <w:tcPr>
            <w:tcW w:type="dxa" w:w="77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resultado se procesa y se muestra al usuario en el dashboard correspondiente.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9770E" w:sz="4"/>
              <w:left w:val="single" w:color="B9770E" w:sz="24"/>
              <w:bottom w:val="single" w:color="B9770E" w:sz="4"/>
              <w:right w:val="single" w:color="B9770E" w:sz="4"/>
            </w:tcBorders>
            <w:shd w:fill="FEF5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Cuando la API de Gemini no responde o no hay conexión a internet, el paso 6–7 es sustituido por el modo fallback local, que genera un análisis heurístico a partir de los mismos datos recopilados en el paso 3–4 (RF-04.4).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6. Conclusiones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Los diagramas de secuencia presentados documentan gráficamente el orden y la naturaleza de las interacciones entre los actores, los componentes internos del sistema y los servicios externos. Sirven como referencia directa para el desarrollo de la lógica de negocio y para la elaboración de los casos de prueba correspondientes a cada flujo.</w:t>
      </w:r>
    </w:p>
    <w:sectPr>
      <w:headerReference w:type="default" r:id="rId7"/>
      <w:footerReference w:type="default" r:id="rId8"/>
      <w:pgSz w:w="12240" w:h="15840" w:orient="portrait"/>
      <w:pgMar w:top="11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570"/>
        <w:sz w:val="16"/>
        <w:szCs w:val="16"/>
      </w:rPr>
      <w:t xml:space="preserve">Página </w:t>
    </w:r>
    <w:r>
      <w:rPr>
        <w:rFonts w:ascii="Calibri" w:cs="Calibri" w:eastAsia="Calibri" w:hAnsi="Calibri"/>
        <w:color w:val="5A65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570"/>
        <w:sz w:val="16"/>
        <w:szCs w:val="16"/>
      </w:rPr>
      <w:t xml:space="preserve"> de </w:t>
    </w:r>
    <w:r>
      <w:rPr>
        <w:rFonts w:ascii="Calibri" w:cs="Calibri" w:eastAsia="Calibri" w:hAnsi="Calibri"/>
        <w:color w:val="5A65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A3A3" w:sz="6" w:space="4"/>
      </w:pBdr>
      <w:tabs>
        <w:tab w:val="right" w:pos="9360"/>
      </w:tabs>
    </w:pPr>
    <w:r>
      <w:rPr>
        <w:rFonts w:ascii="Calibri" w:cs="Calibri" w:eastAsia="Calibri" w:hAnsi="Calibri"/>
        <w:color w:val="5A6570"/>
        <w:sz w:val="16"/>
        <w:szCs w:val="16"/>
      </w:rPr>
      <w:t xml:space="preserve">Portal de Atención al Cliente</w:t>
    </w:r>
    <w:r>
      <w:rPr>
        <w:rFonts w:ascii="Calibri" w:cs="Calibri" w:eastAsia="Calibri" w:hAnsi="Calibri"/>
        <w:color w:val="5A6570"/>
        <w:sz w:val="16"/>
        <w:szCs w:val="16"/>
      </w:rPr>
      <w:t xml:space="preserve">	Diagramas de Secuencia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30f12f78e29813b42e0959c9aa44bcb8c082b39.png"/><Relationship Id="rId10" Type="http://schemas.openxmlformats.org/officeDocument/2006/relationships/image" Target="media/51e05957cacf3d0c97692117f28cf6f2d6dd2c65.png"/><Relationship Id="rId11" Type="http://schemas.openxmlformats.org/officeDocument/2006/relationships/image" Target="media/62b6f2585c4c11fa9d825353ef7e0bb7c9dea86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2026-09-01T11:16:23.092Z</dcterms:created>
  <dcterms:modified xsi:type="dcterms:W3CDTF">2026-09-01T11:16:23.092Z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